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60" w:rsidRPr="00113D85" w:rsidRDefault="00D05C60" w:rsidP="00D05C60">
      <w:pPr>
        <w:jc w:val="center"/>
        <w:rPr>
          <w:rFonts w:ascii="Tahoma" w:hAnsi="Tahoma" w:cs="Tahoma"/>
          <w:b/>
          <w:sz w:val="20"/>
          <w:szCs w:val="20"/>
          <w:u w:val="single"/>
        </w:rPr>
      </w:pPr>
      <w:r w:rsidRPr="00113D85">
        <w:rPr>
          <w:rFonts w:ascii="Tahoma" w:hAnsi="Tahoma" w:cs="Tahoma"/>
          <w:b/>
          <w:sz w:val="20"/>
          <w:szCs w:val="20"/>
          <w:u w:val="single"/>
        </w:rPr>
        <w:t xml:space="preserve">DOCUMENTO DE RESPUESTAS DE OBSERVACIONES  AL </w:t>
      </w:r>
      <w:r w:rsidRPr="00113D85">
        <w:rPr>
          <w:rFonts w:ascii="Tahoma" w:hAnsi="Tahoma" w:cs="Tahoma"/>
          <w:b/>
          <w:sz w:val="20"/>
          <w:szCs w:val="20"/>
          <w:u w:val="single"/>
        </w:rPr>
        <w:t>INFORME DE EVALUACION DEL CONCURSO PUBLICO 06 DE 2015</w:t>
      </w:r>
    </w:p>
    <w:p w:rsidR="00D05C60" w:rsidRPr="00113D85" w:rsidRDefault="00D05C60" w:rsidP="00D05C60">
      <w:pPr>
        <w:jc w:val="both"/>
        <w:rPr>
          <w:rFonts w:ascii="Tahoma" w:hAnsi="Tahoma" w:cs="Tahoma"/>
          <w:sz w:val="20"/>
          <w:szCs w:val="20"/>
        </w:rPr>
      </w:pPr>
      <w:r w:rsidRPr="00113D85">
        <w:rPr>
          <w:rFonts w:ascii="Tahoma" w:hAnsi="Tahoma" w:cs="Tahoma"/>
          <w:sz w:val="20"/>
          <w:szCs w:val="20"/>
        </w:rPr>
        <w:t xml:space="preserve">De acuerdo con el cronograma del proceso, se tiene que el término de traslado del informe de evaluación transcurrió durante cinco (5) días del </w:t>
      </w:r>
      <w:r w:rsidRPr="00113D85">
        <w:rPr>
          <w:rFonts w:ascii="Tahoma" w:hAnsi="Tahoma" w:cs="Tahoma"/>
          <w:sz w:val="20"/>
          <w:szCs w:val="20"/>
        </w:rPr>
        <w:t>16</w:t>
      </w:r>
      <w:r w:rsidRPr="00113D85">
        <w:rPr>
          <w:rFonts w:ascii="Tahoma" w:hAnsi="Tahoma" w:cs="Tahoma"/>
          <w:sz w:val="20"/>
          <w:szCs w:val="20"/>
        </w:rPr>
        <w:t xml:space="preserve"> al </w:t>
      </w:r>
      <w:r w:rsidRPr="00113D85">
        <w:rPr>
          <w:rFonts w:ascii="Tahoma" w:hAnsi="Tahoma" w:cs="Tahoma"/>
          <w:sz w:val="20"/>
          <w:szCs w:val="20"/>
        </w:rPr>
        <w:t>20</w:t>
      </w:r>
      <w:r w:rsidRPr="00113D85">
        <w:rPr>
          <w:rFonts w:ascii="Tahoma" w:hAnsi="Tahoma" w:cs="Tahoma"/>
          <w:sz w:val="20"/>
          <w:szCs w:val="20"/>
        </w:rPr>
        <w:t xml:space="preserve"> de Octubre de 2015.</w:t>
      </w:r>
    </w:p>
    <w:p w:rsidR="00D05C60" w:rsidRPr="00113D85" w:rsidRDefault="00D05C60" w:rsidP="00D05C60">
      <w:pPr>
        <w:jc w:val="both"/>
        <w:rPr>
          <w:rFonts w:ascii="Tahoma" w:hAnsi="Tahoma" w:cs="Tahoma"/>
          <w:sz w:val="20"/>
          <w:szCs w:val="20"/>
        </w:rPr>
      </w:pPr>
      <w:r w:rsidRPr="00113D85">
        <w:rPr>
          <w:rFonts w:ascii="Tahoma" w:hAnsi="Tahoma" w:cs="Tahoma"/>
          <w:sz w:val="20"/>
          <w:szCs w:val="20"/>
        </w:rPr>
        <w:t>En este periodo no se recibieron subsanaciones, pero se recibió una observación por parte del proponente AICOX en el siguiente sentido:</w:t>
      </w:r>
    </w:p>
    <w:p w:rsidR="00D05C60" w:rsidRPr="00113D85" w:rsidRDefault="00D05C60" w:rsidP="00D05C60">
      <w:pPr>
        <w:jc w:val="both"/>
        <w:rPr>
          <w:rFonts w:ascii="Tahoma" w:hAnsi="Tahoma" w:cs="Tahoma"/>
          <w:sz w:val="20"/>
          <w:szCs w:val="20"/>
        </w:rPr>
      </w:pPr>
      <w:r w:rsidRPr="00113D85">
        <w:rPr>
          <w:noProof/>
          <w:sz w:val="20"/>
          <w:szCs w:val="20"/>
          <w:lang w:eastAsia="es-CO"/>
        </w:rPr>
        <w:drawing>
          <wp:inline distT="0" distB="0" distL="0" distR="0" wp14:anchorId="4827B68A" wp14:editId="369294AA">
            <wp:extent cx="5331124" cy="1816281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999" t="15871" r="20001" b="33507"/>
                    <a:stretch/>
                  </pic:blipFill>
                  <pic:spPr bwMode="auto">
                    <a:xfrm>
                      <a:off x="0" y="0"/>
                      <a:ext cx="5335842" cy="1817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C60" w:rsidRPr="00113D85" w:rsidRDefault="00D05C60" w:rsidP="00D05C6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b/>
          <w:sz w:val="20"/>
          <w:szCs w:val="20"/>
          <w:u w:val="single"/>
          <w:lang w:eastAsia="es-CO"/>
        </w:rPr>
      </w:pPr>
      <w:r w:rsidRPr="00113D85">
        <w:rPr>
          <w:noProof/>
          <w:sz w:val="20"/>
          <w:szCs w:val="20"/>
          <w:lang w:eastAsia="es-CO"/>
        </w:rPr>
        <w:drawing>
          <wp:inline distT="0" distB="0" distL="0" distR="0" wp14:anchorId="070C6D46" wp14:editId="02C8B9CD">
            <wp:extent cx="5529532" cy="149237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693" t="14502" r="20461" b="42263"/>
                    <a:stretch/>
                  </pic:blipFill>
                  <pic:spPr bwMode="auto">
                    <a:xfrm>
                      <a:off x="0" y="0"/>
                      <a:ext cx="5534426" cy="1493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D85" w:rsidRDefault="00113D85" w:rsidP="00D05C60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sz w:val="20"/>
          <w:szCs w:val="20"/>
          <w:u w:val="single"/>
          <w:lang w:eastAsia="es-CO"/>
        </w:rPr>
      </w:pPr>
    </w:p>
    <w:p w:rsidR="00113D85" w:rsidRDefault="00113D85" w:rsidP="00D05C60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sz w:val="20"/>
          <w:szCs w:val="20"/>
          <w:u w:val="single"/>
          <w:lang w:eastAsia="es-CO"/>
        </w:rPr>
      </w:pPr>
    </w:p>
    <w:p w:rsidR="00113D85" w:rsidRDefault="00113D85" w:rsidP="00D05C60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sz w:val="20"/>
          <w:szCs w:val="20"/>
          <w:u w:val="single"/>
          <w:lang w:eastAsia="es-CO"/>
        </w:rPr>
      </w:pPr>
    </w:p>
    <w:p w:rsidR="00113D85" w:rsidRDefault="00113D85" w:rsidP="00D05C60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sz w:val="20"/>
          <w:szCs w:val="20"/>
          <w:u w:val="single"/>
          <w:lang w:eastAsia="es-CO"/>
        </w:rPr>
      </w:pPr>
    </w:p>
    <w:p w:rsidR="00113D85" w:rsidRDefault="00113D85" w:rsidP="00D05C60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sz w:val="20"/>
          <w:szCs w:val="20"/>
          <w:u w:val="single"/>
          <w:lang w:eastAsia="es-CO"/>
        </w:rPr>
      </w:pPr>
    </w:p>
    <w:p w:rsidR="00113D85" w:rsidRDefault="00113D85" w:rsidP="00D05C60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sz w:val="20"/>
          <w:szCs w:val="20"/>
          <w:u w:val="single"/>
          <w:lang w:eastAsia="es-CO"/>
        </w:rPr>
      </w:pPr>
    </w:p>
    <w:p w:rsidR="00D05C60" w:rsidRPr="00113D85" w:rsidRDefault="00D05C60" w:rsidP="00D05C60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sz w:val="20"/>
          <w:szCs w:val="20"/>
          <w:u w:val="single"/>
          <w:lang w:eastAsia="es-CO"/>
        </w:rPr>
      </w:pPr>
      <w:r w:rsidRPr="00113D85">
        <w:rPr>
          <w:rFonts w:ascii="Tahoma" w:eastAsia="Times New Roman" w:hAnsi="Tahoma" w:cs="Tahoma"/>
          <w:b/>
          <w:sz w:val="20"/>
          <w:szCs w:val="20"/>
          <w:u w:val="single"/>
          <w:lang w:eastAsia="es-CO"/>
        </w:rPr>
        <w:lastRenderedPageBreak/>
        <w:t>RESPUESTA DEL CANAL:</w:t>
      </w:r>
    </w:p>
    <w:p w:rsidR="00810106" w:rsidRDefault="003315FD" w:rsidP="00113D8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0"/>
          <w:szCs w:val="20"/>
          <w:lang w:eastAsia="es-CO"/>
        </w:rPr>
      </w:pPr>
      <w:r w:rsidRPr="00113D85">
        <w:rPr>
          <w:rFonts w:ascii="Tahoma" w:eastAsia="Times New Roman" w:hAnsi="Tahoma" w:cs="Tahoma"/>
          <w:sz w:val="20"/>
          <w:szCs w:val="20"/>
          <w:lang w:eastAsia="es-CO"/>
        </w:rPr>
        <w:t>Tal y como se especificó en la calificación publicada para el concurso, al proponente ELECTRÓNICA INDUSTRIAL COLOMBIA, se le realizó las observaciones para el diligenciamiento completo del formato Verificación de la propuesta y la inclusión del capítulo de capacitación técnica de acuerdo a lo contemplado en las obligaciones del proponente en los términos de referencia. Teniendo en cuenta que dichos aspectos no otorgaban puntaje dentro de la calificación, se consideran subsanables; razón por la cual no se estipuló que el oferente estuviera inhabilitado técnicamente.</w:t>
      </w:r>
    </w:p>
    <w:p w:rsidR="00113D85" w:rsidRDefault="00113D85" w:rsidP="00113D85">
      <w:pPr>
        <w:shd w:val="clear" w:color="auto" w:fill="FFFFFF"/>
        <w:spacing w:before="100" w:beforeAutospacing="1" w:after="100" w:afterAutospacing="1" w:line="240" w:lineRule="auto"/>
        <w:jc w:val="both"/>
        <w:rPr>
          <w:sz w:val="20"/>
          <w:szCs w:val="20"/>
        </w:rPr>
      </w:pPr>
    </w:p>
    <w:p w:rsidR="00113D85" w:rsidRDefault="00113D85" w:rsidP="00113D85">
      <w:pPr>
        <w:shd w:val="clear" w:color="auto" w:fill="FFFFFF"/>
        <w:spacing w:before="100" w:beforeAutospacing="1" w:after="100" w:afterAutospacing="1" w:line="240" w:lineRule="auto"/>
        <w:jc w:val="both"/>
        <w:rPr>
          <w:sz w:val="20"/>
          <w:szCs w:val="20"/>
        </w:rPr>
      </w:pPr>
    </w:p>
    <w:p w:rsidR="00113D85" w:rsidRDefault="00113D85" w:rsidP="00113D85">
      <w:pPr>
        <w:shd w:val="clear" w:color="auto" w:fill="FFFFFF"/>
        <w:spacing w:before="100" w:beforeAutospacing="1" w:after="100" w:afterAutospacing="1" w:line="240" w:lineRule="auto"/>
        <w:jc w:val="both"/>
        <w:rPr>
          <w:sz w:val="20"/>
          <w:szCs w:val="20"/>
        </w:rPr>
      </w:pPr>
    </w:p>
    <w:p w:rsidR="00113D85" w:rsidRDefault="00113D85" w:rsidP="00113D85">
      <w:pPr>
        <w:shd w:val="clear" w:color="auto" w:fill="FFFFFF"/>
        <w:spacing w:before="100" w:beforeAutospacing="1" w:after="0" w:line="240" w:lineRule="auto"/>
        <w:jc w:val="both"/>
        <w:rPr>
          <w:sz w:val="20"/>
          <w:szCs w:val="20"/>
        </w:rPr>
      </w:pPr>
    </w:p>
    <w:p w:rsidR="00113D85" w:rsidRPr="00113D85" w:rsidRDefault="00113D85" w:rsidP="00113D85">
      <w:pPr>
        <w:shd w:val="clear" w:color="auto" w:fill="FFFFFF"/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(ORIGINAL FIRMADO) </w:t>
      </w:r>
    </w:p>
    <w:p w:rsidR="00113D85" w:rsidRPr="00113D85" w:rsidRDefault="00113D85" w:rsidP="00113D85">
      <w:pPr>
        <w:shd w:val="clear" w:color="auto" w:fill="FFFFFF"/>
        <w:spacing w:after="0" w:line="240" w:lineRule="auto"/>
        <w:jc w:val="both"/>
        <w:rPr>
          <w:b/>
          <w:sz w:val="20"/>
          <w:szCs w:val="20"/>
        </w:rPr>
      </w:pPr>
      <w:r w:rsidRPr="00113D85">
        <w:rPr>
          <w:b/>
          <w:sz w:val="20"/>
          <w:szCs w:val="20"/>
        </w:rPr>
        <w:t>FAVIO ERNESTO FANDIÑO PINILLA</w:t>
      </w:r>
    </w:p>
    <w:p w:rsidR="00113D85" w:rsidRPr="00113D85" w:rsidRDefault="00113D85" w:rsidP="00113D85">
      <w:pPr>
        <w:shd w:val="clear" w:color="auto" w:fill="FFFFFF"/>
        <w:spacing w:after="0" w:line="240" w:lineRule="auto"/>
        <w:jc w:val="both"/>
        <w:rPr>
          <w:b/>
          <w:sz w:val="20"/>
          <w:szCs w:val="20"/>
        </w:rPr>
      </w:pPr>
      <w:r w:rsidRPr="00113D85">
        <w:rPr>
          <w:b/>
          <w:sz w:val="20"/>
          <w:szCs w:val="20"/>
        </w:rPr>
        <w:t>DIRECTOR OPERATIVO</w:t>
      </w:r>
      <w:bookmarkStart w:id="0" w:name="_GoBack"/>
      <w:bookmarkEnd w:id="0"/>
    </w:p>
    <w:sectPr w:rsidR="00113D85" w:rsidRPr="00113D85" w:rsidSect="005A5B45">
      <w:headerReference w:type="default" r:id="rId8"/>
      <w:footerReference w:type="default" r:id="rId9"/>
      <w:pgSz w:w="12242" w:h="15842" w:code="1"/>
      <w:pgMar w:top="2183" w:right="1701" w:bottom="1418" w:left="1701" w:header="56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347" w:rsidRDefault="00113D85" w:rsidP="005D72FB">
    <w:pPr>
      <w:pStyle w:val="Piedepgina"/>
      <w:jc w:val="right"/>
    </w:pPr>
    <w:r>
      <w:rPr>
        <w:noProof/>
        <w:lang w:eastAsia="es-CO"/>
      </w:rPr>
      <w:drawing>
        <wp:inline distT="0" distB="0" distL="0" distR="0" wp14:anchorId="4577A751" wp14:editId="1A5AACB0">
          <wp:extent cx="1304925" cy="457200"/>
          <wp:effectExtent l="0" t="0" r="9525" b="0"/>
          <wp:docPr id="35" name="Imagen 35" descr="Alcaldía Mayor y Bogotá Hum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lcaldía Mayor y Bogotá Hum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347" w:rsidRDefault="00113D85">
    <w:pPr>
      <w:pStyle w:val="Encabezado"/>
    </w:pPr>
    <w:r>
      <w:rPr>
        <w:noProof/>
        <w:lang w:eastAsia="es-CO"/>
      </w:rPr>
      <w:drawing>
        <wp:inline distT="0" distB="0" distL="0" distR="0" wp14:anchorId="5D2388EF" wp14:editId="374917FC">
          <wp:extent cx="1066800" cy="1676400"/>
          <wp:effectExtent l="0" t="0" r="0" b="0"/>
          <wp:docPr id="34" name="Imagen 34" descr="Logo Canal Capi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anal Capit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67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D55560"/>
    <w:multiLevelType w:val="hybridMultilevel"/>
    <w:tmpl w:val="DF403960"/>
    <w:lvl w:ilvl="0" w:tplc="240A000F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C60"/>
    <w:rsid w:val="00113D85"/>
    <w:rsid w:val="003315FD"/>
    <w:rsid w:val="00810106"/>
    <w:rsid w:val="00D05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C6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5C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C60"/>
  </w:style>
  <w:style w:type="paragraph" w:styleId="Piedepgina">
    <w:name w:val="footer"/>
    <w:basedOn w:val="Normal"/>
    <w:link w:val="PiedepginaCar"/>
    <w:uiPriority w:val="99"/>
    <w:unhideWhenUsed/>
    <w:rsid w:val="00D05C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C60"/>
  </w:style>
  <w:style w:type="paragraph" w:styleId="Prrafodelista">
    <w:name w:val="List Paragraph"/>
    <w:basedOn w:val="Normal"/>
    <w:link w:val="PrrafodelistaCar"/>
    <w:qFormat/>
    <w:rsid w:val="00D05C60"/>
    <w:pPr>
      <w:ind w:left="720"/>
      <w:contextualSpacing/>
    </w:pPr>
  </w:style>
  <w:style w:type="character" w:customStyle="1" w:styleId="PrrafodelistaCar">
    <w:name w:val="Párrafo de lista Car"/>
    <w:link w:val="Prrafodelista"/>
    <w:locked/>
    <w:rsid w:val="00D05C60"/>
  </w:style>
  <w:style w:type="paragraph" w:styleId="Textodeglobo">
    <w:name w:val="Balloon Text"/>
    <w:basedOn w:val="Normal"/>
    <w:link w:val="TextodegloboCar"/>
    <w:uiPriority w:val="99"/>
    <w:semiHidden/>
    <w:unhideWhenUsed/>
    <w:rsid w:val="00D05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5C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C6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5C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C60"/>
  </w:style>
  <w:style w:type="paragraph" w:styleId="Piedepgina">
    <w:name w:val="footer"/>
    <w:basedOn w:val="Normal"/>
    <w:link w:val="PiedepginaCar"/>
    <w:uiPriority w:val="99"/>
    <w:unhideWhenUsed/>
    <w:rsid w:val="00D05C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C60"/>
  </w:style>
  <w:style w:type="paragraph" w:styleId="Prrafodelista">
    <w:name w:val="List Paragraph"/>
    <w:basedOn w:val="Normal"/>
    <w:link w:val="PrrafodelistaCar"/>
    <w:qFormat/>
    <w:rsid w:val="00D05C60"/>
    <w:pPr>
      <w:ind w:left="720"/>
      <w:contextualSpacing/>
    </w:pPr>
  </w:style>
  <w:style w:type="character" w:customStyle="1" w:styleId="PrrafodelistaCar">
    <w:name w:val="Párrafo de lista Car"/>
    <w:link w:val="Prrafodelista"/>
    <w:locked/>
    <w:rsid w:val="00D05C60"/>
  </w:style>
  <w:style w:type="paragraph" w:styleId="Textodeglobo">
    <w:name w:val="Balloon Text"/>
    <w:basedOn w:val="Normal"/>
    <w:link w:val="TextodegloboCar"/>
    <w:uiPriority w:val="99"/>
    <w:semiHidden/>
    <w:unhideWhenUsed/>
    <w:rsid w:val="00D05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5C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166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Sohany Patricia Lara Lopez</dc:creator>
  <cp:lastModifiedBy>Sohany Patricia Lara Lopez</cp:lastModifiedBy>
  <cp:revision>1</cp:revision>
  <cp:lastPrinted>2015-10-21T21:35:00Z</cp:lastPrinted>
  <dcterms:created xsi:type="dcterms:W3CDTF">2015-10-21T21:23:00Z</dcterms:created>
  <dcterms:modified xsi:type="dcterms:W3CDTF">2015-10-21T22:14:00Z</dcterms:modified>
</cp:coreProperties>
</file>