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Gefährdungsbeurteilung  ·  Template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ArbSchG §5 und §6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ArbSchG §5 und §6. Die Gefährdungsbeurteilung ist vor Aufnahme der Tätigkeit, bei Änderungen und regelmäßig zu aktualisieren.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Stammdaten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Betrachteter Arbeitsbereich / Tätigkeit: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Zahl der Beschäftigten: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Erstellt am: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Erstellt von: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Nächste Überprüfung: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Schritt 1 – Festlegen des Arbeitsbereichs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Beschreibung des Arbeitsbereichs: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Schritt 2 – Ermitteln der Gefährdungen</w:t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Zu prüfen sind typischerweise folgende Gefährdungsfaktoren: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Mechanische Gefährdungen (scharfe Kanten, Maschinen, Fahrzeuge)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Elektrische Gefährdungen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Gefahrstoffe / biologische Arbeitsstoffe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Brand- und Explosionsgefährdungen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Thermische Gefährdungen (heiß / kalt)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Lärm und Vibration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Strahlung (UV, Laser, ionisierend)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Klima und Beleuchtung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Physische Belastung (Heben, Tragen, Zwangshaltungen)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Psychische Belastung (Zeitdruck, Arbeitsverdichtung, soziale Beziehungen)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Bildschirmarbeit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Arbeitsorganisation und Arbeitszeit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Schritt 3 – Bewertung und Maßnahmen</w:t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Matrix Eintrittswahrscheinlichkeit × Schadensausmaß ergibt das Risiko. Ab Risikostufe 3 sind Maßnahmen verbindlich.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8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800"/>
        <w:gridCol w:w="1200"/>
        <w:gridCol w:w="1200"/>
        <w:gridCol w:w="1200"/>
        <w:gridCol w:w="2960"/>
      </w:tblGrid>
      <w:tr>
        <w:trPr>
          <w:tblHeader/>
        </w:trP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Gefährdung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Maßnahme (TOP-Prinzip)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9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TOP-Prinzip: T = technisch, O = organisatorisch, P = persönlich. Technische Maßnahmen haben Vorrang.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Schritt 4 – Wirksamkeitskontrolle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Kontrolliert am: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Ergebnis: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Weitere Maßnahmen erforderlich (ja / nein):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Unterschrift Unternehmer: ________________     Unterschrift SiFa: ________________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Gefährdungsbeurteilung  · 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 ·  Template</dc:title>
  <dc:creator>CompDocs Holding GmbH</dc:creator>
  <dc:description>ArbSchG §5 und §6</dc:description>
  <cp:lastModifiedBy>Un-named</cp:lastModifiedBy>
  <cp:revision>1</cp:revision>
  <dcterms:created xsi:type="dcterms:W3CDTF">2026-04-10T15:46:14.951Z</dcterms:created>
  <dcterms:modified xsi:type="dcterms:W3CDTF">2026-04-10T15:46:14.951Z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