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7" w:rightFromText="187" w:vertAnchor="page" w:horzAnchor="margin" w:tblpY="7531"/>
        <w:tblOverlap w:val="never"/>
        <w:tblW w:w="0" w:type="auto"/>
        <w:tblCellMar>
          <w:left w:w="86" w:type="dxa"/>
          <w:right w:w="86" w:type="dxa"/>
        </w:tblCellMar>
        <w:tblLook w:val="04A0" w:firstRow="1" w:lastRow="0" w:firstColumn="1" w:lastColumn="0" w:noHBand="0" w:noVBand="1"/>
      </w:tblPr>
      <w:tblGrid>
        <w:gridCol w:w="719"/>
        <w:gridCol w:w="719"/>
        <w:gridCol w:w="719"/>
        <w:gridCol w:w="719"/>
        <w:gridCol w:w="720"/>
        <w:gridCol w:w="719"/>
        <w:gridCol w:w="719"/>
        <w:gridCol w:w="719"/>
        <w:gridCol w:w="720"/>
        <w:gridCol w:w="719"/>
        <w:gridCol w:w="719"/>
        <w:gridCol w:w="719"/>
        <w:gridCol w:w="720"/>
      </w:tblGrid>
      <w:tr w:rsidR="00761312" w:rsidRPr="00D662E4" w14:paraId="34E48067" w14:textId="77777777" w:rsidTr="00761312"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4F5D438F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2011/13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47F59B31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2012/14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344F8343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2013/15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696B80B9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2014/16</w:t>
            </w:r>
          </w:p>
        </w:tc>
        <w:tc>
          <w:tcPr>
            <w:tcW w:w="720" w:type="dxa"/>
            <w:shd w:val="clear" w:color="auto" w:fill="F2F2F2" w:themeFill="background1" w:themeFillShade="F2"/>
            <w:vAlign w:val="bottom"/>
          </w:tcPr>
          <w:p w14:paraId="5C361BD0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2015/17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22D5D5E7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2016/18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007BC282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2017/19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26E1A28F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2018/20</w:t>
            </w:r>
          </w:p>
        </w:tc>
        <w:tc>
          <w:tcPr>
            <w:tcW w:w="720" w:type="dxa"/>
            <w:shd w:val="clear" w:color="auto" w:fill="F2F2F2" w:themeFill="background1" w:themeFillShade="F2"/>
            <w:vAlign w:val="bottom"/>
          </w:tcPr>
          <w:p w14:paraId="39261DAB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2019/21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064D06AC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2020/22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5405B2AD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2021/23</w:t>
            </w:r>
          </w:p>
        </w:tc>
        <w:tc>
          <w:tcPr>
            <w:tcW w:w="719" w:type="dxa"/>
            <w:shd w:val="clear" w:color="auto" w:fill="F2F2F2" w:themeFill="background1" w:themeFillShade="F2"/>
            <w:vAlign w:val="bottom"/>
          </w:tcPr>
          <w:p w14:paraId="79A4678B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2022/24</w:t>
            </w:r>
          </w:p>
        </w:tc>
        <w:tc>
          <w:tcPr>
            <w:tcW w:w="720" w:type="dxa"/>
            <w:shd w:val="clear" w:color="auto" w:fill="F2F2F2" w:themeFill="background1" w:themeFillShade="F2"/>
            <w:vAlign w:val="bottom"/>
          </w:tcPr>
          <w:p w14:paraId="33253163" w14:textId="77777777" w:rsidR="00761312" w:rsidRPr="00D662E4" w:rsidRDefault="00761312" w:rsidP="00761312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color w:val="000000"/>
                <w:sz w:val="16"/>
                <w:szCs w:val="16"/>
              </w:rPr>
              <w:t>2023/25</w:t>
            </w:r>
          </w:p>
        </w:tc>
      </w:tr>
      <w:tr w:rsidR="00761312" w:rsidRPr="00D662E4" w14:paraId="04BB04E4" w14:textId="77777777" w:rsidTr="00761312">
        <w:tc>
          <w:tcPr>
            <w:tcW w:w="719" w:type="dxa"/>
          </w:tcPr>
          <w:p w14:paraId="3D1EB64D" w14:textId="1D4D7E31" w:rsidR="00761312" w:rsidRPr="00D662E4" w:rsidRDefault="00761312" w:rsidP="00761312">
            <w:pPr>
              <w:ind w:right="-90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9</w:t>
            </w:r>
            <w:r w:rsidR="00AA2C74">
              <w:rPr>
                <w:rFonts w:asciiTheme="majorHAnsi" w:hAnsiTheme="majorHAnsi" w:cstheme="majorHAnsi"/>
                <w:sz w:val="16"/>
                <w:szCs w:val="16"/>
              </w:rPr>
              <w:t>1.9</w:t>
            </w: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5E447B5E" w14:textId="02E8B465" w:rsidR="00761312" w:rsidRPr="00D662E4" w:rsidRDefault="00761312" w:rsidP="00761312">
            <w:pPr>
              <w:ind w:left="-179"/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 xml:space="preserve">    9</w:t>
            </w:r>
            <w:r w:rsidR="00AA2C74">
              <w:rPr>
                <w:rFonts w:asciiTheme="majorHAnsi" w:hAnsiTheme="majorHAnsi" w:cstheme="majorHAnsi"/>
                <w:sz w:val="16"/>
                <w:szCs w:val="16"/>
              </w:rPr>
              <w:t>3.4</w:t>
            </w: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043DA55C" w14:textId="526A3C74" w:rsidR="00761312" w:rsidRPr="00D662E4" w:rsidRDefault="008A6457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88.7</w:t>
            </w:r>
            <w:r w:rsidR="00761312"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4BFD7697" w14:textId="77777777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87.2%</w:t>
            </w:r>
          </w:p>
        </w:tc>
        <w:tc>
          <w:tcPr>
            <w:tcW w:w="720" w:type="dxa"/>
          </w:tcPr>
          <w:p w14:paraId="55BB5339" w14:textId="3B2BFD09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8</w:t>
            </w:r>
            <w:r w:rsidR="0000119E">
              <w:rPr>
                <w:rFonts w:asciiTheme="majorHAnsi" w:hAnsiTheme="majorHAnsi" w:cstheme="majorHAnsi"/>
                <w:sz w:val="16"/>
                <w:szCs w:val="16"/>
              </w:rPr>
              <w:t>1.5</w:t>
            </w: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0E749FC8" w14:textId="698E14D5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8</w:t>
            </w:r>
            <w:r w:rsidR="008A6457">
              <w:rPr>
                <w:rFonts w:asciiTheme="majorHAnsi" w:hAnsiTheme="majorHAnsi" w:cstheme="majorHAnsi"/>
                <w:sz w:val="16"/>
                <w:szCs w:val="16"/>
              </w:rPr>
              <w:t>2.4</w:t>
            </w: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2B22689D" w14:textId="1E5D96C1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6</w:t>
            </w:r>
            <w:r w:rsidR="008A6457">
              <w:rPr>
                <w:rFonts w:asciiTheme="majorHAnsi" w:hAnsiTheme="majorHAnsi" w:cstheme="majorHAnsi"/>
                <w:sz w:val="16"/>
                <w:szCs w:val="16"/>
              </w:rPr>
              <w:t>4.0</w:t>
            </w: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62142846" w14:textId="77777777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92.5%</w:t>
            </w:r>
          </w:p>
        </w:tc>
        <w:tc>
          <w:tcPr>
            <w:tcW w:w="720" w:type="dxa"/>
          </w:tcPr>
          <w:p w14:paraId="3A59EC15" w14:textId="77777777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87.5%</w:t>
            </w:r>
          </w:p>
        </w:tc>
        <w:tc>
          <w:tcPr>
            <w:tcW w:w="719" w:type="dxa"/>
          </w:tcPr>
          <w:p w14:paraId="26C2B5A0" w14:textId="77777777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84.6%</w:t>
            </w:r>
          </w:p>
        </w:tc>
        <w:tc>
          <w:tcPr>
            <w:tcW w:w="719" w:type="dxa"/>
          </w:tcPr>
          <w:p w14:paraId="16BE865B" w14:textId="2ED0444D" w:rsidR="00761312" w:rsidRPr="00D662E4" w:rsidRDefault="00CF7153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sz w:val="16"/>
                <w:szCs w:val="16"/>
              </w:rPr>
              <w:t>76.5</w:t>
            </w:r>
            <w:r w:rsidR="00761312" w:rsidRPr="00D662E4">
              <w:rPr>
                <w:rFonts w:asciiTheme="majorHAnsi" w:hAnsiTheme="majorHAnsi" w:cstheme="majorHAnsi"/>
                <w:sz w:val="16"/>
                <w:szCs w:val="16"/>
              </w:rPr>
              <w:t>%</w:t>
            </w:r>
          </w:p>
        </w:tc>
        <w:tc>
          <w:tcPr>
            <w:tcW w:w="719" w:type="dxa"/>
          </w:tcPr>
          <w:p w14:paraId="2635129F" w14:textId="77777777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88.9%</w:t>
            </w:r>
          </w:p>
        </w:tc>
        <w:tc>
          <w:tcPr>
            <w:tcW w:w="720" w:type="dxa"/>
          </w:tcPr>
          <w:p w14:paraId="5D183520" w14:textId="77777777" w:rsidR="00761312" w:rsidRPr="00D662E4" w:rsidRDefault="00761312" w:rsidP="00761312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D662E4">
              <w:rPr>
                <w:rFonts w:asciiTheme="majorHAnsi" w:hAnsiTheme="majorHAnsi" w:cstheme="majorHAnsi"/>
                <w:sz w:val="16"/>
                <w:szCs w:val="16"/>
              </w:rPr>
              <w:t>77.8%</w:t>
            </w:r>
          </w:p>
        </w:tc>
      </w:tr>
    </w:tbl>
    <w:p w14:paraId="011EDC31" w14:textId="6A8D52FA" w:rsidR="00DE19E1" w:rsidRDefault="00E90F86">
      <w:r>
        <w:rPr>
          <w:noProof/>
        </w:rPr>
        <w:drawing>
          <wp:anchor distT="0" distB="0" distL="114300" distR="114300" simplePos="0" relativeHeight="251659264" behindDoc="1" locked="0" layoutInCell="1" allowOverlap="1" wp14:anchorId="648C9AF6" wp14:editId="016CB77E">
            <wp:simplePos x="0" y="0"/>
            <wp:positionH relativeFrom="column">
              <wp:posOffset>76200</wp:posOffset>
            </wp:positionH>
            <wp:positionV relativeFrom="paragraph">
              <wp:posOffset>0</wp:posOffset>
            </wp:positionV>
            <wp:extent cx="5819775" cy="3781425"/>
            <wp:effectExtent l="0" t="0" r="9525" b="9525"/>
            <wp:wrapTight wrapText="bothSides">
              <wp:wrapPolygon edited="0">
                <wp:start x="0" y="0"/>
                <wp:lineTo x="0" y="21546"/>
                <wp:lineTo x="21565" y="21546"/>
                <wp:lineTo x="21565" y="0"/>
                <wp:lineTo x="0" y="0"/>
              </wp:wrapPolygon>
            </wp:wrapTight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690AD2" w14:textId="4AB529B8" w:rsidR="00F14CB1" w:rsidRDefault="00CF7153" w:rsidP="00D0345D">
      <w:r>
        <w:rPr>
          <w:noProof/>
        </w:rPr>
        <w:drawing>
          <wp:anchor distT="0" distB="0" distL="114300" distR="114300" simplePos="0" relativeHeight="251658240" behindDoc="1" locked="0" layoutInCell="1" allowOverlap="1" wp14:anchorId="1C576E69" wp14:editId="7E824647">
            <wp:simplePos x="0" y="0"/>
            <wp:positionH relativeFrom="column">
              <wp:posOffset>76200</wp:posOffset>
            </wp:positionH>
            <wp:positionV relativeFrom="paragraph">
              <wp:posOffset>171450</wp:posOffset>
            </wp:positionV>
            <wp:extent cx="5819775" cy="3086100"/>
            <wp:effectExtent l="0" t="0" r="9525" b="0"/>
            <wp:wrapTight wrapText="bothSides">
              <wp:wrapPolygon edited="0">
                <wp:start x="0" y="0"/>
                <wp:lineTo x="0" y="21467"/>
                <wp:lineTo x="21565" y="21467"/>
                <wp:lineTo x="21565" y="0"/>
                <wp:lineTo x="0" y="0"/>
              </wp:wrapPolygon>
            </wp:wrapTight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1568FD" w14:textId="6E074BB3" w:rsidR="004D2EC7" w:rsidRDefault="00242072" w:rsidP="00D0345D">
      <w:r>
        <w:t>T</w:t>
      </w:r>
      <w:r w:rsidR="004002F8">
        <w:t>he graduation on-time rate is 8</w:t>
      </w:r>
      <w:r w:rsidR="00CF7153">
        <w:t>4.</w:t>
      </w:r>
      <w:r w:rsidR="006A7F28">
        <w:t>4</w:t>
      </w:r>
      <w:r w:rsidR="004002F8">
        <w:t>%</w:t>
      </w:r>
      <w:r w:rsidR="00F36F4C">
        <w:t>,</w:t>
      </w:r>
      <w:r w:rsidR="004002F8">
        <w:t xml:space="preserve"> and the retention rate is 8</w:t>
      </w:r>
      <w:r w:rsidR="00761312">
        <w:t>5.4</w:t>
      </w:r>
      <w:r w:rsidR="004002F8">
        <w:t>% (2011-202</w:t>
      </w:r>
      <w:r w:rsidR="00E27463">
        <w:t>5</w:t>
      </w:r>
      <w:r w:rsidR="004002F8">
        <w:t>)</w:t>
      </w:r>
      <w:r w:rsidR="00513637">
        <w:t>.</w:t>
      </w:r>
    </w:p>
    <w:sectPr w:rsidR="004D2E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C3NDc0NzUzsTQyMTJQ0lEKTi0uzszPAykwrwUAV7A3JCwAAAA="/>
  </w:docVars>
  <w:rsids>
    <w:rsidRoot w:val="00E86272"/>
    <w:rsid w:val="0000119E"/>
    <w:rsid w:val="001142B0"/>
    <w:rsid w:val="00147F91"/>
    <w:rsid w:val="00166580"/>
    <w:rsid w:val="00236095"/>
    <w:rsid w:val="00242072"/>
    <w:rsid w:val="00246F43"/>
    <w:rsid w:val="0027070F"/>
    <w:rsid w:val="002907C6"/>
    <w:rsid w:val="00310F16"/>
    <w:rsid w:val="003356F9"/>
    <w:rsid w:val="00335D72"/>
    <w:rsid w:val="00377BD8"/>
    <w:rsid w:val="003C5FA8"/>
    <w:rsid w:val="004002F8"/>
    <w:rsid w:val="00417C43"/>
    <w:rsid w:val="00423B15"/>
    <w:rsid w:val="0045399E"/>
    <w:rsid w:val="00487212"/>
    <w:rsid w:val="004B651C"/>
    <w:rsid w:val="004D2EC7"/>
    <w:rsid w:val="004D4A3D"/>
    <w:rsid w:val="004F6CD9"/>
    <w:rsid w:val="0050163A"/>
    <w:rsid w:val="00513637"/>
    <w:rsid w:val="00541126"/>
    <w:rsid w:val="00547B8B"/>
    <w:rsid w:val="005F074A"/>
    <w:rsid w:val="005F0DBD"/>
    <w:rsid w:val="006013C2"/>
    <w:rsid w:val="00603684"/>
    <w:rsid w:val="006A7F28"/>
    <w:rsid w:val="006B539D"/>
    <w:rsid w:val="006C453A"/>
    <w:rsid w:val="006E364E"/>
    <w:rsid w:val="00725664"/>
    <w:rsid w:val="00750C6A"/>
    <w:rsid w:val="00754273"/>
    <w:rsid w:val="00761312"/>
    <w:rsid w:val="00762FB5"/>
    <w:rsid w:val="007B50A5"/>
    <w:rsid w:val="007D4731"/>
    <w:rsid w:val="007E1F3E"/>
    <w:rsid w:val="008273B1"/>
    <w:rsid w:val="00895787"/>
    <w:rsid w:val="008967CC"/>
    <w:rsid w:val="008A29E4"/>
    <w:rsid w:val="008A6457"/>
    <w:rsid w:val="008B2866"/>
    <w:rsid w:val="008C727C"/>
    <w:rsid w:val="008D4B4B"/>
    <w:rsid w:val="008E308B"/>
    <w:rsid w:val="00906E5C"/>
    <w:rsid w:val="009119EB"/>
    <w:rsid w:val="00932259"/>
    <w:rsid w:val="009407AD"/>
    <w:rsid w:val="009709C4"/>
    <w:rsid w:val="009A23B6"/>
    <w:rsid w:val="009E0EF9"/>
    <w:rsid w:val="009E2045"/>
    <w:rsid w:val="00A22291"/>
    <w:rsid w:val="00A66666"/>
    <w:rsid w:val="00AA1D20"/>
    <w:rsid w:val="00AA2C74"/>
    <w:rsid w:val="00AA4173"/>
    <w:rsid w:val="00AA7E84"/>
    <w:rsid w:val="00AB42B9"/>
    <w:rsid w:val="00AE11DA"/>
    <w:rsid w:val="00AE6D27"/>
    <w:rsid w:val="00B23A99"/>
    <w:rsid w:val="00B245CD"/>
    <w:rsid w:val="00B35CB8"/>
    <w:rsid w:val="00B556D3"/>
    <w:rsid w:val="00B8119E"/>
    <w:rsid w:val="00B85898"/>
    <w:rsid w:val="00B935A1"/>
    <w:rsid w:val="00B964FB"/>
    <w:rsid w:val="00BE5E97"/>
    <w:rsid w:val="00BF337B"/>
    <w:rsid w:val="00BF40E0"/>
    <w:rsid w:val="00C35D24"/>
    <w:rsid w:val="00C6507C"/>
    <w:rsid w:val="00C70F58"/>
    <w:rsid w:val="00C745D1"/>
    <w:rsid w:val="00C908B6"/>
    <w:rsid w:val="00CF7153"/>
    <w:rsid w:val="00D01673"/>
    <w:rsid w:val="00D0345D"/>
    <w:rsid w:val="00D41070"/>
    <w:rsid w:val="00D56F77"/>
    <w:rsid w:val="00D60A3C"/>
    <w:rsid w:val="00D662E4"/>
    <w:rsid w:val="00DC2BAE"/>
    <w:rsid w:val="00DE19E1"/>
    <w:rsid w:val="00E27463"/>
    <w:rsid w:val="00E444E6"/>
    <w:rsid w:val="00E46944"/>
    <w:rsid w:val="00E714F6"/>
    <w:rsid w:val="00E71C93"/>
    <w:rsid w:val="00E86272"/>
    <w:rsid w:val="00E90F86"/>
    <w:rsid w:val="00F10889"/>
    <w:rsid w:val="00F14CB1"/>
    <w:rsid w:val="00F36F4C"/>
    <w:rsid w:val="00F62E08"/>
    <w:rsid w:val="00F62E61"/>
    <w:rsid w:val="00F82263"/>
    <w:rsid w:val="00F82325"/>
    <w:rsid w:val="00F91476"/>
    <w:rsid w:val="00FB5A9E"/>
    <w:rsid w:val="00FE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7FA694"/>
  <w15:chartTrackingRefBased/>
  <w15:docId w15:val="{83D41D04-4077-4716-9DB3-C99F369C6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36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cap="none" spc="0" normalizeH="0" baseline="0">
                <a:solidFill>
                  <a:schemeClr val="dk1">
                    <a:lumMod val="50000"/>
                    <a:lumOff val="50000"/>
                  </a:schemeClr>
                </a:solidFill>
                <a:latin typeface="+mj-lt"/>
                <a:ea typeface="+mj-ea"/>
                <a:cs typeface="+mj-cs"/>
              </a:defRPr>
            </a:pPr>
            <a:r>
              <a:rPr lang="en-US"/>
              <a:t>Enrollment and Graduation on-time (with AAS</a:t>
            </a:r>
            <a:r>
              <a:rPr lang="en-US" baseline="0"/>
              <a:t> degree)</a:t>
            </a:r>
            <a:endParaRPr 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cap="none" spc="0" normalizeH="0" baseline="0">
              <a:solidFill>
                <a:schemeClr val="dk1">
                  <a:lumMod val="50000"/>
                  <a:lumOff val="50000"/>
                </a:schemeClr>
              </a:solidFill>
              <a:latin typeface="+mj-lt"/>
              <a:ea typeface="+mj-ea"/>
              <a:cs typeface="+mj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Enrollment</c:v>
                </c:pt>
              </c:strCache>
            </c:strRef>
          </c:tx>
          <c:spPr>
            <a:ln w="22225" cap="rnd">
              <a:solidFill>
                <a:schemeClr val="accent1"/>
              </a:solidFill>
              <a:round/>
            </a:ln>
            <a:effectLst/>
          </c:spPr>
          <c:marker>
            <c:symbol val="square"/>
            <c:size val="3"/>
            <c:spPr>
              <a:solidFill>
                <a:schemeClr val="lt1"/>
              </a:solidFill>
              <a:ln w="15875">
                <a:solidFill>
                  <a:schemeClr val="accent1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t"/>
            <c:showLegendKey val="0"/>
            <c:showVal val="1"/>
            <c:showCatName val="0"/>
            <c:showSerName val="0"/>
            <c:showPercent val="0"/>
            <c:showBubbleSize val="0"/>
            <c:separator>. </c:separator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Sheet1!$A$2:$A$14</c:f>
              <c:strCache>
                <c:ptCount val="13"/>
                <c:pt idx="0">
                  <c:v>2011-2013</c:v>
                </c:pt>
                <c:pt idx="1">
                  <c:v>2012-2014</c:v>
                </c:pt>
                <c:pt idx="2">
                  <c:v>2013-2015</c:v>
                </c:pt>
                <c:pt idx="3">
                  <c:v>2014-2016</c:v>
                </c:pt>
                <c:pt idx="4">
                  <c:v>2015-2017</c:v>
                </c:pt>
                <c:pt idx="5">
                  <c:v>2016-2018</c:v>
                </c:pt>
                <c:pt idx="6">
                  <c:v>2017-2019</c:v>
                </c:pt>
                <c:pt idx="7">
                  <c:v>2018-2020</c:v>
                </c:pt>
                <c:pt idx="8">
                  <c:v>2019-2021</c:v>
                </c:pt>
                <c:pt idx="9">
                  <c:v>2020-2022</c:v>
                </c:pt>
                <c:pt idx="10">
                  <c:v>2021-2023</c:v>
                </c:pt>
                <c:pt idx="11">
                  <c:v>2022-2024</c:v>
                </c:pt>
                <c:pt idx="12">
                  <c:v>2023-2025</c:v>
                </c:pt>
              </c:strCache>
            </c:strRef>
          </c:cat>
          <c:val>
            <c:numRef>
              <c:f>Sheet1!$B$2:$B$14</c:f>
              <c:numCache>
                <c:formatCode>General</c:formatCode>
                <c:ptCount val="13"/>
                <c:pt idx="0">
                  <c:v>37</c:v>
                </c:pt>
                <c:pt idx="1">
                  <c:v>61</c:v>
                </c:pt>
                <c:pt idx="2">
                  <c:v>53</c:v>
                </c:pt>
                <c:pt idx="3">
                  <c:v>47</c:v>
                </c:pt>
                <c:pt idx="4">
                  <c:v>81</c:v>
                </c:pt>
                <c:pt idx="5">
                  <c:v>51</c:v>
                </c:pt>
                <c:pt idx="6">
                  <c:v>25</c:v>
                </c:pt>
                <c:pt idx="7">
                  <c:v>40</c:v>
                </c:pt>
                <c:pt idx="8">
                  <c:v>24</c:v>
                </c:pt>
                <c:pt idx="9">
                  <c:v>26</c:v>
                </c:pt>
                <c:pt idx="10">
                  <c:v>17</c:v>
                </c:pt>
                <c:pt idx="11">
                  <c:v>9</c:v>
                </c:pt>
                <c:pt idx="12">
                  <c:v>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704-4C7A-982A-5FBD0393286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Graduation on-time</c:v>
                </c:pt>
              </c:strCache>
            </c:strRef>
          </c:tx>
          <c:spPr>
            <a:ln w="3175" cap="rnd">
              <a:solidFill>
                <a:schemeClr val="accent1"/>
              </a:solidFill>
              <a:round/>
            </a:ln>
            <a:effectLst/>
          </c:spPr>
          <c:marker>
            <c:symbol val="x"/>
            <c:size val="5"/>
            <c:spPr>
              <a:noFill/>
              <a:ln w="15875">
                <a:solidFill>
                  <a:schemeClr val="accent2"/>
                </a:solidFill>
                <a:round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b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dk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Sheet1!$A$2:$A$14</c:f>
              <c:strCache>
                <c:ptCount val="13"/>
                <c:pt idx="0">
                  <c:v>2011-2013</c:v>
                </c:pt>
                <c:pt idx="1">
                  <c:v>2012-2014</c:v>
                </c:pt>
                <c:pt idx="2">
                  <c:v>2013-2015</c:v>
                </c:pt>
                <c:pt idx="3">
                  <c:v>2014-2016</c:v>
                </c:pt>
                <c:pt idx="4">
                  <c:v>2015-2017</c:v>
                </c:pt>
                <c:pt idx="5">
                  <c:v>2016-2018</c:v>
                </c:pt>
                <c:pt idx="6">
                  <c:v>2017-2019</c:v>
                </c:pt>
                <c:pt idx="7">
                  <c:v>2018-2020</c:v>
                </c:pt>
                <c:pt idx="8">
                  <c:v>2019-2021</c:v>
                </c:pt>
                <c:pt idx="9">
                  <c:v>2020-2022</c:v>
                </c:pt>
                <c:pt idx="10">
                  <c:v>2021-2023</c:v>
                </c:pt>
                <c:pt idx="11">
                  <c:v>2022-2024</c:v>
                </c:pt>
                <c:pt idx="12">
                  <c:v>2023-2025</c:v>
                </c:pt>
              </c:strCache>
            </c:strRef>
          </c:cat>
          <c:val>
            <c:numRef>
              <c:f>Sheet1!$C$2:$C$14</c:f>
              <c:numCache>
                <c:formatCode>General</c:formatCode>
                <c:ptCount val="13"/>
                <c:pt idx="0">
                  <c:v>34</c:v>
                </c:pt>
                <c:pt idx="1">
                  <c:v>57</c:v>
                </c:pt>
                <c:pt idx="2">
                  <c:v>47</c:v>
                </c:pt>
                <c:pt idx="3">
                  <c:v>41</c:v>
                </c:pt>
                <c:pt idx="4">
                  <c:v>66</c:v>
                </c:pt>
                <c:pt idx="5">
                  <c:v>42</c:v>
                </c:pt>
                <c:pt idx="6">
                  <c:v>16</c:v>
                </c:pt>
                <c:pt idx="7">
                  <c:v>37</c:v>
                </c:pt>
                <c:pt idx="8">
                  <c:v>21</c:v>
                </c:pt>
                <c:pt idx="9">
                  <c:v>22</c:v>
                </c:pt>
                <c:pt idx="10">
                  <c:v>13</c:v>
                </c:pt>
                <c:pt idx="11">
                  <c:v>8</c:v>
                </c:pt>
                <c:pt idx="12">
                  <c:v>14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9704-4C7A-982A-5FBD0393286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68482480"/>
        <c:axId val="1568484144"/>
      </c:lineChart>
      <c:dateAx>
        <c:axId val="156848248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dk1">
                  <a:lumMod val="15000"/>
                  <a:lumOff val="85000"/>
                  <a:alpha val="51000"/>
                </a:schemeClr>
              </a:solidFill>
              <a:round/>
            </a:ln>
            <a:effectLst/>
          </c:spPr>
        </c:minorGridlines>
        <c:numFmt formatCode="#,##0.0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dk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none" spc="0" normalizeH="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68484144"/>
        <c:crosses val="autoZero"/>
        <c:auto val="0"/>
        <c:lblOffset val="100"/>
        <c:baseTimeUnit val="days"/>
      </c:dateAx>
      <c:valAx>
        <c:axId val="1568484144"/>
        <c:scaling>
          <c:orientation val="minMax"/>
          <c:max val="90"/>
        </c:scaling>
        <c:delete val="0"/>
        <c:axPos val="l"/>
        <c:majorGridlines>
          <c:spPr>
            <a:ln w="9525" cap="flat" cmpd="sng" algn="ctr">
              <a:solidFill>
                <a:schemeClr val="dk1">
                  <a:lumMod val="15000"/>
                  <a:lumOff val="85000"/>
                  <a:alpha val="54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Students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dk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568482480"/>
        <c:crossesAt val="1"/>
        <c:crossBetween val="midCat"/>
      </c:valAx>
      <c:spPr>
        <a:pattFill prst="ltDnDiag">
          <a:fgClr>
            <a:schemeClr val="dk1">
              <a:lumMod val="15000"/>
              <a:lumOff val="85000"/>
            </a:schemeClr>
          </a:fgClr>
          <a:bgClr>
            <a:schemeClr val="lt1"/>
          </a:bgClr>
        </a:pattFill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dk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lt1"/>
    </a:solidFill>
    <a:ln w="9525" cap="flat" cmpd="sng" algn="ctr">
      <a:solidFill>
        <a:schemeClr val="dk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Retention (year 1 to year 2)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lumMod val="110000"/>
                    <a:satMod val="105000"/>
                    <a:tint val="67000"/>
                  </a:schemeClr>
                </a:gs>
                <a:gs pos="50000">
                  <a:schemeClr val="accent1">
                    <a:lumMod val="105000"/>
                    <a:satMod val="103000"/>
                    <a:tint val="73000"/>
                  </a:schemeClr>
                </a:gs>
                <a:gs pos="100000">
                  <a:schemeClr val="accent1">
                    <a:lumMod val="105000"/>
                    <a:satMod val="109000"/>
                    <a:tint val="81000"/>
                  </a:schemeClr>
                </a:gs>
              </a:gsLst>
              <a:lin ang="5400000" scaled="0"/>
            </a:gradFill>
            <a:ln w="9525" cap="flat" cmpd="sng" algn="ctr">
              <a:solidFill>
                <a:schemeClr val="accent1">
                  <a:shade val="95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Sheet1!$A$2:$A$14</c:f>
              <c:strCache>
                <c:ptCount val="13"/>
                <c:pt idx="0">
                  <c:v>2011-2013</c:v>
                </c:pt>
                <c:pt idx="1">
                  <c:v>2012-2014</c:v>
                </c:pt>
                <c:pt idx="2">
                  <c:v>2013-2015</c:v>
                </c:pt>
                <c:pt idx="3">
                  <c:v>2014-2016</c:v>
                </c:pt>
                <c:pt idx="4">
                  <c:v>2015-2017</c:v>
                </c:pt>
                <c:pt idx="5">
                  <c:v>2016-2018</c:v>
                </c:pt>
                <c:pt idx="6">
                  <c:v>2017-2019</c:v>
                </c:pt>
                <c:pt idx="7">
                  <c:v>2018-2020</c:v>
                </c:pt>
                <c:pt idx="8">
                  <c:v>2019-2021</c:v>
                </c:pt>
                <c:pt idx="9">
                  <c:v>2020-2022</c:v>
                </c:pt>
                <c:pt idx="10">
                  <c:v>2021-2023</c:v>
                </c:pt>
                <c:pt idx="11">
                  <c:v>2022-2024</c:v>
                </c:pt>
                <c:pt idx="12">
                  <c:v>2023-2025</c:v>
                </c:pt>
              </c:strCache>
            </c:strRef>
          </c:cat>
          <c:val>
            <c:numRef>
              <c:f>Sheet1!$B$2:$B$14</c:f>
              <c:numCache>
                <c:formatCode>0%</c:formatCode>
                <c:ptCount val="13"/>
                <c:pt idx="0">
                  <c:v>0.97</c:v>
                </c:pt>
                <c:pt idx="1">
                  <c:v>0.95</c:v>
                </c:pt>
                <c:pt idx="2">
                  <c:v>0.89</c:v>
                </c:pt>
                <c:pt idx="3">
                  <c:v>0.87</c:v>
                </c:pt>
                <c:pt idx="4">
                  <c:v>0.83</c:v>
                </c:pt>
                <c:pt idx="5">
                  <c:v>0.82</c:v>
                </c:pt>
                <c:pt idx="6">
                  <c:v>0.64</c:v>
                </c:pt>
                <c:pt idx="7">
                  <c:v>0.93</c:v>
                </c:pt>
                <c:pt idx="8">
                  <c:v>0.88</c:v>
                </c:pt>
                <c:pt idx="9">
                  <c:v>0.85</c:v>
                </c:pt>
                <c:pt idx="10">
                  <c:v>0.77</c:v>
                </c:pt>
                <c:pt idx="11">
                  <c:v>0.89</c:v>
                </c:pt>
                <c:pt idx="12">
                  <c:v>0.83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D93-4787-9599-813D4AB36E50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100"/>
        <c:overlap val="-24"/>
        <c:axId val="267177600"/>
        <c:axId val="267176768"/>
      </c:barChart>
      <c:catAx>
        <c:axId val="267177600"/>
        <c:scaling>
          <c:orientation val="minMax"/>
        </c:scaling>
        <c:delete val="0"/>
        <c:axPos val="b"/>
        <c:numFmt formatCode="0.00%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7176768"/>
        <c:crossesAt val="0"/>
        <c:auto val="1"/>
        <c:lblAlgn val="ctr"/>
        <c:lblOffset val="100"/>
        <c:noMultiLvlLbl val="0"/>
      </c:catAx>
      <c:valAx>
        <c:axId val="267176768"/>
        <c:scaling>
          <c:orientation val="minMax"/>
          <c:max val="1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671776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32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 cap="none" spc="0" normalizeH="0" baseline="0"/>
  </cs:categoryAxis>
  <cs:chartArea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lt1"/>
      </a:solidFill>
      <a:ln w="1587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8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4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  <a:alpha val="51000"/>
          </a:schemeClr>
        </a:soli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plotArea>
  <cs:plotArea3D>
    <cs:lnRef idx="0"/>
    <cs:fillRef idx="0"/>
    <cs:effectRef idx="0"/>
    <cs:fontRef idx="minor">
      <a:schemeClr val="dk1"/>
    </cs:fontRef>
    <cs:spPr>
      <a:solidFill>
        <a:schemeClr val="lt1"/>
      </a:solidFill>
    </cs:spPr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ajor">
      <a:schemeClr val="dk1">
        <a:lumMod val="50000"/>
        <a:lumOff val="50000"/>
      </a:schemeClr>
    </cs:fontRef>
    <cs:defRPr sz="1600" b="1" kern="1200" cap="none" spc="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dk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  <cs:spPr>
      <a:pattFill prst="ltDnDiag">
        <a:fgClr>
          <a:schemeClr val="dk1">
            <a:lumMod val="15000"/>
            <a:lumOff val="85000"/>
          </a:schemeClr>
        </a:fgClr>
        <a:bgClr>
          <a:schemeClr val="lt1"/>
        </a:bgClr>
      </a:pattFill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41BAB5-36B0-43CD-A505-71F747230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5833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Simmonds</dc:creator>
  <cp:keywords/>
  <dc:description/>
  <cp:lastModifiedBy>Lorena Simmonds</cp:lastModifiedBy>
  <cp:revision>72</cp:revision>
  <cp:lastPrinted>2026-03-02T18:05:00Z</cp:lastPrinted>
  <dcterms:created xsi:type="dcterms:W3CDTF">2022-03-21T17:57:00Z</dcterms:created>
  <dcterms:modified xsi:type="dcterms:W3CDTF">2026-03-03T16:40:00Z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6cd40282-875d-41c8-9313-0ff74bac8ff2</vt:lpwstr>
  </property>
</Properties>
</file>