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78BC" w14:textId="77777777" w:rsidR="00D46F00" w:rsidRPr="00D46F00" w:rsidRDefault="00D46F00" w:rsidP="00D46F00">
      <w:pPr>
        <w:rPr>
          <w:b/>
          <w:bCs/>
        </w:rPr>
      </w:pPr>
      <w:r w:rsidRPr="00D46F00">
        <w:rPr>
          <w:b/>
          <w:bCs/>
        </w:rPr>
        <w:t>Request for Proposals (RFP)</w:t>
      </w:r>
    </w:p>
    <w:p w14:paraId="30A7C194" w14:textId="24773C32" w:rsidR="00D46F00" w:rsidRPr="00D46F00" w:rsidRDefault="00D46F00" w:rsidP="00D46F00">
      <w:pPr>
        <w:rPr>
          <w:b/>
          <w:bCs/>
        </w:rPr>
      </w:pPr>
      <w:r w:rsidRPr="00D46F00">
        <w:rPr>
          <w:b/>
          <w:bCs/>
        </w:rPr>
        <w:t>Investigator</w:t>
      </w:r>
      <w:r w:rsidRPr="00D46F00">
        <w:rPr>
          <w:b/>
          <w:bCs/>
        </w:rPr>
        <w:noBreakHyphen/>
        <w:t xml:space="preserve">Initiated Studies Evaluating </w:t>
      </w:r>
      <w:r w:rsidR="006E21C4">
        <w:rPr>
          <w:b/>
          <w:bCs/>
        </w:rPr>
        <w:t xml:space="preserve">Advanced Synovial Sarcoma </w:t>
      </w:r>
      <w:r w:rsidRPr="00D46F00">
        <w:rPr>
          <w:b/>
          <w:bCs/>
        </w:rPr>
        <w:t xml:space="preserve">Combination Treatment with </w:t>
      </w:r>
      <w:proofErr w:type="spellStart"/>
      <w:r w:rsidR="0038556F" w:rsidRPr="0038556F">
        <w:rPr>
          <w:b/>
          <w:bCs/>
        </w:rPr>
        <w:t>afamitresgene</w:t>
      </w:r>
      <w:proofErr w:type="spellEnd"/>
      <w:r w:rsidR="0038556F" w:rsidRPr="0038556F">
        <w:rPr>
          <w:b/>
          <w:bCs/>
        </w:rPr>
        <w:t xml:space="preserve"> </w:t>
      </w:r>
      <w:proofErr w:type="spellStart"/>
      <w:r w:rsidR="0038556F" w:rsidRPr="0038556F">
        <w:rPr>
          <w:b/>
          <w:bCs/>
        </w:rPr>
        <w:t>autoleucel</w:t>
      </w:r>
      <w:proofErr w:type="spellEnd"/>
      <w:r w:rsidRPr="00D46F00">
        <w:rPr>
          <w:b/>
          <w:bCs/>
        </w:rPr>
        <w:t xml:space="preserve"> (approved) and </w:t>
      </w:r>
      <w:proofErr w:type="spellStart"/>
      <w:r w:rsidR="001C3AD1" w:rsidRPr="001C3AD1">
        <w:rPr>
          <w:rFonts w:ascii="Lato" w:hAnsi="Lato"/>
          <w:b/>
          <w:bCs/>
          <w:sz w:val="21"/>
          <w:szCs w:val="21"/>
          <w:shd w:val="clear" w:color="auto" w:fill="FFFFFF"/>
        </w:rPr>
        <w:t>letetresgene</w:t>
      </w:r>
      <w:proofErr w:type="spellEnd"/>
      <w:r w:rsidR="001C3AD1" w:rsidRPr="001C3AD1">
        <w:rPr>
          <w:rFonts w:ascii="Lato" w:hAnsi="Lato"/>
          <w:b/>
          <w:bCs/>
          <w:sz w:val="21"/>
          <w:szCs w:val="21"/>
          <w:shd w:val="clear" w:color="auto" w:fill="FFFFFF"/>
        </w:rPr>
        <w:t xml:space="preserve"> </w:t>
      </w:r>
      <w:proofErr w:type="spellStart"/>
      <w:r w:rsidR="001C3AD1" w:rsidRPr="001C3AD1">
        <w:rPr>
          <w:rFonts w:ascii="Lato" w:hAnsi="Lato"/>
          <w:b/>
          <w:bCs/>
          <w:sz w:val="21"/>
          <w:szCs w:val="21"/>
          <w:shd w:val="clear" w:color="auto" w:fill="FFFFFF"/>
        </w:rPr>
        <w:t>autoleucel</w:t>
      </w:r>
      <w:proofErr w:type="spellEnd"/>
      <w:r w:rsidRPr="00D46F00">
        <w:rPr>
          <w:b/>
          <w:bCs/>
        </w:rPr>
        <w:t xml:space="preserve"> (investigational)</w:t>
      </w:r>
    </w:p>
    <w:p w14:paraId="2EBA1938" w14:textId="77777777" w:rsidR="00D46F00" w:rsidRPr="00D46F00" w:rsidRDefault="001C3AD1" w:rsidP="00D46F00">
      <w:r>
        <w:pict w14:anchorId="627AD377">
          <v:rect id="_x0000_i1025" style="width:0;height:1.5pt" o:hralign="center" o:hrstd="t" o:hr="t" fillcolor="#a0a0a0" stroked="f"/>
        </w:pict>
      </w:r>
    </w:p>
    <w:p w14:paraId="346633A4" w14:textId="77777777" w:rsidR="00D46F00" w:rsidRPr="00D46F00" w:rsidRDefault="00D46F00" w:rsidP="00D46F00">
      <w:pPr>
        <w:rPr>
          <w:b/>
          <w:bCs/>
        </w:rPr>
      </w:pPr>
      <w:r w:rsidRPr="00D46F00">
        <w:rPr>
          <w:b/>
          <w:bCs/>
        </w:rPr>
        <w:t>Sponsor Overview</w:t>
      </w:r>
    </w:p>
    <w:p w14:paraId="22453408" w14:textId="77777777" w:rsidR="00D457B8" w:rsidRDefault="00D46F00" w:rsidP="00D46F00">
      <w:r w:rsidRPr="00D46F00">
        <w:t xml:space="preserve">This Request for Proposals (RFP) invites qualified investigators and institutions to submit proposals for </w:t>
      </w:r>
      <w:r w:rsidRPr="00D46F00">
        <w:rPr>
          <w:b/>
          <w:bCs/>
        </w:rPr>
        <w:t>Investigator</w:t>
      </w:r>
      <w:r w:rsidRPr="00D46F00">
        <w:rPr>
          <w:b/>
          <w:bCs/>
        </w:rPr>
        <w:noBreakHyphen/>
        <w:t>Initiated Studies (IIS)</w:t>
      </w:r>
      <w:r w:rsidRPr="00D46F00">
        <w:t xml:space="preserve"> evaluating the clinical, translational, or real</w:t>
      </w:r>
      <w:r w:rsidRPr="00D46F00">
        <w:noBreakHyphen/>
        <w:t>world use of</w:t>
      </w:r>
      <w:r w:rsidR="00D457B8">
        <w:t>:</w:t>
      </w:r>
    </w:p>
    <w:p w14:paraId="4FD7DA31" w14:textId="3B471C23" w:rsidR="00D46F00" w:rsidRPr="001548A1" w:rsidRDefault="0038556F" w:rsidP="00D457B8">
      <w:pPr>
        <w:pStyle w:val="ListParagraph"/>
        <w:numPr>
          <w:ilvl w:val="0"/>
          <w:numId w:val="8"/>
        </w:numPr>
      </w:pPr>
      <w:proofErr w:type="spellStart"/>
      <w:r>
        <w:t>A</w:t>
      </w:r>
      <w:r w:rsidRPr="0038556F">
        <w:t>famitresgene</w:t>
      </w:r>
      <w:proofErr w:type="spellEnd"/>
      <w:r w:rsidRPr="0038556F">
        <w:t xml:space="preserve"> </w:t>
      </w:r>
      <w:proofErr w:type="spellStart"/>
      <w:r w:rsidRPr="0038556F">
        <w:t>autoleucel</w:t>
      </w:r>
      <w:proofErr w:type="spellEnd"/>
      <w:r>
        <w:t xml:space="preserve"> (</w:t>
      </w:r>
      <w:proofErr w:type="spellStart"/>
      <w:r>
        <w:t>afami</w:t>
      </w:r>
      <w:proofErr w:type="spellEnd"/>
      <w:r>
        <w:t>-cel)</w:t>
      </w:r>
      <w:r w:rsidR="00D46F00" w:rsidRPr="001548A1">
        <w:t xml:space="preserve"> (FDA approved cell therapy) in combination with </w:t>
      </w:r>
      <w:proofErr w:type="spellStart"/>
      <w:r w:rsidR="001C3AD1" w:rsidRPr="001C3AD1">
        <w:t>letetresgene</w:t>
      </w:r>
      <w:proofErr w:type="spellEnd"/>
      <w:r w:rsidR="001C3AD1" w:rsidRPr="001C3AD1">
        <w:t xml:space="preserve"> </w:t>
      </w:r>
      <w:proofErr w:type="spellStart"/>
      <w:r w:rsidR="001C3AD1" w:rsidRPr="001C3AD1">
        <w:t>autoleucel</w:t>
      </w:r>
      <w:proofErr w:type="spellEnd"/>
      <w:r w:rsidR="001C3AD1">
        <w:t xml:space="preserve"> (</w:t>
      </w:r>
      <w:proofErr w:type="spellStart"/>
      <w:r w:rsidR="00D46F00" w:rsidRPr="001548A1">
        <w:t>lete</w:t>
      </w:r>
      <w:proofErr w:type="spellEnd"/>
      <w:r w:rsidR="00D46F00" w:rsidRPr="001548A1">
        <w:noBreakHyphen/>
        <w:t>cel</w:t>
      </w:r>
      <w:r w:rsidR="001C3AD1">
        <w:t>)</w:t>
      </w:r>
      <w:r w:rsidR="00D46F00" w:rsidRPr="001548A1">
        <w:t>, an investigational cellular therapy, in biomarker eligible patients with metastatic, unresectable synovial sarcoma</w:t>
      </w:r>
    </w:p>
    <w:p w14:paraId="5D756307" w14:textId="58616376" w:rsidR="00D457B8" w:rsidRPr="001548A1" w:rsidRDefault="0038556F" w:rsidP="00D457B8">
      <w:pPr>
        <w:pStyle w:val="ListParagraph"/>
        <w:numPr>
          <w:ilvl w:val="0"/>
          <w:numId w:val="8"/>
        </w:numPr>
      </w:pPr>
      <w:proofErr w:type="spellStart"/>
      <w:r>
        <w:t>Afami</w:t>
      </w:r>
      <w:proofErr w:type="spellEnd"/>
      <w:r>
        <w:t>-cel</w:t>
      </w:r>
      <w:r w:rsidR="00D457B8" w:rsidRPr="001548A1">
        <w:t xml:space="preserve"> or </w:t>
      </w:r>
      <w:proofErr w:type="spellStart"/>
      <w:r w:rsidR="00D457B8" w:rsidRPr="001548A1">
        <w:t>lete</w:t>
      </w:r>
      <w:proofErr w:type="spellEnd"/>
      <w:r w:rsidR="00D457B8" w:rsidRPr="001548A1">
        <w:t xml:space="preserve">-cel in </w:t>
      </w:r>
      <w:r w:rsidR="000D7822" w:rsidRPr="001548A1">
        <w:t>earlier treatment settings for synovial sarcoma (</w:t>
      </w:r>
      <w:proofErr w:type="spellStart"/>
      <w:r w:rsidR="003158CC">
        <w:t>a</w:t>
      </w:r>
      <w:r>
        <w:t>fami</w:t>
      </w:r>
      <w:proofErr w:type="spellEnd"/>
      <w:r>
        <w:t>-cel</w:t>
      </w:r>
      <w:r w:rsidR="000D7822" w:rsidRPr="001548A1">
        <w:t xml:space="preserve"> or </w:t>
      </w:r>
      <w:proofErr w:type="spellStart"/>
      <w:r w:rsidR="000D7822" w:rsidRPr="001548A1">
        <w:t>lete</w:t>
      </w:r>
      <w:proofErr w:type="spellEnd"/>
      <w:r w:rsidR="000D7822" w:rsidRPr="001548A1">
        <w:t xml:space="preserve">-cel) or </w:t>
      </w:r>
      <w:r w:rsidR="005D3B0D" w:rsidRPr="001548A1">
        <w:t>myxoid/round cell liposarcoma (</w:t>
      </w:r>
      <w:proofErr w:type="spellStart"/>
      <w:r w:rsidR="005D3B0D" w:rsidRPr="001548A1">
        <w:t>lete</w:t>
      </w:r>
      <w:proofErr w:type="spellEnd"/>
      <w:r w:rsidR="005D3B0D" w:rsidRPr="001548A1">
        <w:t xml:space="preserve">-cel) </w:t>
      </w:r>
    </w:p>
    <w:p w14:paraId="26DA6BCF" w14:textId="69C3EDEA" w:rsidR="00D46F00" w:rsidRPr="00D46F00" w:rsidRDefault="00D46F00" w:rsidP="00D46F00">
      <w:r w:rsidRPr="00D46F00">
        <w:t xml:space="preserve">This RFP is issued </w:t>
      </w:r>
      <w:r w:rsidRPr="000B404F">
        <w:t>as part of a competitive, independent research support program. All studies must be initiated, conducted, and owned by the investigator and their institution</w:t>
      </w:r>
      <w:r w:rsidRPr="00D46F00">
        <w:t xml:space="preserve">, in accordance with applicable laws, regulations, and institutional requirements. </w:t>
      </w:r>
      <w:r w:rsidR="009B19A4" w:rsidRPr="009B19A4">
        <w:t>Funding and/or material support is provided without influence on study design, conduct, analysis, publication, or current or future prescribing of any USWM products.</w:t>
      </w:r>
    </w:p>
    <w:p w14:paraId="2466AE28" w14:textId="77777777" w:rsidR="00D46F00" w:rsidRPr="00D46F00" w:rsidRDefault="001C3AD1" w:rsidP="00D46F00">
      <w:r>
        <w:pict w14:anchorId="1D0F728B">
          <v:rect id="_x0000_i1026" style="width:0;height:1.5pt" o:hralign="center" o:hrstd="t" o:hr="t" fillcolor="#a0a0a0" stroked="f"/>
        </w:pict>
      </w:r>
    </w:p>
    <w:p w14:paraId="1233F2BA" w14:textId="1290E4F7" w:rsidR="00D46F00" w:rsidRDefault="00D46F00" w:rsidP="00D46F00">
      <w:pPr>
        <w:rPr>
          <w:b/>
          <w:bCs/>
        </w:rPr>
      </w:pPr>
      <w:r w:rsidRPr="00D46F00">
        <w:rPr>
          <w:b/>
          <w:bCs/>
        </w:rPr>
        <w:t xml:space="preserve">Scientific Rationale </w:t>
      </w:r>
    </w:p>
    <w:p w14:paraId="51F8C42E" w14:textId="77777777" w:rsidR="004F4531" w:rsidRPr="004F4531" w:rsidRDefault="004F4531" w:rsidP="007A12CC">
      <w:pPr>
        <w:rPr>
          <w:u w:val="single"/>
        </w:rPr>
      </w:pPr>
      <w:r w:rsidRPr="004F4531">
        <w:rPr>
          <w:u w:val="single"/>
        </w:rPr>
        <w:t xml:space="preserve">Combination cell therapy treatments: </w:t>
      </w:r>
    </w:p>
    <w:p w14:paraId="7FA2FD3E" w14:textId="172A6F33" w:rsidR="007A12CC" w:rsidRPr="007A12CC" w:rsidRDefault="007A12CC" w:rsidP="007A12CC">
      <w:r w:rsidRPr="007A12CC">
        <w:t xml:space="preserve">Advances in molecular and cellular profiling have supported the development of targeted therapeutic approaches in sarcomas, including synovial sarcoma, and have demonstrated clinical activity in selected settings. Nevertheless, </w:t>
      </w:r>
      <w:r w:rsidR="004536BC">
        <w:t>some patients do not achieve RECIST response despite appropriate biomarker selection,</w:t>
      </w:r>
      <w:r w:rsidRPr="007A12CC">
        <w:t xml:space="preserve"> reflecting underlying tumor heterogeneity, pathway redundancy, and the capacity of sarcomas to develop adaptive resistance and immune</w:t>
      </w:r>
      <w:r w:rsidRPr="007A12CC">
        <w:noBreakHyphen/>
        <w:t>evasion mechanisms. Preclinical and translational data suggest that selective pressure from single</w:t>
      </w:r>
      <w:r w:rsidRPr="007A12CC">
        <w:noBreakHyphen/>
        <w:t>agent targeted therapies may lead to compensatory signaling, antigen modulation, or alterations within the tumor microenvironment that attenuate sustained response.</w:t>
      </w:r>
    </w:p>
    <w:p w14:paraId="2ADA1F7F" w14:textId="4B2973D7" w:rsidR="007A12CC" w:rsidRDefault="007A12CC" w:rsidP="007A12CC">
      <w:r w:rsidRPr="007A12CC">
        <w:t>As a result, there is increasing scientific interest in the evaluation of rational combination strategies designed to concurrently address complementary biological pathways. Combining targeted cellular therapies has the potential to enhance antitumor activity by mitigating resistance mechanisms</w:t>
      </w:r>
      <w:r w:rsidR="00786A44">
        <w:t xml:space="preserve"> </w:t>
      </w:r>
      <w:r w:rsidRPr="007A12CC">
        <w:t>and modulating immunosuppressive features of the tumor microenvironment. From a translational perspective, such combination approaches are biologically plausible and may provide important insights into mechanisms of response and resistance in metastatic, unresectable synovial sarcoma, a disease with substantial unmet medical need. Accordingly, investigator</w:t>
      </w:r>
      <w:r w:rsidRPr="007A12CC">
        <w:noBreakHyphen/>
        <w:t xml:space="preserve">initiated studies exploring combination strategies </w:t>
      </w:r>
      <w:r w:rsidR="00644A58">
        <w:t xml:space="preserve">with </w:t>
      </w:r>
      <w:proofErr w:type="spellStart"/>
      <w:r w:rsidR="0038556F">
        <w:t>afami</w:t>
      </w:r>
      <w:proofErr w:type="spellEnd"/>
      <w:r w:rsidR="0038556F">
        <w:t>-cel</w:t>
      </w:r>
      <w:r w:rsidR="00644A58">
        <w:t xml:space="preserve"> and </w:t>
      </w:r>
      <w:proofErr w:type="spellStart"/>
      <w:r w:rsidR="00644A58">
        <w:t>lete</w:t>
      </w:r>
      <w:proofErr w:type="spellEnd"/>
      <w:r w:rsidR="00644A58">
        <w:t xml:space="preserve">-cel, a </w:t>
      </w:r>
      <w:proofErr w:type="gramStart"/>
      <w:r w:rsidR="00644A58">
        <w:t>late stage</w:t>
      </w:r>
      <w:proofErr w:type="gramEnd"/>
      <w:r w:rsidR="00644A58">
        <w:t xml:space="preserve"> development product with</w:t>
      </w:r>
      <w:r w:rsidR="004167CC">
        <w:t xml:space="preserve"> an established</w:t>
      </w:r>
      <w:r w:rsidR="00E9128A">
        <w:t xml:space="preserve"> </w:t>
      </w:r>
      <w:r w:rsidR="004167CC">
        <w:t>single agent clinical profile</w:t>
      </w:r>
      <w:r w:rsidR="00E9128A">
        <w:t xml:space="preserve">, </w:t>
      </w:r>
      <w:r w:rsidRPr="007A12CC">
        <w:t>are warranted to characterize safety, feasibility, and preliminary activity, while generating data to inform future clinical development.</w:t>
      </w:r>
    </w:p>
    <w:p w14:paraId="4523F772" w14:textId="77777777" w:rsidR="001548A1" w:rsidRDefault="001548A1" w:rsidP="007A12CC"/>
    <w:p w14:paraId="6F2C16E1" w14:textId="489BCDF3" w:rsidR="004F4531" w:rsidRPr="004F4531" w:rsidRDefault="000B404F" w:rsidP="004F4531">
      <w:pPr>
        <w:rPr>
          <w:u w:val="single"/>
        </w:rPr>
      </w:pPr>
      <w:r>
        <w:rPr>
          <w:u w:val="single"/>
        </w:rPr>
        <w:t xml:space="preserve">Cell Therapies in </w:t>
      </w:r>
      <w:r w:rsidR="004F4531" w:rsidRPr="004F4531">
        <w:rPr>
          <w:u w:val="single"/>
        </w:rPr>
        <w:t>Earlier Treatment Settings</w:t>
      </w:r>
      <w:r w:rsidR="001548A1">
        <w:rPr>
          <w:u w:val="single"/>
        </w:rPr>
        <w:t>:</w:t>
      </w:r>
    </w:p>
    <w:p w14:paraId="0976B02D" w14:textId="27837297" w:rsidR="004F4531" w:rsidRPr="004F4531" w:rsidRDefault="004F4531" w:rsidP="004F4531">
      <w:r w:rsidRPr="004F4531">
        <w:t xml:space="preserve">The current approved indication for </w:t>
      </w:r>
      <w:proofErr w:type="spellStart"/>
      <w:r w:rsidRPr="004F4531">
        <w:t>afami</w:t>
      </w:r>
      <w:proofErr w:type="spellEnd"/>
      <w:r w:rsidRPr="004F4531">
        <w:t xml:space="preserve">-cel and the pivotal clinical development program for </w:t>
      </w:r>
      <w:proofErr w:type="spellStart"/>
      <w:r w:rsidRPr="004F4531">
        <w:t>lete</w:t>
      </w:r>
      <w:proofErr w:type="spellEnd"/>
      <w:r w:rsidRPr="004F4531">
        <w:t>-cel focus on patients with metastatic, unresectable disease, including synovial sarcoma (</w:t>
      </w:r>
      <w:proofErr w:type="spellStart"/>
      <w:r w:rsidRPr="004F4531">
        <w:t>afami</w:t>
      </w:r>
      <w:proofErr w:type="spellEnd"/>
      <w:r w:rsidRPr="004F4531">
        <w:t xml:space="preserve">-cel) and synovial sarcoma or myxoid/round cell liposarcoma (MRCLS) for </w:t>
      </w:r>
      <w:proofErr w:type="spellStart"/>
      <w:r w:rsidRPr="004F4531">
        <w:t>lete</w:t>
      </w:r>
      <w:proofErr w:type="spellEnd"/>
      <w:r w:rsidRPr="004F4531">
        <w:t xml:space="preserve">-cel. While </w:t>
      </w:r>
      <w:r w:rsidR="00D107C9">
        <w:t>development programs for both products</w:t>
      </w:r>
      <w:r w:rsidRPr="004F4531">
        <w:t xml:space="preserve"> have demonstrated clinically meaningful activity in advanced disease, there is strong scientific and clinical rationale to explore these engineered T-cell therapies in earlier lines of treatment, including the neoadjuvant and adjuvant settings.</w:t>
      </w:r>
    </w:p>
    <w:p w14:paraId="29515A55" w14:textId="77777777" w:rsidR="004F4531" w:rsidRPr="004F4531" w:rsidRDefault="004F4531" w:rsidP="004F4531">
      <w:r w:rsidRPr="004F4531">
        <w:t xml:space="preserve">Once sarcoma becomes metastatic, it is typically more biologically complex and difficult to treat, having already developed resistance mechanisms </w:t>
      </w:r>
      <w:proofErr w:type="gramStart"/>
      <w:r w:rsidRPr="004F4531">
        <w:t>as a consequence of</w:t>
      </w:r>
      <w:proofErr w:type="gramEnd"/>
      <w:r w:rsidRPr="004F4531">
        <w:t xml:space="preserve"> prior systemic therapies and tumor evolution. In contrast, earlier-stage disease is characterized by lower tumor burden, less intratumoral heterogeneity, and a more intact immune microenvironment—factors that may enhance the activity, expansion, and durability of adoptive T-cell therapies.</w:t>
      </w:r>
    </w:p>
    <w:p w14:paraId="31033A42" w14:textId="799D4281" w:rsidR="004F4531" w:rsidRPr="004F4531" w:rsidRDefault="004F4531" w:rsidP="004F4531">
      <w:r w:rsidRPr="004F4531">
        <w:t xml:space="preserve">Evaluating </w:t>
      </w:r>
      <w:proofErr w:type="spellStart"/>
      <w:r w:rsidRPr="004F4531">
        <w:t>lete</w:t>
      </w:r>
      <w:proofErr w:type="spellEnd"/>
      <w:r w:rsidRPr="004F4531">
        <w:t xml:space="preserve">-cel or </w:t>
      </w:r>
      <w:proofErr w:type="spellStart"/>
      <w:r w:rsidRPr="004F4531">
        <w:t>afami</w:t>
      </w:r>
      <w:proofErr w:type="spellEnd"/>
      <w:r w:rsidRPr="004F4531">
        <w:t xml:space="preserve">-cel in the </w:t>
      </w:r>
      <w:r w:rsidR="001548A1">
        <w:t>1</w:t>
      </w:r>
      <w:r w:rsidR="001548A1" w:rsidRPr="001548A1">
        <w:rPr>
          <w:vertAlign w:val="superscript"/>
        </w:rPr>
        <w:t>st</w:t>
      </w:r>
      <w:r w:rsidR="001548A1">
        <w:t xml:space="preserve"> line for recurrent or metastatic disease or in the </w:t>
      </w:r>
      <w:r w:rsidRPr="004F4531">
        <w:t xml:space="preserve">neoadjuvant or adjuvant setting may therefore provide an opportunity to intervene before the emergence of resistant clones, with the goal of eradicating </w:t>
      </w:r>
      <w:proofErr w:type="spellStart"/>
      <w:r w:rsidRPr="004F4531">
        <w:t>micrometastatic</w:t>
      </w:r>
      <w:proofErr w:type="spellEnd"/>
      <w:r w:rsidRPr="004F4531">
        <w:t xml:space="preserve"> disease and reducing the risk of recurrence following definitive local therapy. Importantly, engineered T cells have been shown to persist long term, raising the possibility of sustained immune surveillance and continued antitumor activity even if patients subsequently require additional lines of therapy.</w:t>
      </w:r>
    </w:p>
    <w:p w14:paraId="63DEC579" w14:textId="77777777" w:rsidR="004F4531" w:rsidRPr="004F4531" w:rsidRDefault="004F4531" w:rsidP="004F4531">
      <w:r w:rsidRPr="004F4531">
        <w:t xml:space="preserve">Collectively, these considerations support investigation of </w:t>
      </w:r>
      <w:proofErr w:type="spellStart"/>
      <w:r w:rsidRPr="004F4531">
        <w:t>lete</w:t>
      </w:r>
      <w:proofErr w:type="spellEnd"/>
      <w:r w:rsidRPr="004F4531">
        <w:t xml:space="preserve">-cel and </w:t>
      </w:r>
      <w:proofErr w:type="spellStart"/>
      <w:r w:rsidRPr="004F4531">
        <w:t>afami</w:t>
      </w:r>
      <w:proofErr w:type="spellEnd"/>
      <w:r w:rsidRPr="004F4531">
        <w:t>-cel earlier in the treatment paradigm, where their targeted mechanism of action and demonstrated cellular persistence may translate into deeper, more durable clinical benefit than is achievable in heavily pretreated, metastatic disease populations.</w:t>
      </w:r>
    </w:p>
    <w:p w14:paraId="744AA871" w14:textId="6A13BEF0" w:rsidR="004F4531" w:rsidRPr="004F4531" w:rsidRDefault="000B404F" w:rsidP="004F4531">
      <w:pPr>
        <w:rPr>
          <w:b/>
          <w:bCs/>
        </w:rPr>
      </w:pPr>
      <w:r>
        <w:rPr>
          <w:b/>
          <w:bCs/>
        </w:rPr>
        <w:t>Proposal Interest Areas</w:t>
      </w:r>
    </w:p>
    <w:p w14:paraId="2FB256CF" w14:textId="0E264EF4" w:rsidR="00D46F00" w:rsidRPr="00D46F00" w:rsidRDefault="00C41F8F" w:rsidP="00D46F00">
      <w:r>
        <w:t>For consideration, p</w:t>
      </w:r>
      <w:r w:rsidR="00D46F00" w:rsidRPr="00D46F00">
        <w:t>roposals should explore, but are not limited to, the following areas of interest:</w:t>
      </w:r>
    </w:p>
    <w:p w14:paraId="67B920A2" w14:textId="3986FAC1" w:rsidR="00D46F00" w:rsidRDefault="00D46F00" w:rsidP="00D46F00">
      <w:pPr>
        <w:numPr>
          <w:ilvl w:val="0"/>
          <w:numId w:val="1"/>
        </w:numPr>
      </w:pPr>
      <w:r w:rsidRPr="00D46F00">
        <w:t xml:space="preserve">Clinical feasibility, safety, or tolerability of </w:t>
      </w:r>
      <w:proofErr w:type="spellStart"/>
      <w:r w:rsidR="0038556F">
        <w:t>afami</w:t>
      </w:r>
      <w:proofErr w:type="spellEnd"/>
      <w:r w:rsidR="0038556F">
        <w:t>-cel</w:t>
      </w:r>
      <w:r w:rsidRPr="00D46F00">
        <w:t xml:space="preserve"> in combination with investigational </w:t>
      </w:r>
      <w:proofErr w:type="spellStart"/>
      <w:r w:rsidRPr="00D46F00">
        <w:t>lete</w:t>
      </w:r>
      <w:proofErr w:type="spellEnd"/>
      <w:r w:rsidRPr="00D46F00">
        <w:noBreakHyphen/>
        <w:t>cel</w:t>
      </w:r>
      <w:r w:rsidR="005D3B0D">
        <w:t xml:space="preserve"> </w:t>
      </w:r>
      <w:r w:rsidR="001548A1">
        <w:t>for</w:t>
      </w:r>
      <w:r w:rsidR="005D3B0D">
        <w:t xml:space="preserve"> </w:t>
      </w:r>
      <w:r w:rsidR="004F4531">
        <w:t>treatment of synovial</w:t>
      </w:r>
      <w:r w:rsidR="001548A1">
        <w:t xml:space="preserve"> sarcoma</w:t>
      </w:r>
      <w:r w:rsidR="004F4531">
        <w:t xml:space="preserve"> </w:t>
      </w:r>
    </w:p>
    <w:p w14:paraId="5213A223" w14:textId="07B565D0" w:rsidR="004D2F31" w:rsidRDefault="004D2F31" w:rsidP="00D46F00">
      <w:pPr>
        <w:numPr>
          <w:ilvl w:val="0"/>
          <w:numId w:val="1"/>
        </w:numPr>
      </w:pPr>
      <w:r>
        <w:t xml:space="preserve">Clinical feasibility, safety or tolerability of </w:t>
      </w:r>
      <w:proofErr w:type="spellStart"/>
      <w:r w:rsidR="0038556F">
        <w:t>afami</w:t>
      </w:r>
      <w:proofErr w:type="spellEnd"/>
      <w:r w:rsidR="0038556F">
        <w:t>-cel</w:t>
      </w:r>
      <w:r>
        <w:t xml:space="preserve"> or </w:t>
      </w:r>
      <w:proofErr w:type="spellStart"/>
      <w:r>
        <w:t>lete</w:t>
      </w:r>
      <w:proofErr w:type="spellEnd"/>
      <w:r>
        <w:t xml:space="preserve">-cel in earlier treatment settings for appropriate </w:t>
      </w:r>
      <w:r w:rsidR="00EA1F68">
        <w:t>patient populations (synovial sarcoma and/or MRCLS)</w:t>
      </w:r>
    </w:p>
    <w:p w14:paraId="3BF9504F" w14:textId="77777777" w:rsidR="001548A1" w:rsidRDefault="00894DB6" w:rsidP="00894DB6">
      <w:pPr>
        <w:pStyle w:val="ListParagraph"/>
        <w:numPr>
          <w:ilvl w:val="0"/>
          <w:numId w:val="1"/>
        </w:numPr>
      </w:pPr>
      <w:r w:rsidRPr="004F4531">
        <w:t>Proposals may incorporate translational and biomarker</w:t>
      </w:r>
      <w:r w:rsidRPr="004F4531">
        <w:noBreakHyphen/>
        <w:t>focused objectives</w:t>
      </w:r>
    </w:p>
    <w:p w14:paraId="4A1C4999" w14:textId="57CBAEAF" w:rsidR="004D2F31" w:rsidRDefault="00894DB6" w:rsidP="001548A1">
      <w:pPr>
        <w:pStyle w:val="ListParagraph"/>
      </w:pPr>
      <w:r w:rsidRPr="004F4531">
        <w:t xml:space="preserve"> </w:t>
      </w:r>
    </w:p>
    <w:p w14:paraId="2665A98E" w14:textId="668AAD48" w:rsidR="00894DB6" w:rsidRPr="004F4531" w:rsidRDefault="00894DB6" w:rsidP="00894DB6">
      <w:pPr>
        <w:pStyle w:val="ListParagraph"/>
        <w:numPr>
          <w:ilvl w:val="0"/>
          <w:numId w:val="1"/>
        </w:numPr>
      </w:pPr>
      <w:r w:rsidRPr="004F4531">
        <w:t>Study designs may include single</w:t>
      </w:r>
      <w:r w:rsidRPr="004F4531">
        <w:noBreakHyphen/>
        <w:t>arm exploratory trials, window</w:t>
      </w:r>
      <w:r w:rsidRPr="004F4531">
        <w:noBreakHyphen/>
        <w:t>of</w:t>
      </w:r>
      <w:r w:rsidRPr="004F4531">
        <w:noBreakHyphen/>
        <w:t>opportunity studies, or other approaches appropriate for hypothesis generation in these rare tumor populations</w:t>
      </w:r>
    </w:p>
    <w:p w14:paraId="4425D419" w14:textId="4334354D" w:rsidR="00D46F00" w:rsidRPr="00D46F00" w:rsidRDefault="00D46F00" w:rsidP="00D46F00">
      <w:pPr>
        <w:numPr>
          <w:ilvl w:val="0"/>
          <w:numId w:val="1"/>
        </w:numPr>
      </w:pPr>
      <w:r w:rsidRPr="00D46F00">
        <w:t>Translational or biomarker</w:t>
      </w:r>
      <w:r w:rsidRPr="00D46F00">
        <w:noBreakHyphen/>
        <w:t>focused</w:t>
      </w:r>
      <w:r w:rsidR="00B4148F">
        <w:t xml:space="preserve"> endpoints</w:t>
      </w:r>
      <w:r w:rsidRPr="00D46F00">
        <w:t xml:space="preserve"> </w:t>
      </w:r>
      <w:r w:rsidR="00B4148F" w:rsidRPr="004F4531">
        <w:t>such as evaluation of antigen expression, immune microenvironment characteristics, T</w:t>
      </w:r>
      <w:r w:rsidR="00B4148F" w:rsidRPr="004F4531">
        <w:noBreakHyphen/>
        <w:t xml:space="preserve">cell expansion and persistence, minimal residual disease, </w:t>
      </w:r>
      <w:r w:rsidR="004D2F31">
        <w:t xml:space="preserve">resistance mechanisms, </w:t>
      </w:r>
      <w:r w:rsidR="00B4148F" w:rsidRPr="004F4531">
        <w:t>or correlations between early intervention and long</w:t>
      </w:r>
      <w:r w:rsidR="00B4148F" w:rsidRPr="004F4531">
        <w:noBreakHyphen/>
        <w:t>term clinical outcomes</w:t>
      </w:r>
      <w:r w:rsidR="00B4148F">
        <w:t xml:space="preserve"> </w:t>
      </w:r>
    </w:p>
    <w:p w14:paraId="7A469679" w14:textId="77777777" w:rsidR="00D46F00" w:rsidRPr="00D46F00" w:rsidRDefault="00D46F00" w:rsidP="00D46F00">
      <w:pPr>
        <w:numPr>
          <w:ilvl w:val="0"/>
          <w:numId w:val="1"/>
        </w:numPr>
      </w:pPr>
      <w:r w:rsidRPr="00D46F00">
        <w:t>Real</w:t>
      </w:r>
      <w:r w:rsidRPr="00D46F00">
        <w:noBreakHyphen/>
        <w:t>world or pragmatic clinical study designs appropriate for rare oncology populations</w:t>
      </w:r>
    </w:p>
    <w:p w14:paraId="0107A688" w14:textId="26D556ED" w:rsidR="00D46F00" w:rsidRPr="00D46F00" w:rsidRDefault="00D46F00" w:rsidP="00D46F00">
      <w:pPr>
        <w:numPr>
          <w:ilvl w:val="0"/>
          <w:numId w:val="1"/>
        </w:numPr>
      </w:pPr>
      <w:r w:rsidRPr="00D46F00">
        <w:lastRenderedPageBreak/>
        <w:t>Correlative science or exploratory endpoints aligned with combination</w:t>
      </w:r>
      <w:r>
        <w:t xml:space="preserve"> cellular</w:t>
      </w:r>
      <w:r w:rsidRPr="00D46F00">
        <w:t xml:space="preserve"> treatment strategies</w:t>
      </w:r>
    </w:p>
    <w:p w14:paraId="1D8C6B93" w14:textId="77777777" w:rsidR="00D46F00" w:rsidRPr="00D46F00" w:rsidRDefault="00D46F00" w:rsidP="00D46F00">
      <w:r w:rsidRPr="00D46F00">
        <w:t>Studies may be prospective or retrospective, interventional or observational, provided they are scientifically rigorous and ethically justified.</w:t>
      </w:r>
    </w:p>
    <w:p w14:paraId="2F07BAC6" w14:textId="77777777" w:rsidR="00D46F00" w:rsidRPr="00D46F00" w:rsidRDefault="00D46F00" w:rsidP="00D46F00">
      <w:r w:rsidRPr="00D46F00">
        <w:rPr>
          <w:b/>
          <w:bCs/>
        </w:rPr>
        <w:t>Note:</w:t>
      </w:r>
      <w:r w:rsidRPr="00D46F00">
        <w:t xml:space="preserve"> Lete</w:t>
      </w:r>
      <w:r w:rsidRPr="00D46F00">
        <w:noBreakHyphen/>
        <w:t xml:space="preserve">cel is an investigational product. Any proposed study involving </w:t>
      </w:r>
      <w:proofErr w:type="spellStart"/>
      <w:r w:rsidRPr="00D46F00">
        <w:t>lete</w:t>
      </w:r>
      <w:proofErr w:type="spellEnd"/>
      <w:r w:rsidRPr="00D46F00">
        <w:noBreakHyphen/>
        <w:t>cel must comply with all applicable regulatory requirements, including appropriate regulatory submissions and approvals prior to initiation.</w:t>
      </w:r>
    </w:p>
    <w:p w14:paraId="56951123" w14:textId="77777777" w:rsidR="00D46F00" w:rsidRPr="00D46F00" w:rsidRDefault="001C3AD1" w:rsidP="00D46F00">
      <w:r>
        <w:pict w14:anchorId="74AA1110">
          <v:rect id="_x0000_i1027" style="width:0;height:1.5pt" o:hralign="center" o:hrstd="t" o:hr="t" fillcolor="#a0a0a0" stroked="f"/>
        </w:pict>
      </w:r>
    </w:p>
    <w:p w14:paraId="2FBF4DAF" w14:textId="77777777" w:rsidR="00D46F00" w:rsidRPr="00D46F00" w:rsidRDefault="00D46F00" w:rsidP="00D46F00">
      <w:pPr>
        <w:rPr>
          <w:b/>
          <w:bCs/>
        </w:rPr>
      </w:pPr>
      <w:r w:rsidRPr="00D46F00">
        <w:rPr>
          <w:b/>
          <w:bCs/>
        </w:rPr>
        <w:t>Eligibility</w:t>
      </w:r>
    </w:p>
    <w:p w14:paraId="59140C30" w14:textId="77777777" w:rsidR="00D46F00" w:rsidRPr="00D46F00" w:rsidRDefault="00D46F00" w:rsidP="00D46F00">
      <w:r w:rsidRPr="00D46F00">
        <w:t>Eligible applicants include:</w:t>
      </w:r>
    </w:p>
    <w:p w14:paraId="71247091" w14:textId="77777777" w:rsidR="00D46F00" w:rsidRPr="00D46F00" w:rsidRDefault="00D46F00" w:rsidP="00D46F00">
      <w:pPr>
        <w:numPr>
          <w:ilvl w:val="0"/>
          <w:numId w:val="2"/>
        </w:numPr>
      </w:pPr>
      <w:r w:rsidRPr="00D46F00">
        <w:t>Qualified physicians, scientists, or investigators affiliated with an accredited academic or clinical research institution</w:t>
      </w:r>
    </w:p>
    <w:p w14:paraId="1DFF506E" w14:textId="77777777" w:rsidR="00D46F00" w:rsidRPr="00D46F00" w:rsidRDefault="00D46F00" w:rsidP="00D46F00">
      <w:pPr>
        <w:numPr>
          <w:ilvl w:val="0"/>
          <w:numId w:val="2"/>
        </w:numPr>
      </w:pPr>
      <w:r w:rsidRPr="00D46F00">
        <w:t>Institutions with demonstrated capability to conduct oncology and/or cellular therapy research in accordance with Good Clinical Practice (GCP)</w:t>
      </w:r>
    </w:p>
    <w:p w14:paraId="66BD5936" w14:textId="77777777" w:rsidR="00D46F00" w:rsidRPr="00D46F00" w:rsidRDefault="00D46F00" w:rsidP="00D46F00">
      <w:r w:rsidRPr="00D46F00">
        <w:t>Investigators must have appropriate expertise in sarcoma, cellular therapy, or related oncology research fields.</w:t>
      </w:r>
    </w:p>
    <w:p w14:paraId="091450E0" w14:textId="77777777" w:rsidR="00D46F00" w:rsidRPr="00D46F00" w:rsidRDefault="001C3AD1" w:rsidP="00D46F00">
      <w:r>
        <w:pict w14:anchorId="3B5D9976">
          <v:rect id="_x0000_i1028" style="width:0;height:1.5pt" o:hralign="center" o:hrstd="t" o:hr="t" fillcolor="#a0a0a0" stroked="f"/>
        </w:pict>
      </w:r>
    </w:p>
    <w:p w14:paraId="6B6F5632" w14:textId="77777777" w:rsidR="00D46F00" w:rsidRPr="00D46F00" w:rsidRDefault="00D46F00" w:rsidP="00D46F00">
      <w:pPr>
        <w:rPr>
          <w:b/>
          <w:bCs/>
        </w:rPr>
      </w:pPr>
      <w:r w:rsidRPr="00D46F00">
        <w:rPr>
          <w:b/>
          <w:bCs/>
        </w:rPr>
        <w:t>Study Support Available</w:t>
      </w:r>
    </w:p>
    <w:p w14:paraId="294ABE8A" w14:textId="77777777" w:rsidR="00D46F00" w:rsidRPr="00D46F00" w:rsidRDefault="00D46F00" w:rsidP="00D46F00">
      <w:r w:rsidRPr="00D46F00">
        <w:t>For selected proposals, the sponsor may provide:</w:t>
      </w:r>
    </w:p>
    <w:p w14:paraId="337C9012" w14:textId="5CA46E1E" w:rsidR="00D46F00" w:rsidRPr="00D46F00" w:rsidRDefault="00D46F00" w:rsidP="004B6947">
      <w:pPr>
        <w:numPr>
          <w:ilvl w:val="0"/>
          <w:numId w:val="3"/>
        </w:numPr>
      </w:pPr>
      <w:r w:rsidRPr="00D46F00">
        <w:rPr>
          <w:b/>
          <w:bCs/>
        </w:rPr>
        <w:t>Research funding</w:t>
      </w:r>
      <w:r w:rsidRPr="00D46F00">
        <w:t xml:space="preserve"> (amount determined based on scope, design, and budget justification)</w:t>
      </w:r>
      <w:r w:rsidR="004B6947">
        <w:t xml:space="preserve">. </w:t>
      </w:r>
      <w:r w:rsidR="004B6947" w:rsidRPr="004B6947">
        <w:t>Award amounts may include direct costs and institutional overhead costs (capped at 22% per company policy).</w:t>
      </w:r>
    </w:p>
    <w:p w14:paraId="4CAFD782" w14:textId="77777777" w:rsidR="00D46F00" w:rsidRPr="00D46F00" w:rsidRDefault="00D46F00" w:rsidP="00D46F00">
      <w:pPr>
        <w:numPr>
          <w:ilvl w:val="0"/>
          <w:numId w:val="3"/>
        </w:numPr>
      </w:pPr>
      <w:r w:rsidRPr="00D46F00">
        <w:rPr>
          <w:b/>
          <w:bCs/>
        </w:rPr>
        <w:t xml:space="preserve">Provision of investigational </w:t>
      </w:r>
      <w:proofErr w:type="spellStart"/>
      <w:r w:rsidRPr="00D46F00">
        <w:rPr>
          <w:b/>
          <w:bCs/>
        </w:rPr>
        <w:t>lete</w:t>
      </w:r>
      <w:proofErr w:type="spellEnd"/>
      <w:r w:rsidRPr="00D46F00">
        <w:rPr>
          <w:b/>
          <w:bCs/>
        </w:rPr>
        <w:noBreakHyphen/>
        <w:t>cel</w:t>
      </w:r>
      <w:r w:rsidRPr="00D46F00">
        <w:t>, subject to regulatory, manufacturing, and supply considerations</w:t>
      </w:r>
    </w:p>
    <w:p w14:paraId="10EB6F52" w14:textId="77777777" w:rsidR="00D46F00" w:rsidRPr="00D46F00" w:rsidRDefault="00D46F00" w:rsidP="00D46F00">
      <w:r w:rsidRPr="00D46F00">
        <w:t>Support is contingent upon successful scientific review, completion of contractual agreements, and receipt of all required regulatory and institutional approvals.</w:t>
      </w:r>
    </w:p>
    <w:p w14:paraId="331A4F24" w14:textId="77777777" w:rsidR="00D46F00" w:rsidRPr="00D46F00" w:rsidRDefault="001C3AD1" w:rsidP="00D46F00">
      <w:r>
        <w:pict w14:anchorId="10D50715">
          <v:rect id="_x0000_i1029" style="width:0;height:1.5pt" o:hralign="center" o:hrstd="t" o:hr="t" fillcolor="#a0a0a0" stroked="f"/>
        </w:pict>
      </w:r>
    </w:p>
    <w:p w14:paraId="135AF451" w14:textId="77777777" w:rsidR="00D46F00" w:rsidRPr="00D46F00" w:rsidRDefault="00D46F00" w:rsidP="00D46F00">
      <w:pPr>
        <w:rPr>
          <w:b/>
          <w:bCs/>
        </w:rPr>
      </w:pPr>
      <w:r w:rsidRPr="00D46F00">
        <w:rPr>
          <w:b/>
          <w:bCs/>
        </w:rPr>
        <w:t>Key Dates</w:t>
      </w:r>
    </w:p>
    <w:p w14:paraId="235B91E8" w14:textId="159F2C09" w:rsidR="00D46F00" w:rsidRPr="00D46F00" w:rsidRDefault="00D46F00" w:rsidP="00D46F00">
      <w:pPr>
        <w:numPr>
          <w:ilvl w:val="0"/>
          <w:numId w:val="4"/>
        </w:numPr>
      </w:pPr>
      <w:r w:rsidRPr="00D46F00">
        <w:rPr>
          <w:b/>
          <w:bCs/>
        </w:rPr>
        <w:t>RFP posting date:</w:t>
      </w:r>
      <w:r w:rsidRPr="00D46F00">
        <w:t xml:space="preserve"> </w:t>
      </w:r>
      <w:r w:rsidR="00CB5411">
        <w:t>May</w:t>
      </w:r>
      <w:r w:rsidR="00EA1F68">
        <w:t xml:space="preserve"> 1</w:t>
      </w:r>
      <w:r w:rsidR="00CB5411">
        <w:t>5</w:t>
      </w:r>
      <w:r w:rsidR="001613E2">
        <w:t>,</w:t>
      </w:r>
      <w:r w:rsidRPr="00D46F00">
        <w:t xml:space="preserve"> 2026</w:t>
      </w:r>
    </w:p>
    <w:p w14:paraId="0AF939E4" w14:textId="451B96F8" w:rsidR="00D46F00" w:rsidRPr="00D46F00" w:rsidRDefault="00EA1F68" w:rsidP="00D46F00">
      <w:pPr>
        <w:numPr>
          <w:ilvl w:val="0"/>
          <w:numId w:val="4"/>
        </w:numPr>
      </w:pPr>
      <w:r>
        <w:rPr>
          <w:b/>
          <w:bCs/>
        </w:rPr>
        <w:t>Preliminary p</w:t>
      </w:r>
      <w:r w:rsidR="00D46F00" w:rsidRPr="00D46F00">
        <w:rPr>
          <w:b/>
          <w:bCs/>
        </w:rPr>
        <w:t>roposal submission deadline:</w:t>
      </w:r>
      <w:r w:rsidR="00D46F00" w:rsidRPr="00D46F00">
        <w:t xml:space="preserve"> </w:t>
      </w:r>
      <w:r w:rsidR="008446DA">
        <w:t xml:space="preserve">August </w:t>
      </w:r>
      <w:r w:rsidR="000B404F">
        <w:t>31</w:t>
      </w:r>
      <w:r w:rsidR="00D46F00" w:rsidRPr="00EA1F68">
        <w:t>, 2026</w:t>
      </w:r>
    </w:p>
    <w:p w14:paraId="162E93AE" w14:textId="356FEB06" w:rsidR="00D46F00" w:rsidRPr="00D46F00" w:rsidRDefault="00D46F00" w:rsidP="00D46F00">
      <w:pPr>
        <w:numPr>
          <w:ilvl w:val="0"/>
          <w:numId w:val="4"/>
        </w:numPr>
      </w:pPr>
      <w:r w:rsidRPr="00D46F00">
        <w:rPr>
          <w:b/>
          <w:bCs/>
        </w:rPr>
        <w:t>Anticipated notification of funding decisions:</w:t>
      </w:r>
      <w:r w:rsidRPr="00D46F00">
        <w:t xml:space="preserve"> Q</w:t>
      </w:r>
      <w:r w:rsidR="000B404F">
        <w:t>3</w:t>
      </w:r>
      <w:r w:rsidRPr="00D46F00">
        <w:t xml:space="preserve"> 2026</w:t>
      </w:r>
    </w:p>
    <w:p w14:paraId="13E4485D" w14:textId="459C212F" w:rsidR="00D46F00" w:rsidRPr="00D46F00" w:rsidRDefault="00D46F00" w:rsidP="00D46F00">
      <w:pPr>
        <w:numPr>
          <w:ilvl w:val="0"/>
          <w:numId w:val="4"/>
        </w:numPr>
      </w:pPr>
      <w:r w:rsidRPr="00D46F00">
        <w:rPr>
          <w:b/>
          <w:bCs/>
        </w:rPr>
        <w:t>Target study initiation:</w:t>
      </w:r>
      <w:r w:rsidRPr="00D46F00">
        <w:t xml:space="preserve"> </w:t>
      </w:r>
      <w:r w:rsidR="000B404F" w:rsidRPr="000B404F">
        <w:t>Q2</w:t>
      </w:r>
      <w:r w:rsidRPr="000B404F">
        <w:t xml:space="preserve"> 2027,</w:t>
      </w:r>
      <w:r w:rsidRPr="00D46F00">
        <w:t xml:space="preserve"> contingent upon approvals</w:t>
      </w:r>
    </w:p>
    <w:p w14:paraId="37B8DC92" w14:textId="77777777" w:rsidR="00D46F00" w:rsidRPr="00D46F00" w:rsidRDefault="001C3AD1" w:rsidP="00D46F00">
      <w:r>
        <w:pict w14:anchorId="577D617B">
          <v:rect id="_x0000_i1030" style="width:0;height:1.5pt" o:hralign="center" o:hrstd="t" o:hr="t" fillcolor="#a0a0a0" stroked="f"/>
        </w:pict>
      </w:r>
    </w:p>
    <w:p w14:paraId="49F29D23" w14:textId="77777777" w:rsidR="00D46F00" w:rsidRPr="00D46F00" w:rsidRDefault="00D46F00" w:rsidP="00D46F00">
      <w:pPr>
        <w:rPr>
          <w:b/>
          <w:bCs/>
        </w:rPr>
      </w:pPr>
      <w:r w:rsidRPr="00D46F00">
        <w:rPr>
          <w:b/>
          <w:bCs/>
        </w:rPr>
        <w:lastRenderedPageBreak/>
        <w:t>Submission Requirements</w:t>
      </w:r>
    </w:p>
    <w:p w14:paraId="7B832838" w14:textId="77777777" w:rsidR="00D46F00" w:rsidRPr="00D46F00" w:rsidRDefault="00D46F00" w:rsidP="00D46F00">
      <w:r w:rsidRPr="00D46F00">
        <w:t>Initial submissions should include the following components (single PDF preferred):</w:t>
      </w:r>
    </w:p>
    <w:p w14:paraId="71AAEABF" w14:textId="77777777" w:rsidR="00D46F00" w:rsidRPr="00D46F00" w:rsidRDefault="00D46F00" w:rsidP="00D46F00">
      <w:pPr>
        <w:numPr>
          <w:ilvl w:val="0"/>
          <w:numId w:val="5"/>
        </w:numPr>
      </w:pPr>
      <w:r w:rsidRPr="00D46F00">
        <w:rPr>
          <w:b/>
          <w:bCs/>
        </w:rPr>
        <w:t>Study Synopsis</w:t>
      </w:r>
      <w:r w:rsidRPr="00D46F00">
        <w:t xml:space="preserve"> (maximum 2–3 pages) including:</w:t>
      </w:r>
    </w:p>
    <w:p w14:paraId="44FC8BB6" w14:textId="77777777" w:rsidR="00D46F00" w:rsidRPr="00D46F00" w:rsidRDefault="00D46F00" w:rsidP="00D46F00">
      <w:pPr>
        <w:numPr>
          <w:ilvl w:val="1"/>
          <w:numId w:val="5"/>
        </w:numPr>
      </w:pPr>
      <w:r w:rsidRPr="00D46F00">
        <w:t>Background and rationale</w:t>
      </w:r>
    </w:p>
    <w:p w14:paraId="2788955E" w14:textId="77777777" w:rsidR="00D46F00" w:rsidRPr="00D46F00" w:rsidRDefault="00D46F00" w:rsidP="00D46F00">
      <w:pPr>
        <w:numPr>
          <w:ilvl w:val="1"/>
          <w:numId w:val="5"/>
        </w:numPr>
      </w:pPr>
      <w:r w:rsidRPr="00D46F00">
        <w:t>Study objectives and endpoints</w:t>
      </w:r>
    </w:p>
    <w:p w14:paraId="3DD6FF3B" w14:textId="77777777" w:rsidR="00D46F00" w:rsidRPr="00D46F00" w:rsidRDefault="00D46F00" w:rsidP="00D46F00">
      <w:pPr>
        <w:numPr>
          <w:ilvl w:val="1"/>
          <w:numId w:val="5"/>
        </w:numPr>
      </w:pPr>
      <w:r w:rsidRPr="00D46F00">
        <w:t>Study design and methodology</w:t>
      </w:r>
    </w:p>
    <w:p w14:paraId="7C0A4A3B" w14:textId="77777777" w:rsidR="00D46F00" w:rsidRPr="00D46F00" w:rsidRDefault="00D46F00" w:rsidP="00D46F00">
      <w:pPr>
        <w:numPr>
          <w:ilvl w:val="1"/>
          <w:numId w:val="5"/>
        </w:numPr>
      </w:pPr>
      <w:r w:rsidRPr="00D46F00">
        <w:t>Patient population and key eligibility criteria</w:t>
      </w:r>
    </w:p>
    <w:p w14:paraId="31CEA46F" w14:textId="77777777" w:rsidR="00D46F00" w:rsidRPr="00D46F00" w:rsidRDefault="00D46F00" w:rsidP="00D46F00">
      <w:pPr>
        <w:numPr>
          <w:ilvl w:val="1"/>
          <w:numId w:val="5"/>
        </w:numPr>
      </w:pPr>
      <w:r w:rsidRPr="00D46F00">
        <w:t>Statistical considerations (as applicable)</w:t>
      </w:r>
    </w:p>
    <w:p w14:paraId="5F86F87C" w14:textId="77777777" w:rsidR="00D46F00" w:rsidRPr="00D46F00" w:rsidRDefault="00D46F00" w:rsidP="00D46F00">
      <w:pPr>
        <w:numPr>
          <w:ilvl w:val="1"/>
          <w:numId w:val="5"/>
        </w:numPr>
      </w:pPr>
      <w:r w:rsidRPr="00D46F00">
        <w:t>Estimated study duration</w:t>
      </w:r>
    </w:p>
    <w:p w14:paraId="57F795CC" w14:textId="77777777" w:rsidR="00D46F00" w:rsidRPr="00D46F00" w:rsidRDefault="00D46F00" w:rsidP="00D46F00">
      <w:pPr>
        <w:numPr>
          <w:ilvl w:val="0"/>
          <w:numId w:val="5"/>
        </w:numPr>
      </w:pPr>
      <w:r w:rsidRPr="00D46F00">
        <w:rPr>
          <w:b/>
          <w:bCs/>
        </w:rPr>
        <w:t>Investigator Curriculum Vitae</w:t>
      </w:r>
    </w:p>
    <w:p w14:paraId="503A8A66" w14:textId="77777777" w:rsidR="00D46F00" w:rsidRPr="00D46F00" w:rsidRDefault="00D46F00" w:rsidP="00D46F00">
      <w:pPr>
        <w:numPr>
          <w:ilvl w:val="0"/>
          <w:numId w:val="5"/>
        </w:numPr>
      </w:pPr>
      <w:r w:rsidRPr="00D46F00">
        <w:rPr>
          <w:b/>
          <w:bCs/>
        </w:rPr>
        <w:t>High</w:t>
      </w:r>
      <w:r w:rsidRPr="00D46F00">
        <w:rPr>
          <w:b/>
          <w:bCs/>
        </w:rPr>
        <w:noBreakHyphen/>
        <w:t>level Budget Outline</w:t>
      </w:r>
      <w:r w:rsidRPr="00D46F00">
        <w:t>, including justification</w:t>
      </w:r>
    </w:p>
    <w:p w14:paraId="70DC5C58" w14:textId="77777777" w:rsidR="00D46F00" w:rsidRPr="00D46F00" w:rsidRDefault="00D46F00" w:rsidP="00D46F00">
      <w:pPr>
        <w:numPr>
          <w:ilvl w:val="0"/>
          <w:numId w:val="5"/>
        </w:numPr>
      </w:pPr>
      <w:r w:rsidRPr="00D46F00">
        <w:rPr>
          <w:b/>
          <w:bCs/>
        </w:rPr>
        <w:t>Institutional Capabilities Summary</w:t>
      </w:r>
      <w:r w:rsidRPr="00D46F00">
        <w:t xml:space="preserve"> (optional but encouraged)</w:t>
      </w:r>
    </w:p>
    <w:p w14:paraId="50CF8E62" w14:textId="77777777" w:rsidR="00D46F00" w:rsidRPr="00D46F00" w:rsidRDefault="00D46F00" w:rsidP="00D46F00">
      <w:r w:rsidRPr="00D46F00">
        <w:t>Detailed protocols will be requested from selected investigators following initial review.</w:t>
      </w:r>
    </w:p>
    <w:p w14:paraId="45962D87" w14:textId="77777777" w:rsidR="00D46F00" w:rsidRPr="00D46F00" w:rsidRDefault="001C3AD1" w:rsidP="00D46F00">
      <w:r>
        <w:pict w14:anchorId="00119603">
          <v:rect id="_x0000_i1031" style="width:0;height:1.5pt" o:hralign="center" o:hrstd="t" o:hr="t" fillcolor="#a0a0a0" stroked="f"/>
        </w:pict>
      </w:r>
    </w:p>
    <w:p w14:paraId="2D5D6B69" w14:textId="77777777" w:rsidR="00D46F00" w:rsidRPr="00D46F00" w:rsidRDefault="00D46F00" w:rsidP="00D46F00">
      <w:pPr>
        <w:rPr>
          <w:b/>
          <w:bCs/>
        </w:rPr>
      </w:pPr>
      <w:r w:rsidRPr="00D46F00">
        <w:rPr>
          <w:b/>
          <w:bCs/>
        </w:rPr>
        <w:t>Review and Selection Process</w:t>
      </w:r>
    </w:p>
    <w:p w14:paraId="73EE6D0A" w14:textId="77777777" w:rsidR="00D46F00" w:rsidRPr="00D46F00" w:rsidRDefault="00D46F00" w:rsidP="00D46F00">
      <w:r w:rsidRPr="00D46F00">
        <w:t>Proposals will be evaluated by an internal scientific review committee based on:</w:t>
      </w:r>
    </w:p>
    <w:p w14:paraId="1CDA06EE" w14:textId="77777777" w:rsidR="00D46F00" w:rsidRPr="00D46F00" w:rsidRDefault="00D46F00" w:rsidP="00D46F00">
      <w:pPr>
        <w:numPr>
          <w:ilvl w:val="0"/>
          <w:numId w:val="6"/>
        </w:numPr>
      </w:pPr>
      <w:r w:rsidRPr="00D46F00">
        <w:t>Scientific merit and relevance to the stated areas of interest</w:t>
      </w:r>
    </w:p>
    <w:p w14:paraId="73489A52" w14:textId="77777777" w:rsidR="00D46F00" w:rsidRPr="00D46F00" w:rsidRDefault="00D46F00" w:rsidP="00D46F00">
      <w:pPr>
        <w:numPr>
          <w:ilvl w:val="0"/>
          <w:numId w:val="6"/>
        </w:numPr>
      </w:pPr>
      <w:r w:rsidRPr="00D46F00">
        <w:t>Feasibility and appropriateness of study design</w:t>
      </w:r>
    </w:p>
    <w:p w14:paraId="43552F07" w14:textId="77777777" w:rsidR="00D46F00" w:rsidRPr="00D46F00" w:rsidRDefault="00D46F00" w:rsidP="00D46F00">
      <w:pPr>
        <w:numPr>
          <w:ilvl w:val="0"/>
          <w:numId w:val="6"/>
        </w:numPr>
      </w:pPr>
      <w:r w:rsidRPr="00D46F00">
        <w:t>Investigator and institutional expertise</w:t>
      </w:r>
    </w:p>
    <w:p w14:paraId="35FA0778" w14:textId="77777777" w:rsidR="00D46F00" w:rsidRPr="00D46F00" w:rsidRDefault="00D46F00" w:rsidP="00D46F00">
      <w:pPr>
        <w:numPr>
          <w:ilvl w:val="0"/>
          <w:numId w:val="6"/>
        </w:numPr>
      </w:pPr>
      <w:r w:rsidRPr="00D46F00">
        <w:t>Ethical and regulatory considerations</w:t>
      </w:r>
    </w:p>
    <w:p w14:paraId="53FD5DF6" w14:textId="77777777" w:rsidR="00D46F00" w:rsidRPr="00D46F00" w:rsidRDefault="00D46F00" w:rsidP="00D46F00">
      <w:pPr>
        <w:numPr>
          <w:ilvl w:val="0"/>
          <w:numId w:val="6"/>
        </w:numPr>
      </w:pPr>
      <w:r w:rsidRPr="00D46F00">
        <w:t>Budget appropriateness</w:t>
      </w:r>
    </w:p>
    <w:p w14:paraId="3A0A7844" w14:textId="77777777" w:rsidR="00D46F00" w:rsidRPr="00D46F00" w:rsidRDefault="00D46F00" w:rsidP="00D46F00">
      <w:r w:rsidRPr="00D46F00">
        <w:t>Submission of a proposal does not guarantee funding or support.</w:t>
      </w:r>
    </w:p>
    <w:p w14:paraId="3EB490A2" w14:textId="77777777" w:rsidR="00D46F00" w:rsidRPr="00D46F00" w:rsidRDefault="001C3AD1" w:rsidP="00D46F00">
      <w:r>
        <w:pict w14:anchorId="3DB49AE6">
          <v:rect id="_x0000_i1032" style="width:0;height:1.5pt" o:hralign="center" o:hrstd="t" o:hr="t" fillcolor="#a0a0a0" stroked="f"/>
        </w:pict>
      </w:r>
    </w:p>
    <w:p w14:paraId="301D7F14" w14:textId="77777777" w:rsidR="00D46F00" w:rsidRPr="00D46F00" w:rsidRDefault="00D46F00" w:rsidP="00D46F00">
      <w:pPr>
        <w:rPr>
          <w:b/>
          <w:bCs/>
        </w:rPr>
      </w:pPr>
      <w:r w:rsidRPr="00D46F00">
        <w:rPr>
          <w:b/>
          <w:bCs/>
        </w:rPr>
        <w:t>Regulatory and Compliance Considerations</w:t>
      </w:r>
    </w:p>
    <w:p w14:paraId="76A0EF24" w14:textId="77777777" w:rsidR="00D46F00" w:rsidRPr="00D46F00" w:rsidRDefault="00D46F00" w:rsidP="00D46F00">
      <w:pPr>
        <w:numPr>
          <w:ilvl w:val="0"/>
          <w:numId w:val="7"/>
        </w:numPr>
      </w:pPr>
      <w:r w:rsidRPr="00D46F00">
        <w:t xml:space="preserve">All studies must be conducted as </w:t>
      </w:r>
      <w:r w:rsidRPr="00D46F00">
        <w:rPr>
          <w:b/>
          <w:bCs/>
        </w:rPr>
        <w:t>investigator</w:t>
      </w:r>
      <w:r w:rsidRPr="00D46F00">
        <w:rPr>
          <w:b/>
          <w:bCs/>
        </w:rPr>
        <w:noBreakHyphen/>
        <w:t>initiated research</w:t>
      </w:r>
      <w:r w:rsidRPr="00D46F00">
        <w:t>, with the investigator serving as the study sponsor under applicable regulations.</w:t>
      </w:r>
    </w:p>
    <w:p w14:paraId="17031FDB" w14:textId="77777777" w:rsidR="00D46F00" w:rsidRPr="00D46F00" w:rsidRDefault="00D46F00" w:rsidP="00D46F00">
      <w:pPr>
        <w:numPr>
          <w:ilvl w:val="0"/>
          <w:numId w:val="7"/>
        </w:numPr>
      </w:pPr>
      <w:r w:rsidRPr="00D46F00">
        <w:t xml:space="preserve">Investigators are responsible for obtaining </w:t>
      </w:r>
      <w:r w:rsidRPr="00D46F00">
        <w:rPr>
          <w:b/>
          <w:bCs/>
        </w:rPr>
        <w:t>Institutional Review Board (IRB)/Ethics Committee approval</w:t>
      </w:r>
      <w:r w:rsidRPr="00D46F00">
        <w:t>, and for submitting and maintaining any required regulatory filings (e.g., IND or equivalent), as applicable.</w:t>
      </w:r>
    </w:p>
    <w:p w14:paraId="6DE9DE10" w14:textId="5BC42DD5" w:rsidR="00D46F00" w:rsidRPr="00D46F00" w:rsidRDefault="0038556F" w:rsidP="00D46F00">
      <w:pPr>
        <w:numPr>
          <w:ilvl w:val="0"/>
          <w:numId w:val="7"/>
        </w:numPr>
      </w:pPr>
      <w:proofErr w:type="spellStart"/>
      <w:r>
        <w:lastRenderedPageBreak/>
        <w:t>Afami</w:t>
      </w:r>
      <w:proofErr w:type="spellEnd"/>
      <w:r>
        <w:t>-</w:t>
      </w:r>
      <w:proofErr w:type="gramStart"/>
      <w:r>
        <w:t>cel</w:t>
      </w:r>
      <w:proofErr w:type="gramEnd"/>
      <w:r w:rsidR="00D46F00" w:rsidRPr="00D46F00">
        <w:t xml:space="preserve"> will be used in accordance with its approved labeling. Lete</w:t>
      </w:r>
      <w:r w:rsidR="00D46F00" w:rsidRPr="00D46F00">
        <w:noBreakHyphen/>
        <w:t>cel is investigational and may only be used in accordance with applicable regulatory authorizations.</w:t>
      </w:r>
    </w:p>
    <w:p w14:paraId="3FF8ECEB" w14:textId="77777777" w:rsidR="00D46F00" w:rsidRPr="00D46F00" w:rsidRDefault="00D46F00" w:rsidP="00D46F00">
      <w:pPr>
        <w:numPr>
          <w:ilvl w:val="0"/>
          <w:numId w:val="7"/>
        </w:numPr>
      </w:pPr>
      <w:r w:rsidRPr="00D46F00">
        <w:t>Publications and presentations resulting from supported studies must acknowledge research support, consistent with contractual terms.</w:t>
      </w:r>
    </w:p>
    <w:p w14:paraId="4BA5DCCB" w14:textId="77777777" w:rsidR="00D46F00" w:rsidRPr="00D46F00" w:rsidRDefault="001C3AD1" w:rsidP="00D46F00">
      <w:r>
        <w:pict w14:anchorId="54A75108">
          <v:rect id="_x0000_i1033" style="width:0;height:1.5pt" o:hralign="center" o:hrstd="t" o:hr="t" fillcolor="#a0a0a0" stroked="f"/>
        </w:pict>
      </w:r>
    </w:p>
    <w:p w14:paraId="35144764" w14:textId="77777777" w:rsidR="00D46F00" w:rsidRPr="00D46F00" w:rsidRDefault="00D46F00" w:rsidP="00D46F00">
      <w:pPr>
        <w:rPr>
          <w:b/>
          <w:bCs/>
        </w:rPr>
      </w:pPr>
      <w:r w:rsidRPr="00D46F00">
        <w:rPr>
          <w:b/>
          <w:bCs/>
        </w:rPr>
        <w:t>How to Submit</w:t>
      </w:r>
    </w:p>
    <w:p w14:paraId="66039387" w14:textId="1C961EC6" w:rsidR="00D46F00" w:rsidRPr="00D46F00" w:rsidRDefault="00D46F00" w:rsidP="00D46F00">
      <w:r w:rsidRPr="00D46F00">
        <w:t xml:space="preserve">Proposals must be submitted electronically via the instruction provided </w:t>
      </w:r>
      <w:r w:rsidR="002B0312">
        <w:t xml:space="preserve">at </w:t>
      </w:r>
      <w:hyperlink r:id="rId5" w:anchor="grants" w:history="1">
        <w:r w:rsidR="002B0312" w:rsidRPr="002B0312">
          <w:rPr>
            <w:rStyle w:val="Hyperlink"/>
          </w:rPr>
          <w:t xml:space="preserve">Research &amp; Development | US </w:t>
        </w:r>
        <w:proofErr w:type="spellStart"/>
        <w:r w:rsidR="002B0312" w:rsidRPr="002B0312">
          <w:rPr>
            <w:rStyle w:val="Hyperlink"/>
          </w:rPr>
          <w:t>WorldMeds</w:t>
        </w:r>
        <w:proofErr w:type="spellEnd"/>
      </w:hyperlink>
      <w:r w:rsidR="002B0312">
        <w:t xml:space="preserve">. </w:t>
      </w:r>
      <w:r w:rsidR="001613E2">
        <w:t xml:space="preserve"> </w:t>
      </w:r>
    </w:p>
    <w:p w14:paraId="323F97D5" w14:textId="77777777" w:rsidR="00D46F00" w:rsidRPr="00D46F00" w:rsidRDefault="00D46F00" w:rsidP="00D46F00">
      <w:r w:rsidRPr="00D46F00">
        <w:t>For administrative questions related to this RFP, please contact:</w:t>
      </w:r>
    </w:p>
    <w:p w14:paraId="4CB08E89" w14:textId="7941A83A" w:rsidR="00D46F00" w:rsidRPr="00D46F00" w:rsidRDefault="002B0312" w:rsidP="00D46F00">
      <w:hyperlink r:id="rId6" w:history="1">
        <w:r w:rsidRPr="008D3D3C">
          <w:rPr>
            <w:rStyle w:val="Hyperlink"/>
            <w:b/>
            <w:bCs/>
          </w:rPr>
          <w:t>grants@usworldmeds.com</w:t>
        </w:r>
      </w:hyperlink>
      <w:r>
        <w:rPr>
          <w:b/>
          <w:bCs/>
        </w:rPr>
        <w:t xml:space="preserve"> </w:t>
      </w:r>
    </w:p>
    <w:p w14:paraId="2C58F48A" w14:textId="77777777" w:rsidR="00D46F00" w:rsidRPr="00D46F00" w:rsidRDefault="00D46F00" w:rsidP="00D46F00">
      <w:r w:rsidRPr="00D46F00">
        <w:t>Scientific questions will be addressed only in a manner consistent with applicable medical and regulatory guidelines.</w:t>
      </w:r>
    </w:p>
    <w:p w14:paraId="6BAA12A5" w14:textId="77777777" w:rsidR="00D46F00" w:rsidRPr="00D46F00" w:rsidRDefault="001C3AD1" w:rsidP="00D46F00">
      <w:r>
        <w:pict w14:anchorId="31DC8177">
          <v:rect id="_x0000_i1034" style="width:0;height:1.5pt" o:hralign="center" o:hrstd="t" o:hr="t" fillcolor="#a0a0a0" stroked="f"/>
        </w:pict>
      </w:r>
    </w:p>
    <w:p w14:paraId="769A2CD7" w14:textId="77777777" w:rsidR="00D46F00" w:rsidRPr="00D46F00" w:rsidRDefault="00D46F00" w:rsidP="00D46F00">
      <w:pPr>
        <w:rPr>
          <w:b/>
          <w:bCs/>
        </w:rPr>
      </w:pPr>
      <w:r w:rsidRPr="00D46F00">
        <w:rPr>
          <w:b/>
          <w:bCs/>
        </w:rPr>
        <w:t>Disclaimer</w:t>
      </w:r>
    </w:p>
    <w:p w14:paraId="13B71956" w14:textId="77777777" w:rsidR="00D46F00" w:rsidRPr="00D46F00" w:rsidRDefault="00D46F00" w:rsidP="00D46F00">
      <w:r w:rsidRPr="00D46F00">
        <w:t>This RFP is for independent scientific research purposes only and does not constitute a solicitation for promotional studies or commercial activities. The sponsor reserves the right to amend, suspend, or withdraw this RFP at any time.</w:t>
      </w:r>
    </w:p>
    <w:p w14:paraId="1545396A" w14:textId="77777777" w:rsidR="008C51A0" w:rsidRDefault="008C51A0"/>
    <w:sectPr w:rsidR="008C5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59B"/>
    <w:multiLevelType w:val="multilevel"/>
    <w:tmpl w:val="156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06F36"/>
    <w:multiLevelType w:val="multilevel"/>
    <w:tmpl w:val="821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148E5"/>
    <w:multiLevelType w:val="hybridMultilevel"/>
    <w:tmpl w:val="3D58C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540D"/>
    <w:multiLevelType w:val="multilevel"/>
    <w:tmpl w:val="8A7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82D68"/>
    <w:multiLevelType w:val="multilevel"/>
    <w:tmpl w:val="565C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D764A"/>
    <w:multiLevelType w:val="multilevel"/>
    <w:tmpl w:val="761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F19AF"/>
    <w:multiLevelType w:val="multilevel"/>
    <w:tmpl w:val="02CA7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AB2E54"/>
    <w:multiLevelType w:val="multilevel"/>
    <w:tmpl w:val="F41A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152682">
    <w:abstractNumId w:val="5"/>
  </w:num>
  <w:num w:numId="2" w16cid:durableId="1590233420">
    <w:abstractNumId w:val="4"/>
  </w:num>
  <w:num w:numId="3" w16cid:durableId="1289244438">
    <w:abstractNumId w:val="3"/>
  </w:num>
  <w:num w:numId="4" w16cid:durableId="1384913647">
    <w:abstractNumId w:val="1"/>
  </w:num>
  <w:num w:numId="5" w16cid:durableId="1538539320">
    <w:abstractNumId w:val="6"/>
  </w:num>
  <w:num w:numId="6" w16cid:durableId="769466506">
    <w:abstractNumId w:val="0"/>
  </w:num>
  <w:num w:numId="7" w16cid:durableId="2007896512">
    <w:abstractNumId w:val="7"/>
  </w:num>
  <w:num w:numId="8" w16cid:durableId="16674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00"/>
    <w:rsid w:val="000046DF"/>
    <w:rsid w:val="000358C9"/>
    <w:rsid w:val="000425BC"/>
    <w:rsid w:val="000A0AFA"/>
    <w:rsid w:val="000B404F"/>
    <w:rsid w:val="000D7822"/>
    <w:rsid w:val="001548A1"/>
    <w:rsid w:val="001613E2"/>
    <w:rsid w:val="001C3AD1"/>
    <w:rsid w:val="002B0312"/>
    <w:rsid w:val="003158CC"/>
    <w:rsid w:val="00320C56"/>
    <w:rsid w:val="0038556F"/>
    <w:rsid w:val="003F57E1"/>
    <w:rsid w:val="004167CC"/>
    <w:rsid w:val="004536BC"/>
    <w:rsid w:val="004B6947"/>
    <w:rsid w:val="004D2F31"/>
    <w:rsid w:val="004F233B"/>
    <w:rsid w:val="004F4531"/>
    <w:rsid w:val="005D3B0D"/>
    <w:rsid w:val="00644A58"/>
    <w:rsid w:val="006663F4"/>
    <w:rsid w:val="006E21C4"/>
    <w:rsid w:val="00786A44"/>
    <w:rsid w:val="007A12CC"/>
    <w:rsid w:val="008446DA"/>
    <w:rsid w:val="00846322"/>
    <w:rsid w:val="00894DB6"/>
    <w:rsid w:val="008C51A0"/>
    <w:rsid w:val="009A7AED"/>
    <w:rsid w:val="009B19A4"/>
    <w:rsid w:val="00A64DEE"/>
    <w:rsid w:val="00B4148F"/>
    <w:rsid w:val="00B82825"/>
    <w:rsid w:val="00C41F8F"/>
    <w:rsid w:val="00C73013"/>
    <w:rsid w:val="00CB5411"/>
    <w:rsid w:val="00CC67DB"/>
    <w:rsid w:val="00D107C9"/>
    <w:rsid w:val="00D457B8"/>
    <w:rsid w:val="00D46F00"/>
    <w:rsid w:val="00D96FD7"/>
    <w:rsid w:val="00DE6F09"/>
    <w:rsid w:val="00E9128A"/>
    <w:rsid w:val="00EA1F68"/>
    <w:rsid w:val="00F9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BD5BFF1"/>
  <w15:chartTrackingRefBased/>
  <w15:docId w15:val="{D1A83F0F-017F-4C2C-AD2D-2D5F2794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6F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F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F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F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F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6F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F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F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F00"/>
    <w:rPr>
      <w:rFonts w:eastAsiaTheme="majorEastAsia" w:cstheme="majorBidi"/>
      <w:color w:val="272727" w:themeColor="text1" w:themeTint="D8"/>
    </w:rPr>
  </w:style>
  <w:style w:type="paragraph" w:styleId="Title">
    <w:name w:val="Title"/>
    <w:basedOn w:val="Normal"/>
    <w:next w:val="Normal"/>
    <w:link w:val="TitleChar"/>
    <w:uiPriority w:val="10"/>
    <w:qFormat/>
    <w:rsid w:val="00D4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F00"/>
    <w:pPr>
      <w:spacing w:before="160"/>
      <w:jc w:val="center"/>
    </w:pPr>
    <w:rPr>
      <w:i/>
      <w:iCs/>
      <w:color w:val="404040" w:themeColor="text1" w:themeTint="BF"/>
    </w:rPr>
  </w:style>
  <w:style w:type="character" w:customStyle="1" w:styleId="QuoteChar">
    <w:name w:val="Quote Char"/>
    <w:basedOn w:val="DefaultParagraphFont"/>
    <w:link w:val="Quote"/>
    <w:uiPriority w:val="29"/>
    <w:rsid w:val="00D46F00"/>
    <w:rPr>
      <w:i/>
      <w:iCs/>
      <w:color w:val="404040" w:themeColor="text1" w:themeTint="BF"/>
    </w:rPr>
  </w:style>
  <w:style w:type="paragraph" w:styleId="ListParagraph">
    <w:name w:val="List Paragraph"/>
    <w:basedOn w:val="Normal"/>
    <w:uiPriority w:val="34"/>
    <w:qFormat/>
    <w:rsid w:val="00D46F00"/>
    <w:pPr>
      <w:ind w:left="720"/>
      <w:contextualSpacing/>
    </w:pPr>
  </w:style>
  <w:style w:type="character" w:styleId="IntenseEmphasis">
    <w:name w:val="Intense Emphasis"/>
    <w:basedOn w:val="DefaultParagraphFont"/>
    <w:uiPriority w:val="21"/>
    <w:qFormat/>
    <w:rsid w:val="00D46F00"/>
    <w:rPr>
      <w:i/>
      <w:iCs/>
      <w:color w:val="2F5496" w:themeColor="accent1" w:themeShade="BF"/>
    </w:rPr>
  </w:style>
  <w:style w:type="paragraph" w:styleId="IntenseQuote">
    <w:name w:val="Intense Quote"/>
    <w:basedOn w:val="Normal"/>
    <w:next w:val="Normal"/>
    <w:link w:val="IntenseQuoteChar"/>
    <w:uiPriority w:val="30"/>
    <w:qFormat/>
    <w:rsid w:val="00D46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F00"/>
    <w:rPr>
      <w:i/>
      <w:iCs/>
      <w:color w:val="2F5496" w:themeColor="accent1" w:themeShade="BF"/>
    </w:rPr>
  </w:style>
  <w:style w:type="character" w:styleId="IntenseReference">
    <w:name w:val="Intense Reference"/>
    <w:basedOn w:val="DefaultParagraphFont"/>
    <w:uiPriority w:val="32"/>
    <w:qFormat/>
    <w:rsid w:val="00D46F00"/>
    <w:rPr>
      <w:b/>
      <w:bCs/>
      <w:smallCaps/>
      <w:color w:val="2F5496" w:themeColor="accent1" w:themeShade="BF"/>
      <w:spacing w:val="5"/>
    </w:rPr>
  </w:style>
  <w:style w:type="character" w:styleId="Hyperlink">
    <w:name w:val="Hyperlink"/>
    <w:basedOn w:val="DefaultParagraphFont"/>
    <w:uiPriority w:val="99"/>
    <w:unhideWhenUsed/>
    <w:rsid w:val="00F977D8"/>
    <w:rPr>
      <w:color w:val="0563C1" w:themeColor="hyperlink"/>
      <w:u w:val="single"/>
    </w:rPr>
  </w:style>
  <w:style w:type="character" w:styleId="UnresolvedMention">
    <w:name w:val="Unresolved Mention"/>
    <w:basedOn w:val="DefaultParagraphFont"/>
    <w:uiPriority w:val="99"/>
    <w:semiHidden/>
    <w:unhideWhenUsed/>
    <w:rsid w:val="00F9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usworldmeds.com" TargetMode="External"/><Relationship Id="rId5" Type="http://schemas.openxmlformats.org/officeDocument/2006/relationships/hyperlink" Target="https://usworldmeds.com/research-develop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8761</Characters>
  <Application>Microsoft Office Word</Application>
  <DocSecurity>0</DocSecurity>
  <Lines>159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Gullo</dc:creator>
  <cp:keywords/>
  <dc:description/>
  <cp:lastModifiedBy>Rachel Imam</cp:lastModifiedBy>
  <cp:revision>2</cp:revision>
  <dcterms:created xsi:type="dcterms:W3CDTF">2026-05-08T20:38:00Z</dcterms:created>
  <dcterms:modified xsi:type="dcterms:W3CDTF">2026-05-08T20:38:00Z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4d8e2d-2ee4-41e6-a558-f33a52e0856d_Enabled">
    <vt:lpwstr>true</vt:lpwstr>
  </property>
  <property fmtid="{D5CDD505-2E9C-101B-9397-08002B2CF9AE}" pid="3" name="MSIP_Label_734d8e2d-2ee4-41e6-a558-f33a52e0856d_SetDate">
    <vt:lpwstr>2026-03-02T19:45:14Z</vt:lpwstr>
  </property>
  <property fmtid="{D5CDD505-2E9C-101B-9397-08002B2CF9AE}" pid="4" name="MSIP_Label_734d8e2d-2ee4-41e6-a558-f33a52e0856d_Method">
    <vt:lpwstr>Standard</vt:lpwstr>
  </property>
  <property fmtid="{D5CDD505-2E9C-101B-9397-08002B2CF9AE}" pid="5" name="MSIP_Label_734d8e2d-2ee4-41e6-a558-f33a52e0856d_Name">
    <vt:lpwstr>defa4170-0d19-0005-0004-bc88714345d2</vt:lpwstr>
  </property>
  <property fmtid="{D5CDD505-2E9C-101B-9397-08002B2CF9AE}" pid="6" name="MSIP_Label_734d8e2d-2ee4-41e6-a558-f33a52e0856d_SiteId">
    <vt:lpwstr>3fb754c7-3d32-472c-96e4-febfb53d5d4e</vt:lpwstr>
  </property>
  <property fmtid="{D5CDD505-2E9C-101B-9397-08002B2CF9AE}" pid="7" name="MSIP_Label_734d8e2d-2ee4-41e6-a558-f33a52e0856d_ActionId">
    <vt:lpwstr>a49c34c2-7191-46d5-9ad1-77a2935677bc</vt:lpwstr>
  </property>
  <property fmtid="{D5CDD505-2E9C-101B-9397-08002B2CF9AE}" pid="8" name="MSIP_Label_734d8e2d-2ee4-41e6-a558-f33a52e0856d_ContentBits">
    <vt:lpwstr>0</vt:lpwstr>
  </property>
  <property fmtid="{D5CDD505-2E9C-101B-9397-08002B2CF9AE}" pid="9" name="MSIP_Label_734d8e2d-2ee4-41e6-a558-f33a52e0856d_Tag">
    <vt:lpwstr>10, 3, 0, 1</vt:lpwstr>
  </property>
</Properties>
</file>