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8236" w14:textId="179081CE" w:rsidR="00361B82" w:rsidRPr="00234F0B" w:rsidRDefault="004075F8" w:rsidP="00234F0B">
      <w:pPr>
        <w:pStyle w:val="Heading1"/>
        <w:jc w:val="center"/>
        <w:rPr>
          <w:rFonts w:eastAsia="Times New Roman"/>
          <w:b/>
          <w:bCs/>
          <w:sz w:val="52"/>
          <w:szCs w:val="52"/>
          <w:bdr w:val="none" w:sz="0" w:space="0" w:color="auto" w:frame="1"/>
        </w:rPr>
      </w:pPr>
      <w:r w:rsidRPr="00234F0B">
        <w:rPr>
          <w:rFonts w:eastAsia="Times New Roman"/>
          <w:b/>
          <w:bCs/>
          <w:sz w:val="52"/>
          <w:szCs w:val="52"/>
          <w:bdr w:val="none" w:sz="0" w:space="0" w:color="auto" w:frame="1"/>
        </w:rPr>
        <w:t>2020 NEC Electrical Calculations &amp; Master Exam Prep Course</w:t>
      </w:r>
    </w:p>
    <w:p w14:paraId="18D287D2" w14:textId="1C3DDE7F" w:rsidR="00634498" w:rsidRPr="00634498" w:rsidRDefault="00634498" w:rsidP="00634498">
      <w:pPr>
        <w:shd w:val="clear" w:color="auto" w:fill="FFFFFF"/>
        <w:spacing w:after="0" w:line="360" w:lineRule="atLeast"/>
        <w:rPr>
          <w:rFonts w:ascii="Tahoma" w:eastAsia="Times New Roman" w:hAnsi="Tahoma" w:cs="Tahoma"/>
          <w:color w:val="242424"/>
          <w:sz w:val="20"/>
          <w:szCs w:val="20"/>
        </w:rPr>
      </w:pPr>
      <w:r w:rsidRPr="00634498">
        <w:rPr>
          <w:rFonts w:ascii="Tahoma" w:eastAsia="Times New Roman" w:hAnsi="Tahoma" w:cs="Tahoma"/>
          <w:color w:val="242424"/>
          <w:sz w:val="20"/>
          <w:szCs w:val="20"/>
          <w:bdr w:val="none" w:sz="0" w:space="0" w:color="auto" w:frame="1"/>
        </w:rPr>
        <w:t>This course will cover calculations for branch circuits, feeders, motors, single and multi-family dwellings, commercial properties, stores, voltage drop, fault current, demand factors, neutral loads, calculations based on square footage, transformers, generators, track lighting, show window, appliances, etc.</w:t>
      </w:r>
    </w:p>
    <w:p w14:paraId="5FB146F3" w14:textId="77777777" w:rsidR="00634498" w:rsidRPr="00634498" w:rsidRDefault="00634498" w:rsidP="00634498">
      <w:pPr>
        <w:shd w:val="clear" w:color="auto" w:fill="FFFFFF"/>
        <w:spacing w:after="0" w:line="360" w:lineRule="atLeast"/>
        <w:rPr>
          <w:rFonts w:ascii="Tahoma" w:eastAsia="Times New Roman" w:hAnsi="Tahoma" w:cs="Tahoma"/>
          <w:color w:val="242424"/>
          <w:sz w:val="20"/>
          <w:szCs w:val="20"/>
        </w:rPr>
      </w:pPr>
      <w:r w:rsidRPr="00634498">
        <w:rPr>
          <w:rFonts w:ascii="Tahoma" w:eastAsia="Times New Roman" w:hAnsi="Tahoma" w:cs="Tahoma"/>
          <w:color w:val="242424"/>
          <w:sz w:val="20"/>
          <w:szCs w:val="20"/>
          <w:bdr w:val="none" w:sz="0" w:space="0" w:color="auto" w:frame="1"/>
        </w:rPr>
        <w:t>Proven test taking techniques and strategies are taught, which are necessary to pass the exam. Calculations for this class contain solid and proven exam prep instruction.</w:t>
      </w:r>
    </w:p>
    <w:p w14:paraId="2EFBB2F1" w14:textId="795CCF0F" w:rsidR="00634498" w:rsidRPr="00634498" w:rsidRDefault="00634498" w:rsidP="00634498">
      <w:pPr>
        <w:shd w:val="clear" w:color="auto" w:fill="FFFFFF"/>
        <w:spacing w:after="0" w:line="360" w:lineRule="atLeast"/>
        <w:rPr>
          <w:rFonts w:ascii="Tahoma" w:eastAsia="Times New Roman" w:hAnsi="Tahoma" w:cs="Tahoma"/>
          <w:color w:val="242424"/>
          <w:sz w:val="20"/>
          <w:szCs w:val="20"/>
        </w:rPr>
      </w:pPr>
      <w:r w:rsidRPr="00634498">
        <w:rPr>
          <w:rFonts w:ascii="Tahoma" w:eastAsia="Times New Roman" w:hAnsi="Tahoma" w:cs="Tahoma"/>
          <w:color w:val="242424"/>
          <w:sz w:val="20"/>
          <w:szCs w:val="20"/>
          <w:bdr w:val="none" w:sz="0" w:space="0" w:color="auto" w:frame="1"/>
        </w:rPr>
        <w:t xml:space="preserve">The </w:t>
      </w:r>
      <w:r w:rsidR="0039457A">
        <w:rPr>
          <w:rFonts w:ascii="Tahoma" w:eastAsia="Times New Roman" w:hAnsi="Tahoma" w:cs="Tahoma"/>
          <w:color w:val="242424"/>
          <w:sz w:val="20"/>
          <w:szCs w:val="20"/>
          <w:bdr w:val="none" w:sz="0" w:space="0" w:color="auto" w:frame="1"/>
        </w:rPr>
        <w:t>Mike Holt</w:t>
      </w:r>
      <w:r w:rsidR="00E5465A">
        <w:rPr>
          <w:rFonts w:ascii="Tahoma" w:eastAsia="Times New Roman" w:hAnsi="Tahoma" w:cs="Tahoma"/>
          <w:color w:val="242424"/>
          <w:sz w:val="20"/>
          <w:szCs w:val="20"/>
          <w:bdr w:val="none" w:sz="0" w:space="0" w:color="auto" w:frame="1"/>
        </w:rPr>
        <w:t xml:space="preserve"> Prep </w:t>
      </w:r>
      <w:r w:rsidRPr="00634498">
        <w:rPr>
          <w:rFonts w:ascii="Tahoma" w:eastAsia="Times New Roman" w:hAnsi="Tahoma" w:cs="Tahoma"/>
          <w:color w:val="242424"/>
          <w:sz w:val="20"/>
          <w:szCs w:val="20"/>
          <w:bdr w:val="none" w:sz="0" w:space="0" w:color="auto" w:frame="1"/>
        </w:rPr>
        <w:t>workbook covers:</w:t>
      </w:r>
    </w:p>
    <w:p w14:paraId="090C9927" w14:textId="77777777" w:rsidR="00634498" w:rsidRPr="00634498" w:rsidRDefault="00634498" w:rsidP="00634498">
      <w:pPr>
        <w:pStyle w:val="NoSpacing"/>
        <w:numPr>
          <w:ilvl w:val="0"/>
          <w:numId w:val="3"/>
        </w:numPr>
      </w:pPr>
      <w:r w:rsidRPr="00634498">
        <w:rPr>
          <w:bdr w:val="none" w:sz="0" w:space="0" w:color="auto" w:frame="1"/>
        </w:rPr>
        <w:t>Understanding Continuous loads, Branch Circuits, Ampacity and Correction factors for Ambient temperatures</w:t>
      </w:r>
    </w:p>
    <w:p w14:paraId="435C193A" w14:textId="77777777" w:rsidR="00634498" w:rsidRPr="00634498" w:rsidRDefault="00634498" w:rsidP="00634498">
      <w:pPr>
        <w:pStyle w:val="NoSpacing"/>
        <w:numPr>
          <w:ilvl w:val="0"/>
          <w:numId w:val="3"/>
        </w:numPr>
      </w:pPr>
      <w:r w:rsidRPr="00634498">
        <w:rPr>
          <w:bdr w:val="none" w:sz="0" w:space="0" w:color="auto" w:frame="1"/>
        </w:rPr>
        <w:t>Neutral conductors, Conductor terminations per 110.14(C)</w:t>
      </w:r>
    </w:p>
    <w:p w14:paraId="3F40986B" w14:textId="77777777" w:rsidR="00634498" w:rsidRPr="00634498" w:rsidRDefault="00634498" w:rsidP="00634498">
      <w:pPr>
        <w:pStyle w:val="NoSpacing"/>
        <w:numPr>
          <w:ilvl w:val="0"/>
          <w:numId w:val="3"/>
        </w:numPr>
      </w:pPr>
      <w:r w:rsidRPr="00634498">
        <w:rPr>
          <w:bdr w:val="none" w:sz="0" w:space="0" w:color="auto" w:frame="1"/>
        </w:rPr>
        <w:t>Advantages of using 90 degree Celsius conductors (THHN)</w:t>
      </w:r>
    </w:p>
    <w:p w14:paraId="2C240C40" w14:textId="77777777" w:rsidR="00634498" w:rsidRPr="00634498" w:rsidRDefault="00634498" w:rsidP="00634498">
      <w:pPr>
        <w:pStyle w:val="NoSpacing"/>
        <w:numPr>
          <w:ilvl w:val="0"/>
          <w:numId w:val="3"/>
        </w:numPr>
      </w:pPr>
      <w:r w:rsidRPr="00634498">
        <w:rPr>
          <w:bdr w:val="none" w:sz="0" w:space="0" w:color="auto" w:frame="1"/>
        </w:rPr>
        <w:t>Calculating Motor Overload protection along with Overcurrent protection and wire sizing for the branch circuit and feeder for Single phase and Three phase Motors</w:t>
      </w:r>
    </w:p>
    <w:p w14:paraId="7DF6C2BF" w14:textId="77777777" w:rsidR="00634498" w:rsidRPr="00634498" w:rsidRDefault="00634498" w:rsidP="00634498">
      <w:pPr>
        <w:pStyle w:val="NoSpacing"/>
        <w:numPr>
          <w:ilvl w:val="0"/>
          <w:numId w:val="3"/>
        </w:numPr>
      </w:pPr>
      <w:r w:rsidRPr="00634498">
        <w:rPr>
          <w:bdr w:val="none" w:sz="0" w:space="0" w:color="auto" w:frame="1"/>
        </w:rPr>
        <w:t>Sizing Tap conductors and associated rules</w:t>
      </w:r>
    </w:p>
    <w:p w14:paraId="7E9A0EDF" w14:textId="77777777" w:rsidR="00634498" w:rsidRPr="00634498" w:rsidRDefault="00634498" w:rsidP="00634498">
      <w:pPr>
        <w:pStyle w:val="NoSpacing"/>
        <w:numPr>
          <w:ilvl w:val="0"/>
          <w:numId w:val="3"/>
        </w:numPr>
      </w:pPr>
      <w:r w:rsidRPr="00634498">
        <w:rPr>
          <w:bdr w:val="none" w:sz="0" w:space="0" w:color="auto" w:frame="1"/>
        </w:rPr>
        <w:t>Box/Conduit Sizing along with Straight pulls, Angle pulls and U pulls for conductor sizes #4 and larger</w:t>
      </w:r>
    </w:p>
    <w:p w14:paraId="77397A05" w14:textId="77777777" w:rsidR="00634498" w:rsidRPr="00634498" w:rsidRDefault="00634498" w:rsidP="00634498">
      <w:pPr>
        <w:pStyle w:val="NoSpacing"/>
        <w:numPr>
          <w:ilvl w:val="0"/>
          <w:numId w:val="3"/>
        </w:numPr>
      </w:pPr>
      <w:r w:rsidRPr="00634498">
        <w:rPr>
          <w:bdr w:val="none" w:sz="0" w:space="0" w:color="auto" w:frame="1"/>
        </w:rPr>
        <w:t>Residential and Commercial Cooking Equipment</w:t>
      </w:r>
    </w:p>
    <w:p w14:paraId="730AF924" w14:textId="77777777" w:rsidR="00634498" w:rsidRPr="00634498" w:rsidRDefault="00634498" w:rsidP="00634498">
      <w:pPr>
        <w:pStyle w:val="NoSpacing"/>
        <w:numPr>
          <w:ilvl w:val="0"/>
          <w:numId w:val="3"/>
        </w:numPr>
      </w:pPr>
      <w:r w:rsidRPr="00634498">
        <w:rPr>
          <w:bdr w:val="none" w:sz="0" w:space="0" w:color="auto" w:frame="1"/>
        </w:rPr>
        <w:t xml:space="preserve">Calculating Feeders and Services </w:t>
      </w:r>
      <w:r>
        <w:rPr>
          <w:bdr w:val="none" w:sz="0" w:space="0" w:color="auto" w:frame="1"/>
        </w:rPr>
        <w:t>f</w:t>
      </w:r>
      <w:r w:rsidRPr="00634498">
        <w:rPr>
          <w:bdr w:val="none" w:sz="0" w:space="0" w:color="auto" w:frame="1"/>
        </w:rPr>
        <w:t>or Mobile Homes, Trailer Parks and Marinas</w:t>
      </w:r>
    </w:p>
    <w:p w14:paraId="0704C681" w14:textId="77777777" w:rsidR="00634498" w:rsidRPr="00634498" w:rsidRDefault="00634498" w:rsidP="00634498">
      <w:pPr>
        <w:pStyle w:val="NoSpacing"/>
        <w:numPr>
          <w:ilvl w:val="0"/>
          <w:numId w:val="3"/>
        </w:numPr>
      </w:pPr>
      <w:r w:rsidRPr="00634498">
        <w:rPr>
          <w:bdr w:val="none" w:sz="0" w:space="0" w:color="auto" w:frame="1"/>
        </w:rPr>
        <w:t>Calculating Commercial &amp; Dwelling service sizes</w:t>
      </w:r>
    </w:p>
    <w:p w14:paraId="5D3FF00B" w14:textId="77777777" w:rsidR="00634498" w:rsidRPr="00634498" w:rsidRDefault="00634498" w:rsidP="00634498">
      <w:pPr>
        <w:pStyle w:val="NoSpacing"/>
        <w:numPr>
          <w:ilvl w:val="0"/>
          <w:numId w:val="3"/>
        </w:numPr>
      </w:pPr>
      <w:r w:rsidRPr="00634498">
        <w:rPr>
          <w:bdr w:val="none" w:sz="0" w:space="0" w:color="auto" w:frame="1"/>
        </w:rPr>
        <w:t>Sizing Feeders For Commercial and Mul</w:t>
      </w:r>
      <w:r>
        <w:rPr>
          <w:bdr w:val="none" w:sz="0" w:space="0" w:color="auto" w:frame="1"/>
        </w:rPr>
        <w:t>t</w:t>
      </w:r>
      <w:r w:rsidRPr="00634498">
        <w:rPr>
          <w:bdr w:val="none" w:sz="0" w:space="0" w:color="auto" w:frame="1"/>
        </w:rPr>
        <w:t>i-Family Buildings</w:t>
      </w:r>
    </w:p>
    <w:p w14:paraId="78E8C423" w14:textId="77777777" w:rsidR="00634498" w:rsidRPr="00634498" w:rsidRDefault="00634498" w:rsidP="00634498">
      <w:pPr>
        <w:pStyle w:val="NoSpacing"/>
        <w:numPr>
          <w:ilvl w:val="0"/>
          <w:numId w:val="3"/>
        </w:numPr>
      </w:pPr>
      <w:r w:rsidRPr="00634498">
        <w:rPr>
          <w:bdr w:val="none" w:sz="0" w:space="0" w:color="auto" w:frame="1"/>
        </w:rPr>
        <w:t>Paralleling Conductors and understanding its rules</w:t>
      </w:r>
    </w:p>
    <w:p w14:paraId="14B9735F" w14:textId="77777777" w:rsidR="00634498" w:rsidRPr="00634498" w:rsidRDefault="00634498" w:rsidP="00634498">
      <w:pPr>
        <w:pStyle w:val="NoSpacing"/>
        <w:numPr>
          <w:ilvl w:val="0"/>
          <w:numId w:val="3"/>
        </w:numPr>
      </w:pPr>
      <w:r w:rsidRPr="00634498">
        <w:rPr>
          <w:bdr w:val="none" w:sz="0" w:space="0" w:color="auto" w:frame="1"/>
        </w:rPr>
        <w:t>Panelboard Sizing, &amp; MORE!</w:t>
      </w:r>
    </w:p>
    <w:p w14:paraId="298BB258" w14:textId="77777777" w:rsidR="00634498" w:rsidRPr="00634498" w:rsidRDefault="00634498" w:rsidP="00634498">
      <w:pPr>
        <w:pStyle w:val="NoSpacing"/>
        <w:numPr>
          <w:ilvl w:val="0"/>
          <w:numId w:val="3"/>
        </w:numPr>
      </w:pPr>
      <w:r w:rsidRPr="00634498">
        <w:rPr>
          <w:bdr w:val="none" w:sz="0" w:space="0" w:color="auto" w:frame="1"/>
        </w:rPr>
        <w:t>Transformers</w:t>
      </w:r>
    </w:p>
    <w:p w14:paraId="6F45A199" w14:textId="77777777" w:rsidR="00634498" w:rsidRPr="00634498" w:rsidRDefault="00634498" w:rsidP="00634498">
      <w:pPr>
        <w:pStyle w:val="NoSpacing"/>
        <w:numPr>
          <w:ilvl w:val="0"/>
          <w:numId w:val="3"/>
        </w:numPr>
      </w:pPr>
      <w:r w:rsidRPr="00634498">
        <w:rPr>
          <w:bdr w:val="none" w:sz="0" w:space="0" w:color="auto" w:frame="1"/>
        </w:rPr>
        <w:t>Theory</w:t>
      </w:r>
    </w:p>
    <w:p w14:paraId="5D555D4C" w14:textId="77777777" w:rsidR="00634498" w:rsidRPr="00634498" w:rsidRDefault="00634498" w:rsidP="00634498">
      <w:pPr>
        <w:pStyle w:val="NoSpacing"/>
        <w:numPr>
          <w:ilvl w:val="0"/>
          <w:numId w:val="3"/>
        </w:numPr>
      </w:pPr>
      <w:r w:rsidRPr="00634498">
        <w:rPr>
          <w:bdr w:val="none" w:sz="0" w:space="0" w:color="auto" w:frame="1"/>
        </w:rPr>
        <w:t>Test Taking Techniques and Strategies</w:t>
      </w:r>
    </w:p>
    <w:p w14:paraId="2EE90A0C" w14:textId="77777777" w:rsidR="00634498" w:rsidRPr="00634498" w:rsidRDefault="00634498" w:rsidP="00634498">
      <w:pPr>
        <w:pStyle w:val="NoSpacing"/>
        <w:numPr>
          <w:ilvl w:val="0"/>
          <w:numId w:val="3"/>
        </w:numPr>
        <w:rPr>
          <w:bdr w:val="none" w:sz="0" w:space="0" w:color="auto" w:frame="1"/>
        </w:rPr>
      </w:pPr>
      <w:r w:rsidRPr="00634498">
        <w:rPr>
          <w:bdr w:val="none" w:sz="0" w:space="0" w:color="auto" w:frame="1"/>
        </w:rPr>
        <w:t>And much, much more</w:t>
      </w:r>
    </w:p>
    <w:p w14:paraId="3D33353E" w14:textId="77777777" w:rsidR="00634498" w:rsidRPr="00634498" w:rsidRDefault="00634498" w:rsidP="00634498">
      <w:pPr>
        <w:shd w:val="clear" w:color="auto" w:fill="FFFFFF"/>
        <w:spacing w:after="0" w:line="360" w:lineRule="atLeast"/>
        <w:ind w:left="360"/>
        <w:rPr>
          <w:rFonts w:ascii="Tahoma" w:eastAsia="Times New Roman" w:hAnsi="Tahoma" w:cs="Tahoma"/>
          <w:color w:val="242424"/>
          <w:sz w:val="20"/>
          <w:szCs w:val="20"/>
        </w:rPr>
      </w:pPr>
      <w:r w:rsidRPr="00634498">
        <w:rPr>
          <w:rFonts w:ascii="Tahoma" w:eastAsia="Times New Roman" w:hAnsi="Tahoma" w:cs="Tahoma"/>
          <w:color w:val="242424"/>
          <w:sz w:val="20"/>
          <w:szCs w:val="20"/>
          <w:bdr w:val="none" w:sz="0" w:space="0" w:color="auto" w:frame="1"/>
        </w:rPr>
        <w:t>This is an extensive calculation class mainly from articles 210, 215, 220,230,240, which will thoroughly prepare you for the master electrician's exam. This is also for those individuals wanting to take a refresher course on calculations and related codes.</w:t>
      </w:r>
    </w:p>
    <w:p w14:paraId="708E5EEA" w14:textId="69D49AA7" w:rsidR="00634498" w:rsidRPr="00634498" w:rsidRDefault="00634498" w:rsidP="00634498">
      <w:pPr>
        <w:pStyle w:val="ListParagraph"/>
        <w:shd w:val="clear" w:color="auto" w:fill="FFFFFF"/>
        <w:spacing w:after="0" w:line="360" w:lineRule="atLeast"/>
        <w:rPr>
          <w:rFonts w:ascii="Tahoma" w:eastAsia="Times New Roman" w:hAnsi="Tahoma" w:cs="Tahoma"/>
          <w:color w:val="242424"/>
          <w:sz w:val="20"/>
          <w:szCs w:val="20"/>
        </w:rPr>
      </w:pPr>
      <w:r w:rsidRPr="00634498">
        <w:rPr>
          <w:rFonts w:ascii="Tahoma" w:eastAsia="Times New Roman" w:hAnsi="Tahoma" w:cs="Tahoma"/>
          <w:color w:val="242424"/>
          <w:sz w:val="20"/>
          <w:szCs w:val="20"/>
          <w:bdr w:val="none" w:sz="0" w:space="0" w:color="auto" w:frame="1"/>
        </w:rPr>
        <w:t>Learn from a dynamic, proven and experienced professional teacher. Do not put your future or your profits in the hands of amateurs or ineffective unqualified teachers</w:t>
      </w:r>
      <w:r>
        <w:rPr>
          <w:rFonts w:ascii="Tahoma" w:eastAsia="Times New Roman" w:hAnsi="Tahoma" w:cs="Tahoma"/>
          <w:color w:val="242424"/>
          <w:sz w:val="20"/>
          <w:szCs w:val="20"/>
          <w:bdr w:val="none" w:sz="0" w:space="0" w:color="auto" w:frame="1"/>
        </w:rPr>
        <w:t xml:space="preserve">. </w:t>
      </w:r>
      <w:r w:rsidRPr="00634498">
        <w:rPr>
          <w:rFonts w:ascii="Tahoma" w:eastAsia="Times New Roman" w:hAnsi="Tahoma" w:cs="Tahoma"/>
          <w:color w:val="242424"/>
          <w:sz w:val="20"/>
          <w:szCs w:val="20"/>
          <w:bdr w:val="none" w:sz="0" w:space="0" w:color="auto" w:frame="1"/>
        </w:rPr>
        <w:t xml:space="preserve"> All that is required is a 20</w:t>
      </w:r>
      <w:r w:rsidR="00440D01">
        <w:rPr>
          <w:rFonts w:ascii="Tahoma" w:eastAsia="Times New Roman" w:hAnsi="Tahoma" w:cs="Tahoma"/>
          <w:color w:val="242424"/>
          <w:sz w:val="20"/>
          <w:szCs w:val="20"/>
          <w:bdr w:val="none" w:sz="0" w:space="0" w:color="auto" w:frame="1"/>
        </w:rPr>
        <w:t>20</w:t>
      </w:r>
      <w:r w:rsidRPr="00634498">
        <w:rPr>
          <w:rFonts w:ascii="Tahoma" w:eastAsia="Times New Roman" w:hAnsi="Tahoma" w:cs="Tahoma"/>
          <w:color w:val="242424"/>
          <w:sz w:val="20"/>
          <w:szCs w:val="20"/>
          <w:bdr w:val="none" w:sz="0" w:space="0" w:color="auto" w:frame="1"/>
        </w:rPr>
        <w:t xml:space="preserve"> code book, calculator, </w:t>
      </w:r>
      <w:r w:rsidR="00361B82">
        <w:rPr>
          <w:rFonts w:ascii="Tahoma" w:eastAsia="Times New Roman" w:hAnsi="Tahoma" w:cs="Tahoma"/>
          <w:color w:val="242424"/>
          <w:sz w:val="20"/>
          <w:szCs w:val="20"/>
          <w:bdr w:val="none" w:sz="0" w:space="0" w:color="auto" w:frame="1"/>
        </w:rPr>
        <w:t xml:space="preserve">highlighters, </w:t>
      </w:r>
      <w:r w:rsidRPr="00634498">
        <w:rPr>
          <w:rFonts w:ascii="Tahoma" w:eastAsia="Times New Roman" w:hAnsi="Tahoma" w:cs="Tahoma"/>
          <w:color w:val="242424"/>
          <w:sz w:val="20"/>
          <w:szCs w:val="20"/>
          <w:bdr w:val="none" w:sz="0" w:space="0" w:color="auto" w:frame="1"/>
        </w:rPr>
        <w:t>basic math skills and a strong committed desire to work hard.</w:t>
      </w:r>
    </w:p>
    <w:p w14:paraId="20DC3D95" w14:textId="77777777" w:rsidR="00F25C54" w:rsidRPr="00634498" w:rsidRDefault="00F25C54">
      <w:pPr>
        <w:rPr>
          <w:rFonts w:ascii="Tahoma" w:hAnsi="Tahoma" w:cs="Tahoma"/>
          <w:sz w:val="20"/>
          <w:szCs w:val="20"/>
        </w:rPr>
      </w:pPr>
    </w:p>
    <w:sectPr w:rsidR="00F25C54" w:rsidRPr="00634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05689"/>
    <w:multiLevelType w:val="hybridMultilevel"/>
    <w:tmpl w:val="0780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84C51"/>
    <w:multiLevelType w:val="hybridMultilevel"/>
    <w:tmpl w:val="591A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428B0"/>
    <w:multiLevelType w:val="multilevel"/>
    <w:tmpl w:val="E41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528909">
    <w:abstractNumId w:val="2"/>
  </w:num>
  <w:num w:numId="2" w16cid:durableId="1567764044">
    <w:abstractNumId w:val="1"/>
  </w:num>
  <w:num w:numId="3" w16cid:durableId="81842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98"/>
    <w:rsid w:val="00234F0B"/>
    <w:rsid w:val="00361B82"/>
    <w:rsid w:val="0039457A"/>
    <w:rsid w:val="004075F8"/>
    <w:rsid w:val="00440D01"/>
    <w:rsid w:val="00483CC7"/>
    <w:rsid w:val="00634498"/>
    <w:rsid w:val="00E5465A"/>
    <w:rsid w:val="00F25C54"/>
    <w:rsid w:val="00FD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CEDF"/>
  <w15:chartTrackingRefBased/>
  <w15:docId w15:val="{DB3ECBF2-FAD7-45E2-84E9-6B5C232F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498"/>
    <w:pPr>
      <w:ind w:left="720"/>
      <w:contextualSpacing/>
    </w:pPr>
  </w:style>
  <w:style w:type="paragraph" w:styleId="NoSpacing">
    <w:name w:val="No Spacing"/>
    <w:uiPriority w:val="1"/>
    <w:qFormat/>
    <w:rsid w:val="00634498"/>
    <w:pPr>
      <w:spacing w:after="0" w:line="240" w:lineRule="auto"/>
    </w:pPr>
  </w:style>
  <w:style w:type="character" w:customStyle="1" w:styleId="Heading1Char">
    <w:name w:val="Heading 1 Char"/>
    <w:basedOn w:val="DefaultParagraphFont"/>
    <w:link w:val="Heading1"/>
    <w:uiPriority w:val="9"/>
    <w:rsid w:val="00361B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schumacher</dc:creator>
  <cp:keywords/>
  <dc:description/>
  <cp:lastModifiedBy>Marty Schumacher 365</cp:lastModifiedBy>
  <cp:revision>3</cp:revision>
  <cp:lastPrinted>2023-05-17T12:38:00Z</cp:lastPrinted>
  <dcterms:created xsi:type="dcterms:W3CDTF">2023-05-17T12:56:00Z</dcterms:created>
  <dcterms:modified xsi:type="dcterms:W3CDTF">2023-10-23T22:00:00Z</dcterms:modified>
</cp:coreProperties>
</file>