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26F3" w:rsidRDefault="00FC26F3" w:rsidP="00725492">
      <w:pPr>
        <w:jc w:val="center"/>
        <w:rPr>
          <w:rFonts w:ascii="Times New Roman" w:hAnsi="Times New Roman" w:cs="Times New Roman"/>
          <w:b/>
          <w:bCs/>
          <w:sz w:val="32"/>
          <w:szCs w:val="32"/>
        </w:rPr>
      </w:pPr>
      <w:r w:rsidRPr="00FC26F3">
        <w:rPr>
          <w:rFonts w:ascii="Times New Roman" w:hAnsi="Times New Roman" w:cs="Times New Roman"/>
          <w:b/>
          <w:bCs/>
          <w:sz w:val="32"/>
          <w:szCs w:val="32"/>
        </w:rPr>
        <w:t>The Revitalizing Energy through Advancing Clean</w:t>
      </w:r>
    </w:p>
    <w:p w:rsidR="00FC26F3" w:rsidRPr="00FC26F3" w:rsidRDefault="00FC26F3" w:rsidP="00FC26F3">
      <w:pPr>
        <w:jc w:val="center"/>
        <w:rPr>
          <w:rFonts w:ascii="Times New Roman" w:hAnsi="Times New Roman" w:cs="Times New Roman"/>
          <w:b/>
          <w:bCs/>
          <w:sz w:val="32"/>
          <w:szCs w:val="32"/>
        </w:rPr>
      </w:pPr>
      <w:r w:rsidRPr="00FC26F3">
        <w:rPr>
          <w:rFonts w:ascii="Times New Roman" w:hAnsi="Times New Roman" w:cs="Times New Roman"/>
          <w:b/>
          <w:bCs/>
          <w:sz w:val="32"/>
          <w:szCs w:val="32"/>
        </w:rPr>
        <w:t>Technologies (R.E.A.C.T.) Act</w:t>
      </w:r>
    </w:p>
    <w:p w:rsidR="00FC26F3" w:rsidRPr="00FC26F3" w:rsidRDefault="00FC26F3">
      <w:pPr>
        <w:rPr>
          <w:rFonts w:ascii="Times New Roman" w:hAnsi="Times New Roman" w:cs="Times New Roman"/>
        </w:rPr>
      </w:pPr>
    </w:p>
    <w:p w:rsidR="00FC26F3" w:rsidRPr="00FC26F3" w:rsidRDefault="00FC26F3">
      <w:pPr>
        <w:rPr>
          <w:rFonts w:ascii="Times New Roman" w:hAnsi="Times New Roman" w:cs="Times New Roman"/>
        </w:rPr>
      </w:pPr>
      <w:r w:rsidRPr="00FC26F3">
        <w:rPr>
          <w:rFonts w:ascii="Times New Roman" w:hAnsi="Times New Roman" w:cs="Times New Roman"/>
        </w:rPr>
        <w:t xml:space="preserve">BE IT ENACTED BY THE CONGRESS HERE ASSEMBLED THAT: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1.</w:t>
      </w:r>
      <w:r w:rsidRPr="00FC26F3">
        <w:rPr>
          <w:rFonts w:ascii="Times New Roman" w:hAnsi="Times New Roman" w:cs="Times New Roman"/>
        </w:rPr>
        <w:t xml:space="preserve"> The United States government shall transfer subsidies currently towards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f</w:t>
      </w:r>
      <w:r w:rsidRPr="00FC26F3">
        <w:rPr>
          <w:rFonts w:ascii="Times New Roman" w:hAnsi="Times New Roman" w:cs="Times New Roman"/>
        </w:rPr>
        <w:t xml:space="preserve">ossil fuels to the production of green technology and expansion thereof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gradually over the course of ten years. Additionally, the federal government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shall allocate $3 billion a year in grants to fund investments and innovations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 green technology with the goal of developing more affordable, efficient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technology.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2.</w:t>
      </w:r>
      <w:r w:rsidRPr="00FC26F3">
        <w:rPr>
          <w:rFonts w:ascii="Times New Roman" w:hAnsi="Times New Roman" w:cs="Times New Roman"/>
        </w:rPr>
        <w:t xml:space="preserve"> A. Subsidies refer to government assistance or investments into a specific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industry to lower the costs of production or stimulate a greater magnitude 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output.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Green energy refers to any renewable energy source that has the lowest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carbon footprint, such as solar power, wind power, and hydro power. Fossil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fuel refers to any nonrenewable source extracted from Earth and burned for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energy, such as coal, gas, and oil.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 Subsidies will be transferred at a rate of ten-percent the original amount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of fossil fuel subsidies per year.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3.</w:t>
      </w:r>
      <w:r w:rsidRPr="00FC26F3">
        <w:rPr>
          <w:rFonts w:ascii="Times New Roman" w:hAnsi="Times New Roman" w:cs="Times New Roman"/>
        </w:rPr>
        <w:t xml:space="preserve"> A. The Department of Energy (DOE) shall be the lead agency in overseeing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the research and innovation, and shall also manage the distribution 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grants.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The Department of the Treasury shall be the lead agency in overseeing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 transfer of subsidies away from fossil fuel sources.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 xml:space="preserve">SECTION </w:t>
      </w:r>
      <w:proofErr w:type="gramStart"/>
      <w:r w:rsidRPr="00FC26F3">
        <w:rPr>
          <w:rFonts w:ascii="Times New Roman" w:hAnsi="Times New Roman" w:cs="Times New Roman"/>
          <w:b/>
          <w:bCs/>
        </w:rPr>
        <w:t>4.</w:t>
      </w:r>
      <w:r w:rsidRPr="00FC26F3">
        <w:rPr>
          <w:rFonts w:ascii="Times New Roman" w:hAnsi="Times New Roman" w:cs="Times New Roman"/>
        </w:rPr>
        <w:t>This</w:t>
      </w:r>
      <w:proofErr w:type="gramEnd"/>
      <w:r w:rsidRPr="00FC26F3">
        <w:rPr>
          <w:rFonts w:ascii="Times New Roman" w:hAnsi="Times New Roman" w:cs="Times New Roman"/>
        </w:rPr>
        <w:t xml:space="preserve"> legislation will take effect on FY 2026. All laws in conflict with this </w:t>
      </w:r>
    </w:p>
    <w:p w:rsidR="00F018A0"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legislation </w:t>
      </w:r>
      <w:proofErr w:type="gramStart"/>
      <w:r w:rsidRPr="00FC26F3">
        <w:rPr>
          <w:rFonts w:ascii="Times New Roman" w:hAnsi="Times New Roman" w:cs="Times New Roman"/>
        </w:rPr>
        <w:t>are</w:t>
      </w:r>
      <w:proofErr w:type="gramEnd"/>
      <w:r w:rsidRPr="00FC26F3">
        <w:rPr>
          <w:rFonts w:ascii="Times New Roman" w:hAnsi="Times New Roman" w:cs="Times New Roman"/>
        </w:rPr>
        <w:t xml:space="preserve"> hereby declared null and void.</w:t>
      </w:r>
    </w:p>
    <w:p w:rsidR="00FC26F3" w:rsidRPr="00FC26F3" w:rsidRDefault="00FC26F3">
      <w:pPr>
        <w:rPr>
          <w:rFonts w:ascii="Times New Roman" w:hAnsi="Times New Roman" w:cs="Times New Roman"/>
        </w:rPr>
      </w:pPr>
    </w:p>
    <w:p w:rsidR="00FC26F3" w:rsidRDefault="00FC26F3">
      <w:pPr>
        <w:rPr>
          <w:rFonts w:ascii="Times New Roman" w:hAnsi="Times New Roman" w:cs="Times New Roman"/>
        </w:rPr>
      </w:pPr>
      <w:r w:rsidRPr="00FC26F3">
        <w:rPr>
          <w:rFonts w:ascii="Times New Roman" w:hAnsi="Times New Roman" w:cs="Times New Roman"/>
        </w:rPr>
        <w:t>Introduced for Congressional Debate by Alexander DeMarco from Phillipsburg High School.</w:t>
      </w: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725492" w:rsidRDefault="00725492">
      <w:pPr>
        <w:rPr>
          <w:rFonts w:ascii="Times New Roman" w:hAnsi="Times New Roman" w:cs="Times New Roman"/>
        </w:rPr>
      </w:pPr>
    </w:p>
    <w:p w:rsidR="00B965AA" w:rsidRDefault="00B965AA">
      <w:pPr>
        <w:rPr>
          <w:rFonts w:ascii="Times New Roman" w:hAnsi="Times New Roman" w:cs="Times New Roman"/>
        </w:rPr>
      </w:pPr>
    </w:p>
    <w:p w:rsidR="007A6569" w:rsidRDefault="007A6569">
      <w:pPr>
        <w:rPr>
          <w:rFonts w:ascii="Times New Roman" w:hAnsi="Times New Roman" w:cs="Times New Roman"/>
        </w:rPr>
      </w:pPr>
    </w:p>
    <w:p w:rsidR="00B965AA" w:rsidRDefault="00B965AA">
      <w:pPr>
        <w:rPr>
          <w:rFonts w:ascii="Times New Roman" w:hAnsi="Times New Roman" w:cs="Times New Roman"/>
        </w:rPr>
      </w:pPr>
    </w:p>
    <w:p w:rsidR="00725492" w:rsidRDefault="00725492" w:rsidP="00725492">
      <w:pPr>
        <w:jc w:val="center"/>
      </w:pPr>
      <w:r>
        <w:lastRenderedPageBreak/>
        <w:t>A Bill to Increase School Security Funding to Protect Students</w:t>
      </w:r>
    </w:p>
    <w:p w:rsidR="00725492" w:rsidRDefault="00725492" w:rsidP="00725492"/>
    <w:p w:rsidR="00725492" w:rsidRDefault="00725492" w:rsidP="00725492">
      <w:pPr>
        <w:pStyle w:val="ListParagraph"/>
        <w:numPr>
          <w:ilvl w:val="0"/>
          <w:numId w:val="13"/>
        </w:numPr>
      </w:pPr>
      <w:r>
        <w:t>BE IT ENACTED BY THE CONGRESS HERE ASSEMBLED THAT:</w:t>
      </w:r>
    </w:p>
    <w:p w:rsidR="00725492" w:rsidRDefault="00725492" w:rsidP="00725492">
      <w:pPr>
        <w:pStyle w:val="ListParagraph"/>
        <w:numPr>
          <w:ilvl w:val="0"/>
          <w:numId w:val="13"/>
        </w:numPr>
      </w:pPr>
      <w:r>
        <w:t>SECTION 1. $3 billion shall be allocated in grant funding to enhance school security</w:t>
      </w:r>
    </w:p>
    <w:p w:rsidR="00725492" w:rsidRDefault="00725492" w:rsidP="00725492">
      <w:pPr>
        <w:pStyle w:val="ListParagraph"/>
        <w:numPr>
          <w:ilvl w:val="0"/>
          <w:numId w:val="13"/>
        </w:numPr>
      </w:pPr>
      <w:r>
        <w:t>measures for public schools.</w:t>
      </w:r>
    </w:p>
    <w:p w:rsidR="00725492" w:rsidRDefault="00725492" w:rsidP="00725492">
      <w:pPr>
        <w:pStyle w:val="ListParagraph"/>
        <w:numPr>
          <w:ilvl w:val="0"/>
          <w:numId w:val="13"/>
        </w:numPr>
      </w:pPr>
      <w:r>
        <w:t>SECTION 2. School security measures shall be defined as investments made into</w:t>
      </w:r>
    </w:p>
    <w:p w:rsidR="00725492" w:rsidRDefault="00725492" w:rsidP="00725492">
      <w:pPr>
        <w:pStyle w:val="ListParagraph"/>
        <w:numPr>
          <w:ilvl w:val="0"/>
          <w:numId w:val="13"/>
        </w:numPr>
      </w:pPr>
      <w:r>
        <w:t>student safety, intended to prevent, mitigate, or protect against school</w:t>
      </w:r>
    </w:p>
    <w:p w:rsidR="00725492" w:rsidRDefault="00725492" w:rsidP="00725492">
      <w:pPr>
        <w:pStyle w:val="ListParagraph"/>
        <w:numPr>
          <w:ilvl w:val="0"/>
          <w:numId w:val="13"/>
        </w:numPr>
      </w:pPr>
      <w:r>
        <w:t>violence.</w:t>
      </w:r>
    </w:p>
    <w:p w:rsidR="00725492" w:rsidRDefault="00725492" w:rsidP="00725492">
      <w:pPr>
        <w:pStyle w:val="ListParagraph"/>
        <w:numPr>
          <w:ilvl w:val="0"/>
          <w:numId w:val="13"/>
        </w:numPr>
      </w:pPr>
      <w:r>
        <w:t>A.  School security measures may include, but are not limited to, training, metal</w:t>
      </w:r>
    </w:p>
    <w:p w:rsidR="00725492" w:rsidRDefault="00725492" w:rsidP="00725492">
      <w:pPr>
        <w:pStyle w:val="ListParagraph"/>
        <w:numPr>
          <w:ilvl w:val="0"/>
          <w:numId w:val="13"/>
        </w:numPr>
      </w:pPr>
      <w:r>
        <w:t>detectors, technological improvements, and security personnel.</w:t>
      </w:r>
    </w:p>
    <w:p w:rsidR="00725492" w:rsidRDefault="00725492" w:rsidP="00725492">
      <w:pPr>
        <w:pStyle w:val="ListParagraph"/>
        <w:numPr>
          <w:ilvl w:val="0"/>
          <w:numId w:val="13"/>
        </w:numPr>
      </w:pPr>
      <w:r>
        <w:t>B. Public schools shall be defined as any K-12 institution established under state</w:t>
      </w:r>
    </w:p>
    <w:p w:rsidR="00725492" w:rsidRDefault="00725492" w:rsidP="00725492">
      <w:pPr>
        <w:pStyle w:val="ListParagraph"/>
        <w:numPr>
          <w:ilvl w:val="0"/>
          <w:numId w:val="13"/>
        </w:numPr>
      </w:pPr>
      <w:r>
        <w:t>law, regulated by local authorities, and funded by public taxation.</w:t>
      </w:r>
    </w:p>
    <w:p w:rsidR="00725492" w:rsidRDefault="00725492" w:rsidP="00725492">
      <w:pPr>
        <w:pStyle w:val="ListParagraph"/>
        <w:numPr>
          <w:ilvl w:val="0"/>
          <w:numId w:val="13"/>
        </w:numPr>
      </w:pPr>
      <w:r>
        <w:t>SECTION 3. The United States Department Of Education shall be tasked with the</w:t>
      </w:r>
    </w:p>
    <w:p w:rsidR="00725492" w:rsidRDefault="00725492" w:rsidP="00725492">
      <w:pPr>
        <w:pStyle w:val="ListParagraph"/>
        <w:numPr>
          <w:ilvl w:val="0"/>
          <w:numId w:val="13"/>
        </w:numPr>
      </w:pPr>
      <w:r>
        <w:t>implementation of this legislation.</w:t>
      </w:r>
    </w:p>
    <w:p w:rsidR="00725492" w:rsidRDefault="00725492" w:rsidP="00725492">
      <w:pPr>
        <w:pStyle w:val="ListParagraph"/>
        <w:numPr>
          <w:ilvl w:val="0"/>
          <w:numId w:val="13"/>
        </w:numPr>
      </w:pPr>
      <w:r>
        <w:t>A.  The Department of Education shall be responsible for developing a</w:t>
      </w:r>
    </w:p>
    <w:p w:rsidR="00725492" w:rsidRDefault="00725492" w:rsidP="00725492">
      <w:pPr>
        <w:pStyle w:val="ListParagraph"/>
        <w:numPr>
          <w:ilvl w:val="0"/>
          <w:numId w:val="13"/>
        </w:numPr>
      </w:pPr>
      <w:r>
        <w:t>grant application and evaluation criteria, as well as ultimately</w:t>
      </w:r>
    </w:p>
    <w:p w:rsidR="00725492" w:rsidRDefault="00725492" w:rsidP="00725492">
      <w:pPr>
        <w:pStyle w:val="ListParagraph"/>
        <w:numPr>
          <w:ilvl w:val="0"/>
          <w:numId w:val="13"/>
        </w:numPr>
      </w:pPr>
      <w:r>
        <w:t>distributing and monitoring use of grant funds to public schools.</w:t>
      </w:r>
    </w:p>
    <w:p w:rsidR="00725492" w:rsidRDefault="00725492" w:rsidP="00725492">
      <w:pPr>
        <w:pStyle w:val="ListParagraph"/>
        <w:numPr>
          <w:ilvl w:val="0"/>
          <w:numId w:val="13"/>
        </w:numPr>
      </w:pPr>
      <w:r>
        <w:t>B. Schools will have to meet the criteria established in the application in</w:t>
      </w:r>
    </w:p>
    <w:p w:rsidR="00725492" w:rsidRDefault="00725492" w:rsidP="00725492">
      <w:pPr>
        <w:pStyle w:val="ListParagraph"/>
        <w:numPr>
          <w:ilvl w:val="0"/>
          <w:numId w:val="13"/>
        </w:numPr>
      </w:pPr>
      <w:r>
        <w:t>order to be eligible for the grant funding.</w:t>
      </w:r>
    </w:p>
    <w:p w:rsidR="00725492" w:rsidRDefault="00725492" w:rsidP="00725492">
      <w:pPr>
        <w:pStyle w:val="ListParagraph"/>
        <w:numPr>
          <w:ilvl w:val="0"/>
          <w:numId w:val="13"/>
        </w:numPr>
      </w:pPr>
      <w:r>
        <w:t>SECTION 4. This legislation will take effect at the beginning of FY 2027.</w:t>
      </w:r>
    </w:p>
    <w:p w:rsidR="00725492" w:rsidRDefault="00725492" w:rsidP="00725492">
      <w:pPr>
        <w:pStyle w:val="ListParagraph"/>
        <w:numPr>
          <w:ilvl w:val="0"/>
          <w:numId w:val="13"/>
        </w:numPr>
      </w:pPr>
      <w:r>
        <w:t>SECTION 5. All laws in conflict with this legislation are hereby declared null and void.</w:t>
      </w:r>
    </w:p>
    <w:p w:rsidR="00725492" w:rsidRDefault="00725492" w:rsidP="00725492">
      <w:pPr>
        <w:pStyle w:val="ListParagraph"/>
      </w:pPr>
    </w:p>
    <w:p w:rsidR="00725492" w:rsidRDefault="00725492" w:rsidP="00725492">
      <w:pPr>
        <w:pStyle w:val="ListParagraph"/>
      </w:pPr>
    </w:p>
    <w:p w:rsidR="00725492" w:rsidRDefault="00725492" w:rsidP="00725492">
      <w:r>
        <w:t xml:space="preserve">Introduced for Congressional Debate by </w:t>
      </w:r>
      <w:proofErr w:type="spellStart"/>
      <w:r>
        <w:t>Cairee</w:t>
      </w:r>
      <w:proofErr w:type="spellEnd"/>
      <w:r>
        <w:t xml:space="preserve"> Upshur of Phillipsburg High School.</w:t>
      </w:r>
    </w:p>
    <w:p w:rsidR="00725492" w:rsidRDefault="00725492" w:rsidP="00725492"/>
    <w:p w:rsidR="004D7AFE" w:rsidRDefault="004D7AFE">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sz w:val="24"/>
          <w:szCs w:val="24"/>
        </w:rPr>
      </w:pPr>
      <w:r w:rsidRPr="00725492">
        <w:rPr>
          <w:rFonts w:ascii="Times New Roman" w:hAnsi="Times New Roman" w:cs="Times New Roman"/>
          <w:sz w:val="32"/>
          <w:szCs w:val="32"/>
        </w:rPr>
        <w:lastRenderedPageBreak/>
        <w:t>A Bill to Ensure Access to Legal Counsel During Immigration Inspections</w:t>
      </w:r>
      <w:r w:rsidRPr="00725492">
        <w:rPr>
          <w:rFonts w:ascii="Times New Roman" w:hAnsi="Times New Roman" w:cs="Times New Roman"/>
          <w:sz w:val="24"/>
          <w:szCs w:val="24"/>
        </w:rPr>
        <w:t xml:space="preserve"> </w:t>
      </w:r>
    </w:p>
    <w:p w:rsidR="00725492" w:rsidRDefault="00725492">
      <w:pPr>
        <w:rPr>
          <w:rFonts w:ascii="Times New Roman" w:hAnsi="Times New Roman" w:cs="Times New Roman"/>
          <w:sz w:val="24"/>
          <w:szCs w:val="24"/>
        </w:rPr>
      </w:pPr>
      <w:r w:rsidRPr="00725492">
        <w:rPr>
          <w:rFonts w:ascii="Times New Roman" w:hAnsi="Times New Roman" w:cs="Times New Roman"/>
          <w:sz w:val="24"/>
          <w:szCs w:val="24"/>
        </w:rPr>
        <w:t xml:space="preserve">BE IT ENACTED BY THE CONGRESS HERE ASSEMBLED THAT: </w:t>
      </w:r>
    </w:p>
    <w:p w:rsidR="00725492" w:rsidRDefault="00725492">
      <w:pPr>
        <w:rPr>
          <w:rFonts w:ascii="Times New Roman" w:hAnsi="Times New Roman" w:cs="Times New Roman"/>
          <w:sz w:val="24"/>
          <w:szCs w:val="24"/>
        </w:rPr>
      </w:pP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1. </w:t>
      </w:r>
      <w:r>
        <w:rPr>
          <w:rFonts w:ascii="Times New Roman" w:hAnsi="Times New Roman" w:cs="Times New Roman"/>
          <w:sz w:val="24"/>
          <w:szCs w:val="24"/>
        </w:rPr>
        <w:tab/>
      </w:r>
      <w:r w:rsidRPr="00725492">
        <w:rPr>
          <w:rFonts w:ascii="Times New Roman" w:hAnsi="Times New Roman" w:cs="Times New Roman"/>
          <w:sz w:val="24"/>
          <w:szCs w:val="24"/>
        </w:rPr>
        <w:t xml:space="preserve">The Department of Homeland Security shall guarantee that any individual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detained for immigration inspection has the right to consult with an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attorney within one hour of the inspection process beginning and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throughout the duration of the inspection.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If the individual does not have counsel, the Department of Homeland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Security shall provide access to a list of available free immigration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attorneys or legal service organizations prior to any continued inspection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or questioning. </w:t>
      </w: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2. </w:t>
      </w:r>
      <w:r>
        <w:rPr>
          <w:rFonts w:ascii="Times New Roman" w:hAnsi="Times New Roman" w:cs="Times New Roman"/>
          <w:sz w:val="24"/>
          <w:szCs w:val="24"/>
        </w:rPr>
        <w:tab/>
      </w:r>
      <w:r w:rsidRPr="00725492">
        <w:rPr>
          <w:rFonts w:ascii="Times New Roman" w:hAnsi="Times New Roman" w:cs="Times New Roman"/>
          <w:sz w:val="24"/>
          <w:szCs w:val="24"/>
        </w:rPr>
        <w:t xml:space="preserve">“Counsel” shall be defined as an attorney in good standing with any U.S.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state or territory bar, or an individual accredited by the Attorney General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to represent people in immigration matters.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“Covered individual” shall be defined as any person subject to secondary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or deferred inspection at an immigration or customs checkpoint. </w:t>
      </w: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3. </w:t>
      </w:r>
      <w:r>
        <w:rPr>
          <w:rFonts w:ascii="Times New Roman" w:hAnsi="Times New Roman" w:cs="Times New Roman"/>
          <w:sz w:val="24"/>
          <w:szCs w:val="24"/>
        </w:rPr>
        <w:tab/>
      </w:r>
      <w:r w:rsidRPr="00725492">
        <w:rPr>
          <w:rFonts w:ascii="Times New Roman" w:hAnsi="Times New Roman" w:cs="Times New Roman"/>
          <w:sz w:val="24"/>
          <w:szCs w:val="24"/>
        </w:rPr>
        <w:t xml:space="preserve">The Department of Homeland Security shall oversee the enforcement of </w:t>
      </w:r>
    </w:p>
    <w:p w:rsidR="00725492" w:rsidRDefault="00725492" w:rsidP="00725492">
      <w:pPr>
        <w:spacing w:line="360" w:lineRule="auto"/>
        <w:ind w:left="1440"/>
      </w:pPr>
      <w:r w:rsidRPr="00725492">
        <w:rPr>
          <w:rFonts w:ascii="Times New Roman" w:hAnsi="Times New Roman" w:cs="Times New Roman"/>
          <w:sz w:val="24"/>
          <w:szCs w:val="24"/>
        </w:rPr>
        <w:t>this policy. A. DHS officers may not accept Form 1-407 (Record of Abandonment of Lawful Permanent Resident Status) from lawful</w:t>
      </w:r>
      <w:r>
        <w:t xml:space="preserve"> permanent residents</w:t>
      </w:r>
      <w:r w:rsidRPr="00725492">
        <w:t xml:space="preserve">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unless they have been given a reasonable opportunity to consult with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 counsel, unless the individual waives that right in writing. </w:t>
      </w: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4. This act shall take effect 180 days after its passage </w:t>
      </w: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5. All laws in conflict with this legislation are hereby declared null and void. </w:t>
      </w: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r w:rsidRPr="00725492">
        <w:rPr>
          <w:rFonts w:ascii="Times New Roman" w:hAnsi="Times New Roman" w:cs="Times New Roman"/>
          <w:sz w:val="24"/>
          <w:szCs w:val="24"/>
        </w:rPr>
        <w:t>Introduced for Congressional Debate by Sen. Dylan Espinoza of Philipsburg High School</w:t>
      </w: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jc w:val="center"/>
        <w:rPr>
          <w:rFonts w:ascii="Times New Roman" w:hAnsi="Times New Roman" w:cs="Times New Roman"/>
          <w:sz w:val="32"/>
          <w:szCs w:val="32"/>
        </w:rPr>
      </w:pPr>
      <w:r w:rsidRPr="00725492">
        <w:rPr>
          <w:rFonts w:ascii="Times New Roman" w:hAnsi="Times New Roman" w:cs="Times New Roman"/>
          <w:sz w:val="32"/>
          <w:szCs w:val="32"/>
        </w:rPr>
        <w:lastRenderedPageBreak/>
        <w:t>A Bill to Include All Americans in the Military Draft</w:t>
      </w:r>
    </w:p>
    <w:p w:rsidR="00725492" w:rsidRPr="00725492" w:rsidRDefault="00725492" w:rsidP="00725492">
      <w:pPr>
        <w:jc w:val="center"/>
        <w:rPr>
          <w:rFonts w:ascii="Times New Roman" w:hAnsi="Times New Roman" w:cs="Times New Roman"/>
          <w:sz w:val="32"/>
          <w:szCs w:val="32"/>
        </w:rPr>
      </w:pP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BE IT ENACTED BY THE CONGRESS HERE ASSEMBLED THAT: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1. The Selective Service Act of 1917 shall be amended to mandate all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able-bodied citizens above the age of 18, regardless of gender, to register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for the military draft. All able-bodied citizens between the ages of 18 to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44 will be eligible for conscription into the military if necessary,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prioritizing those between the ages of 18 and 25.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2. The Selective Service System will be in charge of the implementation of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this legislation and will be allocated an extra $5 million for the next fiscal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year to account for increased registration management. Those who newly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qualify for the draft under this legislation will have until January 1st,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2027, to register for the draft.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3. This legislation will be implemented at the start of Fiscal Year 2026.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4. All laws in conflict with this legislation are hereby declared null and void. </w:t>
      </w: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r w:rsidRPr="00725492">
        <w:rPr>
          <w:rFonts w:ascii="Times New Roman" w:hAnsi="Times New Roman" w:cs="Times New Roman"/>
          <w:sz w:val="24"/>
          <w:szCs w:val="24"/>
        </w:rPr>
        <w:t xml:space="preserve">Introduced for Congressional Debate by Rep. </w:t>
      </w:r>
      <w:proofErr w:type="spellStart"/>
      <w:r w:rsidRPr="00725492">
        <w:rPr>
          <w:rFonts w:ascii="Times New Roman" w:hAnsi="Times New Roman" w:cs="Times New Roman"/>
          <w:sz w:val="24"/>
          <w:szCs w:val="24"/>
        </w:rPr>
        <w:t>Shefin</w:t>
      </w:r>
      <w:proofErr w:type="spellEnd"/>
      <w:r w:rsidRPr="00725492">
        <w:rPr>
          <w:rFonts w:ascii="Times New Roman" w:hAnsi="Times New Roman" w:cs="Times New Roman"/>
          <w:sz w:val="24"/>
          <w:szCs w:val="24"/>
        </w:rPr>
        <w:t xml:space="preserve"> Michael of Phillipsburg High School</w:t>
      </w: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Pr="002A2374" w:rsidRDefault="002A2374" w:rsidP="002A2374">
      <w:pPr>
        <w:jc w:val="center"/>
        <w:rPr>
          <w:b/>
          <w:bCs/>
          <w:sz w:val="20"/>
          <w:szCs w:val="20"/>
        </w:rPr>
      </w:pPr>
      <w:r w:rsidRPr="002A2374">
        <w:rPr>
          <w:b/>
          <w:bCs/>
          <w:sz w:val="20"/>
          <w:szCs w:val="20"/>
        </w:rPr>
        <w:lastRenderedPageBreak/>
        <w:t>A Bill to Prohibit the Non-Therapeutic Genetic Editing of Human Embryos to Preserve Ethical</w:t>
      </w:r>
    </w:p>
    <w:p w:rsidR="002A2374" w:rsidRPr="002A2374" w:rsidRDefault="002A2374" w:rsidP="002A2374">
      <w:pPr>
        <w:jc w:val="center"/>
        <w:rPr>
          <w:b/>
          <w:bCs/>
          <w:sz w:val="20"/>
          <w:szCs w:val="20"/>
        </w:rPr>
      </w:pPr>
      <w:r w:rsidRPr="002A2374">
        <w:rPr>
          <w:b/>
          <w:bCs/>
          <w:sz w:val="20"/>
          <w:szCs w:val="20"/>
        </w:rPr>
        <w:t>Standards and Prevent Genetic Inequality</w:t>
      </w:r>
    </w:p>
    <w:p w:rsidR="002A2374" w:rsidRPr="002A2374" w:rsidRDefault="002A2374" w:rsidP="002A2374">
      <w:pPr>
        <w:jc w:val="center"/>
        <w:rPr>
          <w:b/>
          <w:bCs/>
          <w:sz w:val="20"/>
          <w:szCs w:val="20"/>
        </w:rPr>
      </w:pPr>
    </w:p>
    <w:p w:rsidR="002A2374" w:rsidRPr="002A2374" w:rsidRDefault="002A2374" w:rsidP="002A2374">
      <w:pPr>
        <w:rPr>
          <w:sz w:val="20"/>
          <w:szCs w:val="20"/>
        </w:rPr>
      </w:pPr>
      <w:r w:rsidRPr="002A2374">
        <w:rPr>
          <w:sz w:val="20"/>
          <w:szCs w:val="20"/>
        </w:rPr>
        <w:t>Section 1. The purpose of this bill is to ban the use of gene-editing technologies for</w:t>
      </w:r>
    </w:p>
    <w:p w:rsidR="002A2374" w:rsidRPr="002A2374" w:rsidRDefault="002A2374" w:rsidP="002A2374">
      <w:pPr>
        <w:rPr>
          <w:sz w:val="20"/>
          <w:szCs w:val="20"/>
        </w:rPr>
      </w:pPr>
      <w:r w:rsidRPr="002A2374">
        <w:rPr>
          <w:sz w:val="20"/>
          <w:szCs w:val="20"/>
        </w:rPr>
        <w:t>non-therapeutic modifications of human embryos to protect against unknown medical risks,</w:t>
      </w:r>
    </w:p>
    <w:p w:rsidR="002A2374" w:rsidRPr="002A2374" w:rsidRDefault="002A2374" w:rsidP="002A2374">
      <w:pPr>
        <w:rPr>
          <w:sz w:val="20"/>
          <w:szCs w:val="20"/>
        </w:rPr>
      </w:pPr>
      <w:r w:rsidRPr="002A2374">
        <w:rPr>
          <w:sz w:val="20"/>
          <w:szCs w:val="20"/>
        </w:rPr>
        <w:t>uphold ethical medical standards, and prevent the rise of socio-genetic inequality.</w:t>
      </w:r>
    </w:p>
    <w:p w:rsidR="002A2374" w:rsidRPr="002A2374" w:rsidRDefault="002A2374" w:rsidP="002A2374">
      <w:pPr>
        <w:rPr>
          <w:sz w:val="20"/>
          <w:szCs w:val="20"/>
        </w:rPr>
      </w:pPr>
      <w:r w:rsidRPr="002A2374">
        <w:rPr>
          <w:sz w:val="20"/>
          <w:szCs w:val="20"/>
        </w:rPr>
        <w:t>Section 2.</w:t>
      </w:r>
    </w:p>
    <w:p w:rsidR="002A2374" w:rsidRPr="002A2374" w:rsidRDefault="002A2374" w:rsidP="002A2374">
      <w:pPr>
        <w:rPr>
          <w:sz w:val="20"/>
          <w:szCs w:val="20"/>
        </w:rPr>
      </w:pPr>
      <w:r w:rsidRPr="002A2374">
        <w:rPr>
          <w:sz w:val="20"/>
          <w:szCs w:val="20"/>
        </w:rPr>
        <w:t>a. A human embryo is defined as a fertilized human egg from the moment of conception up</w:t>
      </w:r>
    </w:p>
    <w:p w:rsidR="002A2374" w:rsidRPr="002A2374" w:rsidRDefault="002A2374" w:rsidP="002A2374">
      <w:pPr>
        <w:rPr>
          <w:sz w:val="20"/>
          <w:szCs w:val="20"/>
        </w:rPr>
      </w:pPr>
      <w:r w:rsidRPr="002A2374">
        <w:rPr>
          <w:sz w:val="20"/>
          <w:szCs w:val="20"/>
        </w:rPr>
        <w:t>to eight weeks of development.</w:t>
      </w:r>
    </w:p>
    <w:p w:rsidR="002A2374" w:rsidRPr="002A2374" w:rsidRDefault="002A2374" w:rsidP="002A2374">
      <w:pPr>
        <w:rPr>
          <w:sz w:val="20"/>
          <w:szCs w:val="20"/>
        </w:rPr>
      </w:pPr>
      <w:r w:rsidRPr="002A2374">
        <w:rPr>
          <w:sz w:val="20"/>
          <w:szCs w:val="20"/>
        </w:rPr>
        <w:t>b. Non-therapeutic genetic editing is defined as any genetic alteration not intended to</w:t>
      </w:r>
    </w:p>
    <w:p w:rsidR="002A2374" w:rsidRPr="002A2374" w:rsidRDefault="002A2374" w:rsidP="002A2374">
      <w:pPr>
        <w:rPr>
          <w:sz w:val="20"/>
          <w:szCs w:val="20"/>
        </w:rPr>
      </w:pPr>
      <w:r w:rsidRPr="002A2374">
        <w:rPr>
          <w:sz w:val="20"/>
          <w:szCs w:val="20"/>
        </w:rPr>
        <w:t>correct or prevent a life-threatening or seriously debilitating genetic disorder.</w:t>
      </w:r>
    </w:p>
    <w:p w:rsidR="002A2374" w:rsidRPr="002A2374" w:rsidRDefault="002A2374" w:rsidP="002A2374">
      <w:pPr>
        <w:rPr>
          <w:sz w:val="20"/>
          <w:szCs w:val="20"/>
        </w:rPr>
      </w:pPr>
      <w:r w:rsidRPr="002A2374">
        <w:rPr>
          <w:sz w:val="20"/>
          <w:szCs w:val="20"/>
        </w:rPr>
        <w:t>c. Therapeutic genetic editing includes modifications that address monogenic, medically</w:t>
      </w:r>
    </w:p>
    <w:p w:rsidR="002A2374" w:rsidRPr="002A2374" w:rsidRDefault="002A2374" w:rsidP="002A2374">
      <w:pPr>
        <w:rPr>
          <w:sz w:val="20"/>
          <w:szCs w:val="20"/>
        </w:rPr>
      </w:pPr>
      <w:r w:rsidRPr="002A2374">
        <w:rPr>
          <w:sz w:val="20"/>
          <w:szCs w:val="20"/>
        </w:rPr>
        <w:t>recognized conditions such as cystic fibrosis, Tay-Sachs disease, Huntington’s disease,</w:t>
      </w:r>
    </w:p>
    <w:p w:rsidR="002A2374" w:rsidRPr="002A2374" w:rsidRDefault="002A2374" w:rsidP="002A2374">
      <w:pPr>
        <w:rPr>
          <w:sz w:val="20"/>
          <w:szCs w:val="20"/>
        </w:rPr>
      </w:pPr>
      <w:r w:rsidRPr="002A2374">
        <w:rPr>
          <w:sz w:val="20"/>
          <w:szCs w:val="20"/>
        </w:rPr>
        <w:t>or sickle cell anemia.</w:t>
      </w:r>
    </w:p>
    <w:p w:rsidR="002A2374" w:rsidRPr="002A2374" w:rsidRDefault="002A2374" w:rsidP="002A2374">
      <w:pPr>
        <w:rPr>
          <w:sz w:val="20"/>
          <w:szCs w:val="20"/>
        </w:rPr>
      </w:pPr>
      <w:r w:rsidRPr="002A2374">
        <w:rPr>
          <w:sz w:val="20"/>
          <w:szCs w:val="20"/>
        </w:rPr>
        <w:t>d. Germline editing refers to any genetic modification that is heritable and can be passed</w:t>
      </w:r>
    </w:p>
    <w:p w:rsidR="002A2374" w:rsidRPr="002A2374" w:rsidRDefault="002A2374" w:rsidP="002A2374">
      <w:pPr>
        <w:rPr>
          <w:sz w:val="20"/>
          <w:szCs w:val="20"/>
        </w:rPr>
      </w:pPr>
      <w:r w:rsidRPr="002A2374">
        <w:rPr>
          <w:sz w:val="20"/>
          <w:szCs w:val="20"/>
        </w:rPr>
        <w:t>on to future generations.</w:t>
      </w:r>
    </w:p>
    <w:p w:rsidR="002A2374" w:rsidRPr="002A2374" w:rsidRDefault="002A2374" w:rsidP="002A2374">
      <w:pPr>
        <w:rPr>
          <w:sz w:val="20"/>
          <w:szCs w:val="20"/>
        </w:rPr>
      </w:pPr>
      <w:r w:rsidRPr="002A2374">
        <w:rPr>
          <w:sz w:val="20"/>
          <w:szCs w:val="20"/>
        </w:rPr>
        <w:t>Section 3.</w:t>
      </w:r>
    </w:p>
    <w:p w:rsidR="002A2374" w:rsidRPr="002A2374" w:rsidRDefault="002A2374" w:rsidP="002A2374">
      <w:pPr>
        <w:rPr>
          <w:sz w:val="20"/>
          <w:szCs w:val="20"/>
        </w:rPr>
      </w:pPr>
      <w:r w:rsidRPr="002A2374">
        <w:rPr>
          <w:sz w:val="20"/>
          <w:szCs w:val="20"/>
        </w:rPr>
        <w:t>a. No individual, research institution, or private entity may perform, fund, or facilitate</w:t>
      </w:r>
    </w:p>
    <w:p w:rsidR="002A2374" w:rsidRPr="002A2374" w:rsidRDefault="002A2374" w:rsidP="002A2374">
      <w:pPr>
        <w:rPr>
          <w:sz w:val="20"/>
          <w:szCs w:val="20"/>
        </w:rPr>
      </w:pPr>
      <w:r w:rsidRPr="002A2374">
        <w:rPr>
          <w:sz w:val="20"/>
          <w:szCs w:val="20"/>
        </w:rPr>
        <w:t>non-therapeutic germline genetic editing on human embryos.</w:t>
      </w:r>
    </w:p>
    <w:p w:rsidR="002A2374" w:rsidRPr="002A2374" w:rsidRDefault="002A2374" w:rsidP="002A2374">
      <w:pPr>
        <w:rPr>
          <w:sz w:val="20"/>
          <w:szCs w:val="20"/>
        </w:rPr>
      </w:pPr>
      <w:r w:rsidRPr="002A2374">
        <w:rPr>
          <w:sz w:val="20"/>
          <w:szCs w:val="20"/>
        </w:rPr>
        <w:t>b. No embryo that has undergone non-therapeutic germline editing may be implanted for</w:t>
      </w:r>
    </w:p>
    <w:p w:rsidR="002A2374" w:rsidRPr="002A2374" w:rsidRDefault="002A2374" w:rsidP="002A2374">
      <w:pPr>
        <w:rPr>
          <w:sz w:val="20"/>
          <w:szCs w:val="20"/>
        </w:rPr>
      </w:pPr>
      <w:r w:rsidRPr="002A2374">
        <w:rPr>
          <w:sz w:val="20"/>
          <w:szCs w:val="20"/>
        </w:rPr>
        <w:t>reproductive purposes within U.S. jurisdiction.</w:t>
      </w:r>
    </w:p>
    <w:p w:rsidR="002A2374" w:rsidRPr="002A2374" w:rsidRDefault="002A2374" w:rsidP="002A2374">
      <w:pPr>
        <w:rPr>
          <w:sz w:val="20"/>
          <w:szCs w:val="20"/>
        </w:rPr>
      </w:pPr>
      <w:r w:rsidRPr="002A2374">
        <w:rPr>
          <w:sz w:val="20"/>
          <w:szCs w:val="20"/>
        </w:rPr>
        <w:t>Section 4.</w:t>
      </w:r>
    </w:p>
    <w:p w:rsidR="002A2374" w:rsidRPr="002A2374" w:rsidRDefault="002A2374" w:rsidP="002A2374">
      <w:pPr>
        <w:rPr>
          <w:sz w:val="20"/>
          <w:szCs w:val="20"/>
        </w:rPr>
      </w:pPr>
      <w:r w:rsidRPr="002A2374">
        <w:rPr>
          <w:sz w:val="20"/>
          <w:szCs w:val="20"/>
        </w:rPr>
        <w:t>a. Therapeutic germline editing may be permitted under the following conditions:</w:t>
      </w:r>
    </w:p>
    <w:p w:rsidR="002A2374" w:rsidRPr="002A2374" w:rsidRDefault="002A2374" w:rsidP="002A2374">
      <w:pPr>
        <w:rPr>
          <w:sz w:val="20"/>
          <w:szCs w:val="20"/>
        </w:rPr>
      </w:pPr>
      <w:r w:rsidRPr="002A2374">
        <w:rPr>
          <w:sz w:val="20"/>
          <w:szCs w:val="20"/>
        </w:rPr>
        <w:t>○ The condition being treated is listed on the Department of Health and Human</w:t>
      </w:r>
    </w:p>
    <w:p w:rsidR="002A2374" w:rsidRPr="002A2374" w:rsidRDefault="002A2374" w:rsidP="002A2374">
      <w:pPr>
        <w:rPr>
          <w:sz w:val="20"/>
          <w:szCs w:val="20"/>
        </w:rPr>
      </w:pPr>
      <w:r w:rsidRPr="002A2374">
        <w:rPr>
          <w:sz w:val="20"/>
          <w:szCs w:val="20"/>
        </w:rPr>
        <w:t>Services’ (HHS) approved list of severe genetic disorders.</w:t>
      </w:r>
    </w:p>
    <w:p w:rsidR="002A2374" w:rsidRPr="002A2374" w:rsidRDefault="002A2374" w:rsidP="002A2374">
      <w:pPr>
        <w:rPr>
          <w:sz w:val="20"/>
          <w:szCs w:val="20"/>
        </w:rPr>
      </w:pPr>
      <w:r w:rsidRPr="002A2374">
        <w:rPr>
          <w:sz w:val="20"/>
          <w:szCs w:val="20"/>
        </w:rPr>
        <w:t>○ The procedure has received written approval from a specialized Bioethics Review</w:t>
      </w:r>
    </w:p>
    <w:p w:rsidR="002A2374" w:rsidRPr="002A2374" w:rsidRDefault="002A2374" w:rsidP="002A2374">
      <w:pPr>
        <w:rPr>
          <w:sz w:val="20"/>
          <w:szCs w:val="20"/>
        </w:rPr>
      </w:pPr>
      <w:r w:rsidRPr="002A2374">
        <w:rPr>
          <w:sz w:val="20"/>
          <w:szCs w:val="20"/>
        </w:rPr>
        <w:t>Board composed of medical professionals, geneticists, ethicists, and public</w:t>
      </w:r>
    </w:p>
    <w:p w:rsidR="002A2374" w:rsidRPr="002A2374" w:rsidRDefault="002A2374" w:rsidP="002A2374">
      <w:pPr>
        <w:rPr>
          <w:sz w:val="20"/>
          <w:szCs w:val="20"/>
        </w:rPr>
      </w:pPr>
      <w:r w:rsidRPr="002A2374">
        <w:rPr>
          <w:sz w:val="20"/>
          <w:szCs w:val="20"/>
        </w:rPr>
        <w:t>advocates.</w:t>
      </w:r>
    </w:p>
    <w:p w:rsidR="002A2374" w:rsidRPr="002A2374" w:rsidRDefault="002A2374" w:rsidP="002A2374">
      <w:pPr>
        <w:rPr>
          <w:sz w:val="20"/>
          <w:szCs w:val="20"/>
        </w:rPr>
      </w:pPr>
      <w:r w:rsidRPr="002A2374">
        <w:rPr>
          <w:sz w:val="20"/>
          <w:szCs w:val="20"/>
        </w:rPr>
        <w:t>○ A full generational impact assessment is conducted prior to approval.</w:t>
      </w:r>
    </w:p>
    <w:p w:rsidR="002A2374" w:rsidRPr="002A2374" w:rsidRDefault="002A2374" w:rsidP="002A2374">
      <w:pPr>
        <w:rPr>
          <w:sz w:val="20"/>
          <w:szCs w:val="20"/>
        </w:rPr>
      </w:pPr>
      <w:r w:rsidRPr="002A2374">
        <w:rPr>
          <w:sz w:val="20"/>
          <w:szCs w:val="20"/>
        </w:rPr>
        <w:t>b. Somatic (non-heritable) gene therapy is not restricted by this legislation.</w:t>
      </w:r>
    </w:p>
    <w:p w:rsidR="002A2374" w:rsidRPr="002A2374" w:rsidRDefault="002A2374" w:rsidP="002A2374">
      <w:pPr>
        <w:rPr>
          <w:sz w:val="20"/>
          <w:szCs w:val="20"/>
        </w:rPr>
      </w:pPr>
      <w:r w:rsidRPr="002A2374">
        <w:rPr>
          <w:sz w:val="20"/>
          <w:szCs w:val="20"/>
        </w:rPr>
        <w:t>Section 5.</w:t>
      </w:r>
    </w:p>
    <w:p w:rsidR="002A2374" w:rsidRPr="002A2374" w:rsidRDefault="002A2374" w:rsidP="002A2374">
      <w:pPr>
        <w:rPr>
          <w:sz w:val="20"/>
          <w:szCs w:val="20"/>
        </w:rPr>
      </w:pPr>
      <w:r w:rsidRPr="002A2374">
        <w:rPr>
          <w:sz w:val="20"/>
          <w:szCs w:val="20"/>
        </w:rPr>
        <w:t>a. The Food and Drug Administration (FDA) shall be responsible for regulating gene-editing</w:t>
      </w:r>
    </w:p>
    <w:p w:rsidR="002A2374" w:rsidRPr="002A2374" w:rsidRDefault="002A2374" w:rsidP="002A2374">
      <w:pPr>
        <w:rPr>
          <w:sz w:val="20"/>
          <w:szCs w:val="20"/>
        </w:rPr>
      </w:pPr>
      <w:r w:rsidRPr="002A2374">
        <w:rPr>
          <w:sz w:val="20"/>
          <w:szCs w:val="20"/>
        </w:rPr>
        <w:t>procedures and maintaining a national registry of all approved embryo modification trials.</w:t>
      </w:r>
    </w:p>
    <w:p w:rsidR="002A2374" w:rsidRPr="002A2374" w:rsidRDefault="002A2374" w:rsidP="002A2374">
      <w:pPr>
        <w:rPr>
          <w:sz w:val="20"/>
          <w:szCs w:val="20"/>
        </w:rPr>
      </w:pPr>
      <w:r w:rsidRPr="002A2374">
        <w:rPr>
          <w:sz w:val="20"/>
          <w:szCs w:val="20"/>
        </w:rPr>
        <w:t>b. The National Bioethics Advisory Commission (NBAC) shall be re-established to review</w:t>
      </w:r>
    </w:p>
    <w:p w:rsidR="002A2374" w:rsidRPr="002A2374" w:rsidRDefault="002A2374" w:rsidP="002A2374">
      <w:pPr>
        <w:rPr>
          <w:sz w:val="20"/>
          <w:szCs w:val="20"/>
        </w:rPr>
      </w:pPr>
      <w:r w:rsidRPr="002A2374">
        <w:rPr>
          <w:sz w:val="20"/>
          <w:szCs w:val="20"/>
        </w:rPr>
        <w:t>and update the list of approved therapeutic conditions annually.</w:t>
      </w:r>
    </w:p>
    <w:p w:rsidR="002A2374" w:rsidRPr="002A2374" w:rsidRDefault="002A2374" w:rsidP="002A2374">
      <w:pPr>
        <w:rPr>
          <w:sz w:val="20"/>
          <w:szCs w:val="20"/>
        </w:rPr>
      </w:pPr>
      <w:r w:rsidRPr="002A2374">
        <w:rPr>
          <w:sz w:val="20"/>
          <w:szCs w:val="20"/>
        </w:rPr>
        <w:t>c. Violations of this law shall be punishable by:</w:t>
      </w:r>
    </w:p>
    <w:p w:rsidR="002A2374" w:rsidRPr="002A2374" w:rsidRDefault="002A2374" w:rsidP="002A2374">
      <w:pPr>
        <w:rPr>
          <w:sz w:val="20"/>
          <w:szCs w:val="20"/>
        </w:rPr>
      </w:pPr>
      <w:r w:rsidRPr="002A2374">
        <w:rPr>
          <w:sz w:val="20"/>
          <w:szCs w:val="20"/>
        </w:rPr>
        <w:t>○ A civil fine of up to $1,000,000 per occurrence;</w:t>
      </w:r>
    </w:p>
    <w:p w:rsidR="002A2374" w:rsidRPr="002A2374" w:rsidRDefault="002A2374" w:rsidP="002A2374">
      <w:pPr>
        <w:rPr>
          <w:sz w:val="20"/>
          <w:szCs w:val="20"/>
        </w:rPr>
      </w:pPr>
      <w:r w:rsidRPr="002A2374">
        <w:rPr>
          <w:sz w:val="20"/>
          <w:szCs w:val="20"/>
        </w:rPr>
        <w:t>○ A prison sentence of up to 10 years for intentional violations.</w:t>
      </w:r>
    </w:p>
    <w:p w:rsidR="002A2374" w:rsidRPr="002A2374" w:rsidRDefault="002A2374" w:rsidP="002A2374">
      <w:pPr>
        <w:rPr>
          <w:sz w:val="20"/>
          <w:szCs w:val="20"/>
        </w:rPr>
      </w:pPr>
      <w:r w:rsidRPr="002A2374">
        <w:rPr>
          <w:sz w:val="20"/>
          <w:szCs w:val="20"/>
        </w:rPr>
        <w:t>○ Permanent revocation of medical or research licenses involved in the offense.</w:t>
      </w:r>
    </w:p>
    <w:p w:rsidR="002A2374" w:rsidRPr="002A2374" w:rsidRDefault="002A2374" w:rsidP="002A2374">
      <w:pPr>
        <w:rPr>
          <w:sz w:val="20"/>
          <w:szCs w:val="20"/>
        </w:rPr>
      </w:pPr>
      <w:r w:rsidRPr="002A2374">
        <w:rPr>
          <w:sz w:val="20"/>
          <w:szCs w:val="20"/>
        </w:rPr>
        <w:t>Section 6.</w:t>
      </w:r>
    </w:p>
    <w:p w:rsidR="002A2374" w:rsidRPr="002A2374" w:rsidRDefault="002A2374" w:rsidP="002A2374">
      <w:pPr>
        <w:rPr>
          <w:sz w:val="20"/>
          <w:szCs w:val="20"/>
        </w:rPr>
      </w:pPr>
      <w:r w:rsidRPr="002A2374">
        <w:rPr>
          <w:sz w:val="20"/>
          <w:szCs w:val="20"/>
        </w:rPr>
        <w:t>a. Congress shall allocate $50 million annually to the FDA, NIH, and the newly</w:t>
      </w:r>
    </w:p>
    <w:p w:rsidR="002A2374" w:rsidRPr="002A2374" w:rsidRDefault="002A2374" w:rsidP="002A2374">
      <w:pPr>
        <w:rPr>
          <w:sz w:val="20"/>
          <w:szCs w:val="20"/>
        </w:rPr>
      </w:pPr>
      <w:r w:rsidRPr="002A2374">
        <w:rPr>
          <w:sz w:val="20"/>
          <w:szCs w:val="20"/>
        </w:rPr>
        <w:t>re-established National Bioethics Advisory Commission (NBAC) for enforcement,</w:t>
      </w:r>
    </w:p>
    <w:p w:rsidR="002A2374" w:rsidRPr="002A2374" w:rsidRDefault="002A2374" w:rsidP="002A2374">
      <w:pPr>
        <w:rPr>
          <w:sz w:val="20"/>
          <w:szCs w:val="20"/>
        </w:rPr>
      </w:pPr>
      <w:r w:rsidRPr="002A2374">
        <w:rPr>
          <w:sz w:val="20"/>
          <w:szCs w:val="20"/>
        </w:rPr>
        <w:t>oversight, and research into the long-term safety of therapeutic embryo editing.</w:t>
      </w:r>
    </w:p>
    <w:p w:rsidR="002A2374" w:rsidRPr="002A2374" w:rsidRDefault="002A2374" w:rsidP="002A2374">
      <w:pPr>
        <w:rPr>
          <w:sz w:val="20"/>
          <w:szCs w:val="20"/>
        </w:rPr>
      </w:pPr>
      <w:r w:rsidRPr="002A2374">
        <w:rPr>
          <w:sz w:val="20"/>
          <w:szCs w:val="20"/>
        </w:rPr>
        <w:t>Section 7.This bill shall take effect on January 1, 2026.</w:t>
      </w:r>
    </w:p>
    <w:p w:rsidR="002A2374" w:rsidRPr="002A2374" w:rsidRDefault="002A2374" w:rsidP="002A2374">
      <w:pPr>
        <w:rPr>
          <w:sz w:val="20"/>
          <w:szCs w:val="20"/>
        </w:rPr>
      </w:pPr>
      <w:r w:rsidRPr="002A2374">
        <w:rPr>
          <w:sz w:val="20"/>
          <w:szCs w:val="20"/>
        </w:rPr>
        <w:t>Section 8.All laws in conflict with this legislation are hereby declared null and void.</w:t>
      </w:r>
    </w:p>
    <w:p w:rsidR="002A2374" w:rsidRPr="002A2374" w:rsidRDefault="002A2374" w:rsidP="002A2374">
      <w:pPr>
        <w:rPr>
          <w:sz w:val="20"/>
          <w:szCs w:val="20"/>
        </w:rPr>
      </w:pPr>
    </w:p>
    <w:p w:rsidR="002A2374" w:rsidRPr="002A2374" w:rsidRDefault="002A2374" w:rsidP="002A2374">
      <w:pPr>
        <w:rPr>
          <w:sz w:val="20"/>
          <w:szCs w:val="20"/>
        </w:rPr>
      </w:pPr>
      <w:r w:rsidRPr="002A2374">
        <w:rPr>
          <w:sz w:val="20"/>
          <w:szCs w:val="20"/>
        </w:rPr>
        <w:t>Respectfully submitted</w:t>
      </w:r>
    </w:p>
    <w:p w:rsidR="002A2374" w:rsidRDefault="002A2374" w:rsidP="002A2374">
      <w:pPr>
        <w:rPr>
          <w:sz w:val="20"/>
          <w:szCs w:val="20"/>
        </w:rPr>
      </w:pPr>
      <w:r w:rsidRPr="002A2374">
        <w:rPr>
          <w:sz w:val="20"/>
          <w:szCs w:val="20"/>
        </w:rPr>
        <w:t xml:space="preserve">Joanna </w:t>
      </w:r>
      <w:proofErr w:type="spellStart"/>
      <w:r w:rsidRPr="002A2374">
        <w:rPr>
          <w:sz w:val="20"/>
          <w:szCs w:val="20"/>
        </w:rPr>
        <w:t>Pouoban</w:t>
      </w:r>
      <w:proofErr w:type="spellEnd"/>
      <w:r w:rsidRPr="002A2374">
        <w:rPr>
          <w:sz w:val="20"/>
          <w:szCs w:val="20"/>
        </w:rPr>
        <w:t xml:space="preserve"> Notre Dame HS</w:t>
      </w:r>
    </w:p>
    <w:p w:rsidR="002A2374" w:rsidRDefault="002A2374" w:rsidP="002A2374">
      <w:pPr>
        <w:rPr>
          <w:sz w:val="20"/>
          <w:szCs w:val="20"/>
        </w:rPr>
      </w:pPr>
    </w:p>
    <w:p w:rsidR="002A2374" w:rsidRPr="002A2374" w:rsidRDefault="002A2374" w:rsidP="002A2374">
      <w:pPr>
        <w:rPr>
          <w:sz w:val="20"/>
          <w:szCs w:val="20"/>
        </w:rPr>
      </w:pPr>
      <w:r w:rsidRPr="002A2374">
        <w:rPr>
          <w:sz w:val="20"/>
          <w:szCs w:val="20"/>
        </w:rPr>
        <w:lastRenderedPageBreak/>
        <w:t xml:space="preserve">A Bill To Mandate Countries Whose Food Regulations Do Not Meet Or Surpass Our FDA’s Level of Food Regulation To Require An Audit License To Check the Quality of Specific Food Items. </w:t>
      </w:r>
    </w:p>
    <w:p w:rsidR="002A2374" w:rsidRPr="002A2374" w:rsidRDefault="002A2374" w:rsidP="002A2374">
      <w:pPr>
        <w:rPr>
          <w:sz w:val="20"/>
          <w:szCs w:val="20"/>
        </w:rPr>
      </w:pPr>
    </w:p>
    <w:p w:rsidR="002A2374" w:rsidRPr="002A2374" w:rsidRDefault="002A2374" w:rsidP="002A2374">
      <w:pPr>
        <w:rPr>
          <w:sz w:val="20"/>
          <w:szCs w:val="20"/>
        </w:rPr>
      </w:pPr>
      <w:r w:rsidRPr="002A2374">
        <w:rPr>
          <w:sz w:val="20"/>
          <w:szCs w:val="20"/>
        </w:rPr>
        <w:t xml:space="preserve">BE IT ENACTED BY THE CONGRESS HERE ASSEMBLED THAT: </w:t>
      </w:r>
    </w:p>
    <w:p w:rsidR="002A2374" w:rsidRPr="002A2374" w:rsidRDefault="002A2374" w:rsidP="002A2374">
      <w:pPr>
        <w:rPr>
          <w:sz w:val="20"/>
          <w:szCs w:val="20"/>
        </w:rPr>
      </w:pPr>
      <w:r w:rsidRPr="002A2374">
        <w:rPr>
          <w:sz w:val="20"/>
          <w:szCs w:val="20"/>
        </w:rPr>
        <w:t xml:space="preserve">Section 1: </w:t>
      </w:r>
    </w:p>
    <w:p w:rsidR="002A2374" w:rsidRPr="002A2374" w:rsidRDefault="002A2374" w:rsidP="002A2374">
      <w:pPr>
        <w:pStyle w:val="ListParagraph"/>
        <w:numPr>
          <w:ilvl w:val="0"/>
          <w:numId w:val="14"/>
        </w:numPr>
        <w:rPr>
          <w:sz w:val="20"/>
          <w:szCs w:val="20"/>
        </w:rPr>
      </w:pPr>
      <w:r w:rsidRPr="002A2374">
        <w:rPr>
          <w:sz w:val="20"/>
          <w:szCs w:val="20"/>
        </w:rPr>
        <w:t xml:space="preserve">For the purposes of this Act, the following terms shall be defined as: </w:t>
      </w:r>
    </w:p>
    <w:p w:rsidR="002A2374" w:rsidRPr="002A2374" w:rsidRDefault="002A2374" w:rsidP="002A2374">
      <w:pPr>
        <w:pStyle w:val="ListParagraph"/>
        <w:rPr>
          <w:sz w:val="20"/>
          <w:szCs w:val="20"/>
        </w:rPr>
      </w:pPr>
      <w:r w:rsidRPr="002A2374">
        <w:rPr>
          <w:b/>
          <w:bCs/>
          <w:sz w:val="20"/>
          <w:szCs w:val="20"/>
        </w:rPr>
        <w:t>Designated Regulatory Deficiency Nation (DRDN):</w:t>
      </w:r>
      <w:r w:rsidRPr="002A2374">
        <w:rPr>
          <w:sz w:val="20"/>
          <w:szCs w:val="20"/>
        </w:rPr>
        <w:t xml:space="preserve"> Any nation determined by the Secretary of Health and Human Services (FDA) or the Secretary of Agriculture (USDA) to possess a food safety regulatory system that fails to meet the Comparative Regulatory Framework Standard (CRFS). </w:t>
      </w:r>
    </w:p>
    <w:p w:rsidR="002A2374" w:rsidRPr="002A2374" w:rsidRDefault="002A2374" w:rsidP="002A2374">
      <w:pPr>
        <w:pStyle w:val="ListParagraph"/>
        <w:rPr>
          <w:sz w:val="20"/>
          <w:szCs w:val="20"/>
        </w:rPr>
      </w:pPr>
      <w:r w:rsidRPr="002A2374">
        <w:rPr>
          <w:b/>
          <w:bCs/>
          <w:sz w:val="20"/>
          <w:szCs w:val="20"/>
        </w:rPr>
        <w:t>Pre-Import Safety Certification (PISC) License:</w:t>
      </w:r>
      <w:r w:rsidRPr="002A2374">
        <w:rPr>
          <w:sz w:val="20"/>
          <w:szCs w:val="20"/>
        </w:rPr>
        <w:t xml:space="preserve"> A mandatory, non-transferable, and periodically renewable permit required for any U.S. Importer of Record or Foreign Exporting Entity wishing to import specific food categories into the United States from a DRDN. </w:t>
      </w:r>
    </w:p>
    <w:p w:rsidR="002A2374" w:rsidRPr="002A2374" w:rsidRDefault="002A2374" w:rsidP="002A2374">
      <w:pPr>
        <w:pStyle w:val="ListParagraph"/>
        <w:rPr>
          <w:sz w:val="20"/>
          <w:szCs w:val="20"/>
        </w:rPr>
      </w:pPr>
      <w:r w:rsidRPr="002A2374">
        <w:rPr>
          <w:b/>
          <w:bCs/>
          <w:sz w:val="20"/>
          <w:szCs w:val="20"/>
        </w:rPr>
        <w:t>Food Safety Audit Fund (FSAF):</w:t>
      </w:r>
      <w:r w:rsidRPr="002A2374">
        <w:rPr>
          <w:sz w:val="20"/>
          <w:szCs w:val="20"/>
        </w:rPr>
        <w:t xml:space="preserve"> The dedicated, non-lapsing fund established in the U.S. Treasury for the sole purpose of receiving all PISC fees and funding the costs associated with the accreditation, administration, and execution of the third-party audit and oversight program mandated by this Act. </w:t>
      </w:r>
    </w:p>
    <w:p w:rsidR="002A2374" w:rsidRPr="002A2374" w:rsidRDefault="002A2374" w:rsidP="002A2374">
      <w:pPr>
        <w:pStyle w:val="ListParagraph"/>
        <w:rPr>
          <w:sz w:val="20"/>
          <w:szCs w:val="20"/>
        </w:rPr>
      </w:pPr>
      <w:r w:rsidRPr="002A2374">
        <w:rPr>
          <w:sz w:val="20"/>
          <w:szCs w:val="20"/>
        </w:rPr>
        <w:t xml:space="preserve">B. Under this bill, any country that cannot show proof of their food processing standards meet or surpass the requirements of our FDA should have to acquire a Pre-Import Safety Certification (PISC) License to import certain food products into the United States the requirements of which are as follows; </w:t>
      </w:r>
    </w:p>
    <w:p w:rsidR="002A2374" w:rsidRPr="002A2374" w:rsidRDefault="002A2374" w:rsidP="002A2374">
      <w:pPr>
        <w:pStyle w:val="ListParagraph"/>
        <w:rPr>
          <w:sz w:val="20"/>
          <w:szCs w:val="20"/>
        </w:rPr>
      </w:pPr>
      <w:r w:rsidRPr="002A2374">
        <w:rPr>
          <w:sz w:val="20"/>
          <w:szCs w:val="20"/>
        </w:rPr>
        <w:t xml:space="preserve">1. formal documented dossier to the FDA (or USDA for meat and Poultry) detailing their; Food safety laws and regulations </w:t>
      </w:r>
    </w:p>
    <w:p w:rsidR="002A2374" w:rsidRPr="002A2374" w:rsidRDefault="002A2374" w:rsidP="002A2374">
      <w:pPr>
        <w:pStyle w:val="ListParagraph"/>
        <w:rPr>
          <w:sz w:val="20"/>
          <w:szCs w:val="20"/>
        </w:rPr>
      </w:pPr>
      <w:r w:rsidRPr="002A2374">
        <w:rPr>
          <w:sz w:val="20"/>
          <w:szCs w:val="20"/>
        </w:rPr>
        <w:t xml:space="preserve">2. Proof of their regulatory agency independence and enforcement capacity. </w:t>
      </w:r>
    </w:p>
    <w:p w:rsidR="002A2374" w:rsidRPr="002A2374" w:rsidRDefault="002A2374" w:rsidP="002A2374">
      <w:pPr>
        <w:pStyle w:val="ListParagraph"/>
        <w:rPr>
          <w:sz w:val="20"/>
          <w:szCs w:val="20"/>
        </w:rPr>
      </w:pPr>
      <w:r w:rsidRPr="002A2374">
        <w:rPr>
          <w:sz w:val="20"/>
          <w:szCs w:val="20"/>
        </w:rPr>
        <w:t xml:space="preserve">3. Results of their national surveillance and inspection programs, demonstrating equal or surpassing food safety outcomes to the United States of America. </w:t>
      </w:r>
    </w:p>
    <w:p w:rsidR="002A2374" w:rsidRPr="002A2374" w:rsidRDefault="002A2374" w:rsidP="002A2374">
      <w:pPr>
        <w:pStyle w:val="ListParagraph"/>
        <w:rPr>
          <w:sz w:val="20"/>
          <w:szCs w:val="20"/>
        </w:rPr>
      </w:pPr>
    </w:p>
    <w:p w:rsidR="002A2374" w:rsidRPr="002A2374" w:rsidRDefault="002A2374" w:rsidP="002A2374">
      <w:pPr>
        <w:pStyle w:val="ListParagraph"/>
        <w:rPr>
          <w:sz w:val="20"/>
          <w:szCs w:val="20"/>
        </w:rPr>
      </w:pPr>
      <w:r w:rsidRPr="002A2374">
        <w:rPr>
          <w:sz w:val="20"/>
          <w:szCs w:val="20"/>
        </w:rPr>
        <w:t xml:space="preserve">Or, Any nation with an existing SRA or equivalence determination with the FDA (or USDA for meat and Poultry) for the relevant food category. </w:t>
      </w:r>
    </w:p>
    <w:p w:rsidR="002A2374" w:rsidRPr="002A2374" w:rsidRDefault="002A2374" w:rsidP="002A2374">
      <w:pPr>
        <w:pStyle w:val="ListParagraph"/>
        <w:rPr>
          <w:sz w:val="20"/>
          <w:szCs w:val="20"/>
        </w:rPr>
      </w:pPr>
    </w:p>
    <w:p w:rsidR="002A2374" w:rsidRPr="002A2374" w:rsidRDefault="002A2374" w:rsidP="002A2374">
      <w:pPr>
        <w:pStyle w:val="ListParagraph"/>
        <w:rPr>
          <w:sz w:val="20"/>
          <w:szCs w:val="20"/>
        </w:rPr>
      </w:pPr>
      <w:r w:rsidRPr="002A2374">
        <w:rPr>
          <w:sz w:val="20"/>
          <w:szCs w:val="20"/>
        </w:rPr>
        <w:t xml:space="preserve">Section 2 : </w:t>
      </w:r>
    </w:p>
    <w:p w:rsidR="002A2374" w:rsidRPr="002A2374" w:rsidRDefault="002A2374" w:rsidP="002A2374">
      <w:pPr>
        <w:pStyle w:val="ListParagraph"/>
        <w:rPr>
          <w:sz w:val="20"/>
          <w:szCs w:val="20"/>
        </w:rPr>
      </w:pPr>
      <w:r w:rsidRPr="002A2374">
        <w:rPr>
          <w:sz w:val="20"/>
          <w:szCs w:val="20"/>
        </w:rPr>
        <w:t xml:space="preserve">Any Country that becomes listed as a Designated Regulatory Deficiency Nation (DRDN) must apply for an Pre-Import Safety Certification (PISC) License for the following products under these categories; </w:t>
      </w:r>
    </w:p>
    <w:p w:rsidR="002A2374" w:rsidRPr="002A2374" w:rsidRDefault="002A2374" w:rsidP="002A2374">
      <w:pPr>
        <w:pStyle w:val="ListParagraph"/>
        <w:rPr>
          <w:sz w:val="20"/>
          <w:szCs w:val="20"/>
        </w:rPr>
      </w:pPr>
      <w:r w:rsidRPr="002A2374">
        <w:rPr>
          <w:sz w:val="20"/>
          <w:szCs w:val="20"/>
        </w:rPr>
        <w:t xml:space="preserve">1. High-Risk Perishables Fresh produce, raw ingredients, and products susceptible to microbial growth (e.g., Salmonella). Requires detailed field and water audits. It will cost the United States Importer of Record or the Foreign Exporting Entity $12,000 per renewal . This reflects the high cost and frequency of on-site audits, chemical testing, and microbial sampling. This audit license will need to be renewed every 12 months or immediately following any Class I or Class II recall or major documented contamination event. </w:t>
      </w:r>
    </w:p>
    <w:p w:rsidR="002A2374" w:rsidRPr="002A2374" w:rsidRDefault="002A2374" w:rsidP="002A2374">
      <w:pPr>
        <w:pStyle w:val="ListParagraph"/>
        <w:rPr>
          <w:sz w:val="20"/>
          <w:szCs w:val="20"/>
        </w:rPr>
      </w:pPr>
      <w:r w:rsidRPr="002A2374">
        <w:rPr>
          <w:sz w:val="20"/>
          <w:szCs w:val="20"/>
        </w:rPr>
        <w:t xml:space="preserve">2. Seafood and Shellfish Susceptible to heavy metals, biotoxins, and complex processing (HACCP). Requires specialized audit protocols. It will cost the United States Importer of Record or the Foreign Exporting Entity $9,000 per renewal. Audits focus on specialized handling, cooling, and Hazard Analysis and Critical Control Points (HACCP) compliance. This license will need to be renewed every 12 months or immediately following any Class I or Class II recall or major documented contamination event. </w:t>
      </w:r>
    </w:p>
    <w:p w:rsidR="002A2374" w:rsidRPr="002A2374" w:rsidRDefault="002A2374" w:rsidP="002A2374">
      <w:pPr>
        <w:pStyle w:val="ListParagraph"/>
        <w:rPr>
          <w:sz w:val="20"/>
          <w:szCs w:val="20"/>
        </w:rPr>
      </w:pPr>
      <w:r w:rsidRPr="002A2374">
        <w:rPr>
          <w:sz w:val="20"/>
          <w:szCs w:val="20"/>
        </w:rPr>
        <w:t>3. Processed/Manufactured Foods Canned goods, snacks, beverages, and other products (excluding pharmaceuticals regulated under Title 21 of the Code of Federal Regulations), with significant factory processing. Requires facility sanitation audits (</w:t>
      </w:r>
      <w:proofErr w:type="spellStart"/>
      <w:r w:rsidRPr="002A2374">
        <w:rPr>
          <w:sz w:val="20"/>
          <w:szCs w:val="20"/>
        </w:rPr>
        <w:t>cGMPs</w:t>
      </w:r>
      <w:proofErr w:type="spellEnd"/>
      <w:r w:rsidRPr="002A2374">
        <w:rPr>
          <w:sz w:val="20"/>
          <w:szCs w:val="20"/>
        </w:rPr>
        <w:t xml:space="preserve">), It will cost the foreign nation $6,000 per renewal, requiring checks for manufacturing controls and allergen management. This audit license will need to be renewed every 16 months, or immediately following any Class I or Class II recall or major documented contamination event. </w:t>
      </w:r>
    </w:p>
    <w:p w:rsidR="002A2374" w:rsidRPr="002A2374" w:rsidRDefault="002A2374" w:rsidP="002A2374">
      <w:pPr>
        <w:pStyle w:val="ListParagraph"/>
        <w:rPr>
          <w:sz w:val="20"/>
          <w:szCs w:val="20"/>
        </w:rPr>
      </w:pPr>
      <w:r w:rsidRPr="002A2374">
        <w:rPr>
          <w:sz w:val="20"/>
          <w:szCs w:val="20"/>
        </w:rPr>
        <w:t xml:space="preserve">4. Commodities/Bulk Ingredients Grains, oils, sugar, and non-perishable raw materials. Focus on storage, handling, and mycotoxin/pesticide residue. Fees cover document review and sampling verification. It will </w:t>
      </w:r>
      <w:r w:rsidRPr="002A2374">
        <w:rPr>
          <w:sz w:val="20"/>
          <w:szCs w:val="20"/>
        </w:rPr>
        <w:lastRenderedPageBreak/>
        <w:t xml:space="preserve">cost the United States Importer of Record or the Foreign Exporting Entity $3,500 per renewal. This audit license will need to be renewed every 18 months, or immediately following any Class I or Class II recall or major documented contamination event. </w:t>
      </w:r>
    </w:p>
    <w:p w:rsidR="002A2374" w:rsidRPr="002A2374" w:rsidRDefault="002A2374" w:rsidP="002A2374">
      <w:pPr>
        <w:pStyle w:val="ListParagraph"/>
        <w:rPr>
          <w:sz w:val="20"/>
          <w:szCs w:val="20"/>
        </w:rPr>
      </w:pPr>
      <w:r w:rsidRPr="002A2374">
        <w:rPr>
          <w:sz w:val="20"/>
          <w:szCs w:val="20"/>
        </w:rPr>
        <w:t xml:space="preserve">5. The United States Importer of Record or the Foreign Exporting Entity will have to purchase their first license(s) down payments June 1st, 2026, the mandate requiring a license for the United States Importer of Record or the Foreign Exporting Entity to do businesses within the United States by June 1st, 2029, if no license is acquired, that United States Importer of Record or the Foreign Exporting Entity will be detained and refused entry by U.S. Customs and Border Protection (CBP) and the FDA. The United States Importer of Record or the Foreign Exporting Entity must apply for the next renewal phase for their product’s specific license. </w:t>
      </w:r>
    </w:p>
    <w:p w:rsidR="002A2374" w:rsidRPr="002A2374" w:rsidRDefault="002A2374" w:rsidP="002A2374">
      <w:pPr>
        <w:pStyle w:val="ListParagraph"/>
        <w:rPr>
          <w:sz w:val="20"/>
          <w:szCs w:val="20"/>
        </w:rPr>
      </w:pPr>
      <w:r w:rsidRPr="002A2374">
        <w:rPr>
          <w:sz w:val="20"/>
          <w:szCs w:val="20"/>
        </w:rPr>
        <w:t xml:space="preserve">6. If a United States Importer of Record or the Foreign Exporting Entity is to have any questions regarding the licenses, regulation, or anything related to this new legislation, they are to contact the FDA (or USDA for meat and Poultry). </w:t>
      </w:r>
    </w:p>
    <w:p w:rsidR="002A2374" w:rsidRDefault="002A2374" w:rsidP="002A2374">
      <w:pPr>
        <w:pStyle w:val="ListParagraph"/>
        <w:rPr>
          <w:sz w:val="20"/>
          <w:szCs w:val="20"/>
        </w:rPr>
      </w:pPr>
      <w:r w:rsidRPr="002A2374">
        <w:rPr>
          <w:sz w:val="20"/>
          <w:szCs w:val="20"/>
        </w:rPr>
        <w:t xml:space="preserve">Section 3: A Food Safety Audit Fund (FSAF) shall be established. A Food Safety Audit Fund (FSAF) is defined as the dedicated, non-lapsing fund established in the U.S. Treasury for the sole purpose of receiving all PISC fees and funding the costs associated with the accreditation, administration, and execution of the third-party audit and oversight program mandated by this Act. A fund from these license down payments are to fund as many auditors as possible, these auditors shall be employed by a U.S.-accredited, independent third-party auditing firm that is certified by the FDA and holds zero financial or operational conflicts of interest with the foreign exporting entity, the foreign government, or any interested commercial party. The fund will need all collected PISC fees to be deposited into the dedicated, non-lapsing Food Safety Audit Fund (FSAF) within the U.S. Treasury. The FSAF is authorized to utilize up to $60,000,000 (60 million) in the first fiscal year for initial program establishment. These fees will cover The Independent Third-Party Auditors. Whose activity is defined in this legislation as performing the mandatory on-site audits of foreign facilities in Designated Regulatory Deficiency (DRD) Nations which are defined as any nation determined by the Secretary of Health and Human Services (acting through the Food and Drug Administration) or the Secretary of Agriculture (acting through the Food Safety and Inspection Service) to possess a food safety regulatory system that fails to meet or exceed the Comparative Regulatory Framework Standard (CRFS) as established in Section One. The funding Covers Auditor salaries, international travel expenses, laboratory testing costs for samples taken during the audit, and report generation. The fees will also cover the U.S. Regulatory Oversight Agency (FDA) Whose Activity is defined in this legislation as administering and enforcing the entire program. This Funding Covers Accreditation and Monitoring, The cost of the FDA (or a designated office) reviewing, recognizing, and continually monitoring the third-party auditing firms for independence and competence, Comparative Regulatory Framework Standard (CRFS) Review:, the labor cost of FDA staff reviewing the food safety laws of foreign nations to determine which are designated as DRD Nations, PISC Review and Enforcement: Staff time for reviewing submitted documentation of the foreign countries, managing the public database of certified facilities, and conducting random U.S. port-of-entry verification checks (re-audits) to ensure the system is working. </w:t>
      </w:r>
    </w:p>
    <w:p w:rsidR="002A2374" w:rsidRDefault="002A2374" w:rsidP="002A2374">
      <w:pPr>
        <w:pStyle w:val="ListParagraph"/>
        <w:rPr>
          <w:sz w:val="20"/>
          <w:szCs w:val="20"/>
        </w:rPr>
      </w:pPr>
    </w:p>
    <w:p w:rsidR="002A2374" w:rsidRPr="002A2374" w:rsidRDefault="002A2374" w:rsidP="002A2374">
      <w:pPr>
        <w:pStyle w:val="ListParagraph"/>
        <w:rPr>
          <w:sz w:val="20"/>
          <w:szCs w:val="20"/>
        </w:rPr>
      </w:pPr>
      <w:r w:rsidRPr="002A2374">
        <w:rPr>
          <w:sz w:val="20"/>
          <w:szCs w:val="20"/>
        </w:rPr>
        <w:t xml:space="preserve">Respectfully submitted and written by Nicholas </w:t>
      </w:r>
      <w:proofErr w:type="spellStart"/>
      <w:r w:rsidRPr="002A2374">
        <w:rPr>
          <w:sz w:val="20"/>
          <w:szCs w:val="20"/>
        </w:rPr>
        <w:t>Agures</w:t>
      </w:r>
      <w:proofErr w:type="spellEnd"/>
      <w:r w:rsidRPr="002A2374">
        <w:rPr>
          <w:sz w:val="20"/>
          <w:szCs w:val="20"/>
        </w:rPr>
        <w:t>, Notre Dame H.S.</w:t>
      </w: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Pr="00725492" w:rsidRDefault="002A2374" w:rsidP="00725492">
      <w:pPr>
        <w:rPr>
          <w:rFonts w:ascii="Times New Roman" w:hAnsi="Times New Roman" w:cs="Times New Roman"/>
          <w:sz w:val="24"/>
          <w:szCs w:val="24"/>
        </w:rPr>
      </w:pPr>
    </w:p>
    <w:p w:rsidR="00111825" w:rsidRDefault="00111825" w:rsidP="00111825">
      <w:pPr>
        <w:pBdr>
          <w:top w:val="nil"/>
          <w:left w:val="nil"/>
          <w:bottom w:val="nil"/>
          <w:right w:val="nil"/>
          <w:between w:val="nil"/>
        </w:pBdr>
        <w:jc w:val="center"/>
        <w:rPr>
          <w:sz w:val="36"/>
          <w:szCs w:val="36"/>
        </w:rPr>
      </w:pPr>
      <w:r>
        <w:rPr>
          <w:b/>
          <w:sz w:val="36"/>
          <w:szCs w:val="36"/>
        </w:rPr>
        <w:lastRenderedPageBreak/>
        <w:t>A Bill to Enhance National Defense in the Arctic</w:t>
      </w:r>
    </w:p>
    <w:p w:rsidR="00111825" w:rsidRDefault="00111825" w:rsidP="00111825">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111825" w:rsidTr="00A248EB">
        <w:tc>
          <w:tcPr>
            <w:tcW w:w="360" w:type="dxa"/>
            <w:shd w:val="clear" w:color="auto" w:fill="auto"/>
            <w:tcMar>
              <w:top w:w="14" w:type="dxa"/>
              <w:left w:w="14" w:type="dxa"/>
              <w:bottom w:w="14" w:type="dxa"/>
              <w:right w:w="14" w:type="dxa"/>
            </w:tcMar>
          </w:tcPr>
          <w:p w:rsidR="00111825" w:rsidRDefault="00111825" w:rsidP="00A248EB">
            <w:pPr>
              <w:widowControl w:val="0"/>
              <w:pBdr>
                <w:top w:val="nil"/>
                <w:left w:val="nil"/>
                <w:bottom w:val="nil"/>
                <w:right w:val="nil"/>
                <w:between w:val="nil"/>
              </w:pBdr>
              <w:spacing w:line="335" w:lineRule="auto"/>
              <w:rPr>
                <w:smallCaps/>
                <w:sz w:val="28"/>
                <w:szCs w:val="28"/>
              </w:rPr>
            </w:pP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2</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3</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4</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5</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6</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7</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8</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9</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10</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11</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12</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13</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14</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15</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16</w:t>
            </w:r>
          </w:p>
          <w:p w:rsidR="00111825" w:rsidRDefault="00111825" w:rsidP="00A248EB">
            <w:pPr>
              <w:widowControl w:val="0"/>
              <w:pBdr>
                <w:top w:val="nil"/>
                <w:left w:val="nil"/>
                <w:bottom w:val="nil"/>
                <w:right w:val="nil"/>
                <w:between w:val="nil"/>
              </w:pBdr>
              <w:spacing w:line="335" w:lineRule="auto"/>
              <w:rPr>
                <w:smallCaps/>
                <w:sz w:val="24"/>
                <w:szCs w:val="24"/>
              </w:rPr>
            </w:pPr>
          </w:p>
          <w:p w:rsidR="00111825" w:rsidRDefault="00111825" w:rsidP="00A248EB">
            <w:pPr>
              <w:widowControl w:val="0"/>
              <w:pBdr>
                <w:top w:val="nil"/>
                <w:left w:val="nil"/>
                <w:bottom w:val="nil"/>
                <w:right w:val="nil"/>
                <w:between w:val="nil"/>
              </w:pBdr>
              <w:spacing w:line="335" w:lineRule="auto"/>
              <w:rPr>
                <w:smallCaps/>
                <w:sz w:val="24"/>
                <w:szCs w:val="24"/>
              </w:rPr>
            </w:pPr>
          </w:p>
        </w:tc>
        <w:tc>
          <w:tcPr>
            <w:tcW w:w="9000" w:type="dxa"/>
            <w:shd w:val="clear" w:color="auto" w:fill="auto"/>
            <w:tcMar>
              <w:top w:w="100" w:type="dxa"/>
              <w:left w:w="100" w:type="dxa"/>
              <w:bottom w:w="100" w:type="dxa"/>
              <w:right w:w="100" w:type="dxa"/>
            </w:tcMar>
          </w:tcPr>
          <w:p w:rsidR="00111825" w:rsidRDefault="00111825" w:rsidP="00A248EB">
            <w:pPr>
              <w:pBdr>
                <w:top w:val="nil"/>
                <w:left w:val="nil"/>
                <w:bottom w:val="nil"/>
                <w:right w:val="nil"/>
                <w:between w:val="nil"/>
              </w:pBdr>
              <w:spacing w:line="335" w:lineRule="auto"/>
            </w:pPr>
            <w:r>
              <w:rPr>
                <w:smallCaps/>
                <w:sz w:val="24"/>
                <w:szCs w:val="24"/>
              </w:rPr>
              <w:t xml:space="preserve">BE IT ENACTED BY THE CONGRESS HERE ASSEMBLED THAT: </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The Department of Defense will allocate $1,000,000,000 from current DOD funds to invest in developing national defense strategies, and enhance, and development new technologies to improve national defense in the Arctic</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 xml:space="preserve">“Defense strategies and technologies” are defined as the technology, weaponry, and government organizations that focus on increasing the ability to be able to function in an Arctic environment. </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 xml:space="preserve">The Department of Defense (DOD), Defense Advanced Research Projects Agency (DARPA) shall be involved in overseeing the implementation of this bill. </w:t>
            </w:r>
          </w:p>
          <w:p w:rsidR="00111825" w:rsidRDefault="00111825" w:rsidP="00111825">
            <w:pPr>
              <w:numPr>
                <w:ilvl w:val="0"/>
                <w:numId w:val="8"/>
              </w:numPr>
              <w:pBdr>
                <w:top w:val="nil"/>
                <w:left w:val="nil"/>
                <w:bottom w:val="nil"/>
                <w:right w:val="nil"/>
                <w:between w:val="nil"/>
              </w:pBdr>
              <w:spacing w:line="335" w:lineRule="auto"/>
              <w:rPr>
                <w:sz w:val="24"/>
                <w:szCs w:val="24"/>
              </w:rPr>
            </w:pPr>
            <w:r>
              <w:rPr>
                <w:sz w:val="24"/>
                <w:szCs w:val="24"/>
              </w:rPr>
              <w:t xml:space="preserve">The DOD will allocate $1,000,000,000 to DARPA to develop new Arctic technologies </w:t>
            </w:r>
          </w:p>
          <w:p w:rsidR="00111825" w:rsidRDefault="00111825" w:rsidP="00111825">
            <w:pPr>
              <w:numPr>
                <w:ilvl w:val="0"/>
                <w:numId w:val="8"/>
              </w:numPr>
              <w:pBdr>
                <w:top w:val="nil"/>
                <w:left w:val="nil"/>
                <w:bottom w:val="nil"/>
                <w:right w:val="nil"/>
                <w:between w:val="nil"/>
              </w:pBdr>
              <w:spacing w:line="335" w:lineRule="auto"/>
              <w:rPr>
                <w:sz w:val="24"/>
                <w:szCs w:val="24"/>
              </w:rPr>
            </w:pPr>
            <w:r>
              <w:rPr>
                <w:sz w:val="24"/>
                <w:szCs w:val="24"/>
              </w:rPr>
              <w:t>The US military will increase engagement with other Arctic nations in unilateral programs such as the Arctic Security Forces Roundtable (ASFR)</w:t>
            </w:r>
          </w:p>
          <w:p w:rsidR="00111825" w:rsidRDefault="00111825" w:rsidP="00A248EB">
            <w:pPr>
              <w:pBdr>
                <w:top w:val="nil"/>
                <w:left w:val="nil"/>
                <w:bottom w:val="nil"/>
                <w:right w:val="nil"/>
                <w:between w:val="nil"/>
              </w:pBdr>
              <w:spacing w:line="335" w:lineRule="auto"/>
              <w:ind w:left="1440"/>
              <w:rPr>
                <w:i/>
                <w:sz w:val="24"/>
                <w:szCs w:val="24"/>
              </w:rPr>
            </w:pPr>
            <w:r>
              <w:rPr>
                <w:b/>
                <w:sz w:val="24"/>
                <w:szCs w:val="24"/>
              </w:rPr>
              <w:t>SECTION 5.</w:t>
            </w:r>
            <w:r>
              <w:rPr>
                <w:b/>
                <w:sz w:val="24"/>
                <w:szCs w:val="24"/>
              </w:rPr>
              <w:tab/>
            </w:r>
            <w:r>
              <w:rPr>
                <w:sz w:val="24"/>
                <w:szCs w:val="24"/>
              </w:rPr>
              <w:t>This legislation will take effect immediately after passage. All laws in conflict with this legislation are hereby declared null and void.</w:t>
            </w:r>
          </w:p>
        </w:tc>
      </w:tr>
    </w:tbl>
    <w:p w:rsidR="00111825" w:rsidRDefault="00111825" w:rsidP="00111825">
      <w:pPr>
        <w:pBdr>
          <w:top w:val="nil"/>
          <w:left w:val="nil"/>
          <w:bottom w:val="nil"/>
          <w:right w:val="nil"/>
          <w:between w:val="nil"/>
        </w:pBdr>
        <w:ind w:left="1440" w:hanging="1440"/>
      </w:pPr>
      <w:r>
        <w:rPr>
          <w:rFonts w:ascii="Calibri" w:eastAsia="Calibri" w:hAnsi="Calibri" w:cs="Calibri"/>
          <w:i/>
        </w:rPr>
        <w:t xml:space="preserve">Introduced for Congressional Debate by </w:t>
      </w:r>
      <w:r>
        <w:rPr>
          <w:i/>
        </w:rPr>
        <w:t>Jayson Pai of Hunterdon Central Regional High School</w:t>
      </w:r>
      <w:r>
        <w:rPr>
          <w:rFonts w:ascii="Calibri" w:eastAsia="Calibri" w:hAnsi="Calibri" w:cs="Calibri"/>
          <w:i/>
        </w:rPr>
        <w:t>.</w:t>
      </w:r>
    </w:p>
    <w:p w:rsidR="004D7AFE" w:rsidRDefault="004D7AFE">
      <w:pPr>
        <w:rPr>
          <w:rFonts w:ascii="Times New Roman" w:hAnsi="Times New Roman" w:cs="Times New Roman"/>
        </w:rPr>
      </w:pPr>
    </w:p>
    <w:p w:rsidR="00111825" w:rsidRDefault="00111825">
      <w:pPr>
        <w:rPr>
          <w:rFonts w:ascii="Times New Roman" w:hAnsi="Times New Roman" w:cs="Times New Roman"/>
        </w:rPr>
      </w:pPr>
    </w:p>
    <w:p w:rsidR="00111825" w:rsidRDefault="00111825">
      <w:pPr>
        <w:rPr>
          <w:rFonts w:ascii="Times New Roman" w:hAnsi="Times New Roman" w:cs="Times New Roman"/>
        </w:rPr>
      </w:pPr>
    </w:p>
    <w:p w:rsidR="00B965AA" w:rsidRDefault="00B965AA">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111825" w:rsidRDefault="00111825">
      <w:pPr>
        <w:rPr>
          <w:rFonts w:ascii="Times New Roman" w:hAnsi="Times New Roman" w:cs="Times New Roman"/>
        </w:rPr>
      </w:pPr>
    </w:p>
    <w:p w:rsidR="002A2374" w:rsidRDefault="002A2374">
      <w:pPr>
        <w:rPr>
          <w:rFonts w:ascii="Times New Roman" w:hAnsi="Times New Roman" w:cs="Times New Roman"/>
        </w:rPr>
      </w:pPr>
    </w:p>
    <w:p w:rsidR="002A2374" w:rsidRPr="002A2374" w:rsidRDefault="002A2374" w:rsidP="002A2374">
      <w:pPr>
        <w:spacing w:line="240" w:lineRule="auto"/>
        <w:jc w:val="center"/>
        <w:rPr>
          <w:rFonts w:ascii="Times New Roman" w:eastAsia="Times New Roman" w:hAnsi="Times New Roman" w:cs="Times New Roman"/>
          <w:sz w:val="24"/>
          <w:szCs w:val="24"/>
          <w:lang w:val="en-US"/>
        </w:rPr>
      </w:pPr>
      <w:r w:rsidRPr="002A2374">
        <w:rPr>
          <w:rFonts w:eastAsia="Times New Roman"/>
          <w:b/>
          <w:bCs/>
          <w:color w:val="000000"/>
          <w:sz w:val="36"/>
          <w:szCs w:val="36"/>
          <w:lang w:val="en-US"/>
        </w:rPr>
        <w:lastRenderedPageBreak/>
        <w:t>Healthy Organic Environment (HOE) Act</w:t>
      </w:r>
      <w:r w:rsidRPr="002A2374">
        <w:rPr>
          <w:rFonts w:eastAsia="Times New Roman"/>
          <w:b/>
          <w:bCs/>
          <w:color w:val="000000"/>
          <w:sz w:val="36"/>
          <w:szCs w:val="36"/>
          <w:lang w:val="en-US"/>
        </w:rPr>
        <w:br/>
      </w:r>
    </w:p>
    <w:p w:rsidR="002A2374" w:rsidRDefault="002A2374" w:rsidP="002A2374">
      <w:pPr>
        <w:spacing w:line="240" w:lineRule="auto"/>
        <w:rPr>
          <w:rFonts w:eastAsia="Times New Roman"/>
          <w:color w:val="000000"/>
          <w:sz w:val="19"/>
          <w:szCs w:val="19"/>
          <w:lang w:val="en-US"/>
        </w:rPr>
      </w:pPr>
      <w:r w:rsidRPr="002A2374">
        <w:rPr>
          <w:rFonts w:eastAsia="Times New Roman"/>
          <w:color w:val="000000"/>
          <w:sz w:val="19"/>
          <w:szCs w:val="19"/>
          <w:lang w:val="en-US"/>
        </w:rPr>
        <w:t>BE IT ENACTED BY THE CONGRESS HERE ASSEMBLED THAT:</w:t>
      </w:r>
    </w:p>
    <w:p w:rsidR="002A2374" w:rsidRPr="002A2374" w:rsidRDefault="002A2374" w:rsidP="002A2374">
      <w:pPr>
        <w:spacing w:line="240" w:lineRule="auto"/>
        <w:rPr>
          <w:rFonts w:ascii="Times New Roman" w:eastAsia="Times New Roman" w:hAnsi="Times New Roman" w:cs="Times New Roman"/>
          <w:sz w:val="24"/>
          <w:szCs w:val="24"/>
          <w:lang w:val="en-US"/>
        </w:rPr>
      </w:pPr>
    </w:p>
    <w:p w:rsidR="002A2374" w:rsidRDefault="002A2374" w:rsidP="002A2374">
      <w:pPr>
        <w:spacing w:line="240" w:lineRule="auto"/>
        <w:rPr>
          <w:rFonts w:eastAsia="Times New Roman"/>
          <w:color w:val="000000"/>
          <w:sz w:val="19"/>
          <w:szCs w:val="19"/>
          <w:lang w:val="en-US"/>
        </w:rPr>
      </w:pPr>
      <w:r w:rsidRPr="002A2374">
        <w:rPr>
          <w:rFonts w:eastAsia="Times New Roman"/>
          <w:b/>
          <w:bCs/>
          <w:color w:val="000000"/>
          <w:sz w:val="19"/>
          <w:szCs w:val="19"/>
          <w:lang w:val="en-US"/>
        </w:rPr>
        <w:t>SECTION 1.</w:t>
      </w:r>
      <w:r w:rsidRPr="002A2374">
        <w:rPr>
          <w:rFonts w:eastAsia="Times New Roman"/>
          <w:b/>
          <w:bCs/>
          <w:color w:val="000000"/>
          <w:sz w:val="19"/>
          <w:szCs w:val="19"/>
          <w:lang w:val="en-US"/>
        </w:rPr>
        <w:tab/>
      </w:r>
      <w:r w:rsidRPr="002A2374">
        <w:rPr>
          <w:rFonts w:eastAsia="Times New Roman"/>
          <w:color w:val="000000"/>
          <w:sz w:val="19"/>
          <w:szCs w:val="19"/>
          <w:lang w:val="en-US"/>
        </w:rPr>
        <w:t>The United States would mandate all farmers to diversify their usage of fertilizers through but not limited to a minimum of 30% organic fertilizer law. This would constitute a margined block grant for each state (based on farming population) that will be distributed to every legally recognized farmer. Infractions would result in due legal process.</w:t>
      </w:r>
    </w:p>
    <w:p w:rsidR="002A2374" w:rsidRPr="002A2374" w:rsidRDefault="002A2374" w:rsidP="002A2374">
      <w:pPr>
        <w:spacing w:line="240" w:lineRule="auto"/>
        <w:rPr>
          <w:rFonts w:ascii="Times New Roman" w:eastAsia="Times New Roman" w:hAnsi="Times New Roman" w:cs="Times New Roman"/>
          <w:sz w:val="24"/>
          <w:szCs w:val="24"/>
          <w:lang w:val="en-US"/>
        </w:rPr>
      </w:pP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SECTION 2.</w:t>
      </w:r>
      <w:r w:rsidRPr="002A2374">
        <w:rPr>
          <w:rFonts w:eastAsia="Times New Roman"/>
          <w:b/>
          <w:bCs/>
          <w:color w:val="000000"/>
          <w:sz w:val="19"/>
          <w:szCs w:val="19"/>
          <w:lang w:val="en-US"/>
        </w:rPr>
        <w:tab/>
      </w:r>
      <w:r w:rsidRPr="002A2374">
        <w:rPr>
          <w:rFonts w:eastAsia="Times New Roman"/>
          <w:color w:val="000000"/>
          <w:sz w:val="19"/>
          <w:szCs w:val="19"/>
          <w:lang w:val="en-US"/>
        </w:rPr>
        <w:t>The following are key terms and what they implicate:</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A. </w:t>
      </w:r>
      <w:r w:rsidRPr="002A2374">
        <w:rPr>
          <w:rFonts w:eastAsia="Times New Roman"/>
          <w:b/>
          <w:bCs/>
          <w:color w:val="000000"/>
          <w:sz w:val="19"/>
          <w:szCs w:val="19"/>
          <w:lang w:val="en-US"/>
        </w:rPr>
        <w:tab/>
      </w:r>
      <w:r w:rsidRPr="002A2374">
        <w:rPr>
          <w:rFonts w:eastAsia="Times New Roman"/>
          <w:color w:val="000000"/>
          <w:sz w:val="19"/>
          <w:szCs w:val="19"/>
          <w:lang w:val="en-US"/>
        </w:rPr>
        <w:t>Farmers, under this legislation, will be defined as per the same definition used by legal statutes [FLSA] (Farmers - someone who professionally engages in distinct farming operations to produce a farm crop. Corporations and farmers' cooperatives can also be considered "farmers" if they are involved in actual farming operations).</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B.</w:t>
      </w:r>
      <w:r w:rsidRPr="002A2374">
        <w:rPr>
          <w:rFonts w:eastAsia="Times New Roman"/>
          <w:b/>
          <w:bCs/>
          <w:color w:val="000000"/>
          <w:sz w:val="19"/>
          <w:szCs w:val="19"/>
          <w:lang w:val="en-US"/>
        </w:rPr>
        <w:tab/>
      </w:r>
      <w:r w:rsidRPr="002A2374">
        <w:rPr>
          <w:rFonts w:eastAsia="Times New Roman"/>
          <w:color w:val="000000"/>
          <w:sz w:val="19"/>
          <w:szCs w:val="19"/>
          <w:lang w:val="en-US"/>
        </w:rPr>
        <w:t xml:space="preserve">Organic Fertilizer, under this legislation, is defined as per the same definition used by the USDA (defined as a plant or animal-derived product providing nutrients, meeting state/federal standards [like </w:t>
      </w:r>
      <w:hyperlink r:id="rId5" w:history="1">
        <w:r w:rsidRPr="002A2374">
          <w:rPr>
            <w:rFonts w:eastAsia="Times New Roman"/>
            <w:color w:val="000000"/>
            <w:sz w:val="19"/>
            <w:szCs w:val="19"/>
            <w:u w:val="single"/>
            <w:lang w:val="en-US"/>
          </w:rPr>
          <w:t>USDA NOP</w:t>
        </w:r>
      </w:hyperlink>
      <w:r w:rsidRPr="002A2374">
        <w:rPr>
          <w:rFonts w:eastAsia="Times New Roman"/>
          <w:color w:val="000000"/>
          <w:sz w:val="19"/>
          <w:szCs w:val="19"/>
          <w:lang w:val="en-US"/>
        </w:rPr>
        <w:t xml:space="preserve"> for "certified organic"], meaning it's biodegradable, low-toxicity, and comes from natural sources [manure, compost, bone meal]).</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C.</w:t>
      </w:r>
      <w:r w:rsidRPr="002A2374">
        <w:rPr>
          <w:rFonts w:eastAsia="Times New Roman"/>
          <w:color w:val="000000"/>
          <w:sz w:val="19"/>
          <w:szCs w:val="19"/>
          <w:lang w:val="en-US"/>
        </w:rPr>
        <w:t xml:space="preserve"> </w:t>
      </w:r>
      <w:r w:rsidRPr="002A2374">
        <w:rPr>
          <w:rFonts w:eastAsia="Times New Roman"/>
          <w:color w:val="000000"/>
          <w:sz w:val="19"/>
          <w:szCs w:val="19"/>
          <w:lang w:val="en-US"/>
        </w:rPr>
        <w:tab/>
        <w:t>The margined monetary block grant shall be determined by the various caucus  committees of Congress and must be determined to be a value that is considered necessary for farmers to afford the appropriate amount of natural fertilizer. This value is a subjective variable which will be calculated through a ratio pertaining to farmland area. </w:t>
      </w:r>
    </w:p>
    <w:p w:rsidR="002A2374" w:rsidRDefault="002A2374" w:rsidP="002A2374">
      <w:pPr>
        <w:spacing w:line="240" w:lineRule="auto"/>
        <w:ind w:left="1440" w:hanging="720"/>
        <w:rPr>
          <w:rFonts w:eastAsia="Times New Roman"/>
          <w:color w:val="000000"/>
          <w:sz w:val="19"/>
          <w:szCs w:val="19"/>
          <w:lang w:val="en-US"/>
        </w:rPr>
      </w:pPr>
      <w:r w:rsidRPr="002A2374">
        <w:rPr>
          <w:rFonts w:eastAsia="Times New Roman"/>
          <w:b/>
          <w:bCs/>
          <w:color w:val="000000"/>
          <w:sz w:val="19"/>
          <w:szCs w:val="19"/>
          <w:lang w:val="en-US"/>
        </w:rPr>
        <w:t xml:space="preserve">D. </w:t>
      </w:r>
      <w:r w:rsidRPr="002A2374">
        <w:rPr>
          <w:rFonts w:eastAsia="Times New Roman"/>
          <w:b/>
          <w:bCs/>
          <w:color w:val="000000"/>
          <w:sz w:val="19"/>
          <w:szCs w:val="19"/>
          <w:lang w:val="en-US"/>
        </w:rPr>
        <w:tab/>
      </w:r>
      <w:r w:rsidRPr="002A2374">
        <w:rPr>
          <w:rFonts w:eastAsia="Times New Roman"/>
          <w:color w:val="000000"/>
          <w:sz w:val="19"/>
          <w:szCs w:val="19"/>
          <w:lang w:val="en-US"/>
        </w:rPr>
        <w:t>Due legal process is defined as appropriate legal action. They shall be determined when the first legal infrastructure is recorded. When that decision is created, it will be treated as appropriate legislative precedent. This punishment is also up to state discretion but must at least include either a hefty fine ($200 per hectare found not up to regulation) or time under the Department of Corrections.</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SECTION 3.</w:t>
      </w:r>
      <w:r w:rsidRPr="002A2374">
        <w:rPr>
          <w:rFonts w:eastAsia="Times New Roman"/>
          <w:b/>
          <w:bCs/>
          <w:color w:val="000000"/>
          <w:sz w:val="19"/>
          <w:szCs w:val="19"/>
          <w:lang w:val="en-US"/>
        </w:rPr>
        <w:tab/>
      </w:r>
      <w:r w:rsidRPr="002A2374">
        <w:rPr>
          <w:rFonts w:eastAsia="Times New Roman"/>
          <w:color w:val="000000"/>
          <w:sz w:val="19"/>
          <w:szCs w:val="19"/>
          <w:lang w:val="en-US"/>
        </w:rPr>
        <w:t>The Department of Labor, in consultation with the Environmental Protection Agency will oversee this legislation’s implementation. </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A. </w:t>
      </w:r>
      <w:r w:rsidRPr="002A2374">
        <w:rPr>
          <w:rFonts w:eastAsia="Times New Roman"/>
          <w:b/>
          <w:bCs/>
          <w:color w:val="000000"/>
          <w:sz w:val="19"/>
          <w:szCs w:val="19"/>
          <w:lang w:val="en-US"/>
        </w:rPr>
        <w:tab/>
      </w:r>
      <w:r w:rsidRPr="002A2374">
        <w:rPr>
          <w:rFonts w:eastAsia="Times New Roman"/>
          <w:color w:val="000000"/>
          <w:sz w:val="19"/>
          <w:szCs w:val="19"/>
          <w:lang w:val="en-US"/>
        </w:rPr>
        <w:t>Funding shall be allocated from the Department of Labor and Environmental Protection Agency (EPA). It will mainly draw from the Department of Labor (60% of funding) but still will have a siphon from the EPA (40%). </w:t>
      </w:r>
    </w:p>
    <w:p w:rsidR="002A2374" w:rsidRDefault="002A2374" w:rsidP="002A2374">
      <w:pPr>
        <w:spacing w:line="240" w:lineRule="auto"/>
        <w:ind w:left="1440" w:hanging="720"/>
        <w:rPr>
          <w:rFonts w:eastAsia="Times New Roman"/>
          <w:color w:val="000000"/>
          <w:sz w:val="19"/>
          <w:szCs w:val="19"/>
          <w:lang w:val="en-US"/>
        </w:rPr>
      </w:pPr>
      <w:r w:rsidRPr="002A2374">
        <w:rPr>
          <w:rFonts w:eastAsia="Times New Roman"/>
          <w:b/>
          <w:bCs/>
          <w:color w:val="000000"/>
          <w:sz w:val="19"/>
          <w:szCs w:val="19"/>
          <w:lang w:val="en-US"/>
        </w:rPr>
        <w:t xml:space="preserve">B. </w:t>
      </w:r>
      <w:r w:rsidRPr="002A2374">
        <w:rPr>
          <w:rFonts w:eastAsia="Times New Roman"/>
          <w:b/>
          <w:bCs/>
          <w:color w:val="000000"/>
          <w:sz w:val="19"/>
          <w:szCs w:val="19"/>
          <w:lang w:val="en-US"/>
        </w:rPr>
        <w:tab/>
      </w:r>
      <w:r w:rsidRPr="002A2374">
        <w:rPr>
          <w:rFonts w:eastAsia="Times New Roman"/>
          <w:color w:val="000000"/>
          <w:sz w:val="19"/>
          <w:szCs w:val="19"/>
          <w:lang w:val="en-US"/>
        </w:rPr>
        <w:t>Natural Fertilizers will be obtained from sources agreed upon by the EPA. Furthermore, for all further correspondence on this bill, a dedicated legislative committee (with legislative discretion) shall be created as per the needs of both Congress and the EPA.</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SECTION 4. </w:t>
      </w:r>
      <w:r w:rsidRPr="002A2374">
        <w:rPr>
          <w:rFonts w:eastAsia="Times New Roman"/>
          <w:b/>
          <w:bCs/>
          <w:color w:val="000000"/>
          <w:sz w:val="19"/>
          <w:szCs w:val="19"/>
          <w:lang w:val="en-US"/>
        </w:rPr>
        <w:tab/>
      </w:r>
      <w:r w:rsidRPr="002A2374">
        <w:rPr>
          <w:rFonts w:eastAsia="Times New Roman"/>
          <w:color w:val="000000"/>
          <w:sz w:val="19"/>
          <w:szCs w:val="19"/>
          <w:lang w:val="en-US"/>
        </w:rPr>
        <w:t>This would go into effect as of the fiscal year of 2028. Funding will start being allocated as of the passing of this act.</w:t>
      </w: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ascii="Times New Roman" w:eastAsia="Times New Roman" w:hAnsi="Times New Roman" w:cs="Times New Roman"/>
          <w:sz w:val="24"/>
          <w:szCs w:val="24"/>
          <w:lang w:val="en-US"/>
        </w:rPr>
        <w:br/>
      </w:r>
      <w:r w:rsidRPr="002A2374">
        <w:rPr>
          <w:rFonts w:eastAsia="Times New Roman"/>
          <w:color w:val="000000"/>
          <w:sz w:val="19"/>
          <w:szCs w:val="19"/>
          <w:lang w:val="en-US"/>
        </w:rPr>
        <w:br/>
      </w: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eastAsia="Times New Roman"/>
          <w:i/>
          <w:iCs/>
          <w:color w:val="000000"/>
          <w:sz w:val="19"/>
          <w:szCs w:val="19"/>
          <w:lang w:val="en-US"/>
        </w:rPr>
        <w:t xml:space="preserve">Introduced by </w:t>
      </w:r>
      <w:proofErr w:type="spellStart"/>
      <w:r w:rsidRPr="002A2374">
        <w:rPr>
          <w:rFonts w:eastAsia="Times New Roman"/>
          <w:i/>
          <w:iCs/>
          <w:color w:val="000000"/>
          <w:sz w:val="19"/>
          <w:szCs w:val="19"/>
          <w:lang w:val="en-US"/>
        </w:rPr>
        <w:t>Arth</w:t>
      </w:r>
      <w:proofErr w:type="spellEnd"/>
      <w:r w:rsidRPr="002A2374">
        <w:rPr>
          <w:rFonts w:eastAsia="Times New Roman"/>
          <w:i/>
          <w:iCs/>
          <w:color w:val="000000"/>
          <w:sz w:val="19"/>
          <w:szCs w:val="19"/>
          <w:lang w:val="en-US"/>
        </w:rPr>
        <w:t xml:space="preserve"> Chopra, Hunterdon Central Regional High School</w:t>
      </w:r>
    </w:p>
    <w:p w:rsidR="002A2374" w:rsidRPr="002A2374" w:rsidRDefault="002A2374" w:rsidP="002A2374">
      <w:pPr>
        <w:spacing w:line="240" w:lineRule="auto"/>
        <w:rPr>
          <w:rFonts w:ascii="Times New Roman" w:eastAsia="Times New Roman" w:hAnsi="Times New Roman" w:cs="Times New Roman"/>
          <w:sz w:val="24"/>
          <w:szCs w:val="24"/>
          <w:lang w:val="en-US"/>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eastAsia="Times New Roman"/>
          <w:color w:val="000000"/>
          <w:sz w:val="36"/>
          <w:szCs w:val="36"/>
        </w:rPr>
        <w:lastRenderedPageBreak/>
        <w:t>A Resolution to Require Registration of Firearms</w:t>
      </w:r>
    </w:p>
    <w:p w:rsidR="002A2374" w:rsidRPr="00131314" w:rsidRDefault="002A2374" w:rsidP="002A2374">
      <w:pPr>
        <w:rPr>
          <w:rFonts w:ascii="Times New Roman" w:eastAsia="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eastAsia="Times New Roman"/>
          <w:color w:val="000000"/>
        </w:rPr>
        <w:t>Be it enacted by Congress here assembled that:</w:t>
      </w:r>
    </w:p>
    <w:p w:rsidR="002A2374" w:rsidRPr="00131314" w:rsidRDefault="002A2374" w:rsidP="002A2374">
      <w:pPr>
        <w:rPr>
          <w:rFonts w:ascii="Times New Roman" w:eastAsia="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eastAsia="Times New Roman"/>
          <w:color w:val="000000"/>
        </w:rPr>
        <w:t>1</w:t>
      </w:r>
      <w:r w:rsidRPr="00131314">
        <w:rPr>
          <w:rFonts w:eastAsia="Times New Roman"/>
          <w:color w:val="000000"/>
          <w:sz w:val="26"/>
          <w:szCs w:val="26"/>
        </w:rPr>
        <w:t xml:space="preserve">    </w:t>
      </w:r>
      <w:r w:rsidRPr="00131314">
        <w:rPr>
          <w:rFonts w:eastAsia="Times New Roman"/>
          <w:b/>
          <w:bCs/>
          <w:color w:val="000000"/>
          <w:sz w:val="26"/>
          <w:szCs w:val="26"/>
        </w:rPr>
        <w:t xml:space="preserve">Section 1:  </w:t>
      </w:r>
      <w:r w:rsidRPr="00131314">
        <w:rPr>
          <w:rFonts w:eastAsia="Times New Roman"/>
          <w:color w:val="000000"/>
          <w:sz w:val="26"/>
          <w:szCs w:val="26"/>
        </w:rPr>
        <w:t>The United States Bureau of Alcohol, Tobacco, Firearms and </w:t>
      </w:r>
    </w:p>
    <w:p w:rsidR="002A2374" w:rsidRPr="00131314" w:rsidRDefault="002A2374" w:rsidP="002A2374">
      <w:pPr>
        <w:rPr>
          <w:rFonts w:ascii="Times New Roman" w:eastAsia="Times New Roman" w:hAnsi="Times New Roman" w:cs="Times New Roman"/>
        </w:rPr>
      </w:pPr>
      <w:r w:rsidRPr="00131314">
        <w:rPr>
          <w:rFonts w:eastAsia="Times New Roman"/>
          <w:color w:val="000000"/>
          <w:sz w:val="26"/>
          <w:szCs w:val="26"/>
        </w:rPr>
        <w:br/>
      </w:r>
      <w:r w:rsidRPr="00131314">
        <w:rPr>
          <w:rFonts w:eastAsia="Times New Roman"/>
          <w:color w:val="000000"/>
        </w:rPr>
        <w:t>2</w:t>
      </w:r>
      <w:r w:rsidRPr="00131314">
        <w:rPr>
          <w:rFonts w:eastAsia="Times New Roman"/>
          <w:color w:val="000000"/>
          <w:sz w:val="26"/>
          <w:szCs w:val="26"/>
        </w:rPr>
        <w:t xml:space="preserve">    Explosives (ATF) shall establish and maintain the National Firearms Registry,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3</w:t>
      </w:r>
      <w:r w:rsidRPr="00131314">
        <w:rPr>
          <w:rFonts w:eastAsia="Times New Roman"/>
          <w:color w:val="000000"/>
          <w:sz w:val="26"/>
          <w:szCs w:val="26"/>
        </w:rPr>
        <w:t>    hereinafter “the registry”.</w:t>
      </w:r>
      <w:r w:rsidRPr="00131314">
        <w:rPr>
          <w:rFonts w:eastAsia="Times New Roman"/>
          <w:color w:val="000000"/>
          <w:sz w:val="26"/>
          <w:szCs w:val="26"/>
        </w:rPr>
        <w:br/>
      </w:r>
      <w:r w:rsidRPr="00131314">
        <w:rPr>
          <w:rFonts w:eastAsia="Times New Roman"/>
          <w:color w:val="000000"/>
          <w:sz w:val="26"/>
          <w:szCs w:val="26"/>
        </w:rPr>
        <w:br/>
      </w:r>
    </w:p>
    <w:p w:rsidR="002A2374" w:rsidRPr="00131314" w:rsidRDefault="002A2374" w:rsidP="002A2374">
      <w:pPr>
        <w:rPr>
          <w:rFonts w:ascii="Times New Roman" w:eastAsia="Times New Roman" w:hAnsi="Times New Roman" w:cs="Times New Roman"/>
        </w:rPr>
      </w:pPr>
      <w:r w:rsidRPr="00131314">
        <w:rPr>
          <w:rFonts w:eastAsia="Times New Roman"/>
          <w:color w:val="000000"/>
          <w:sz w:val="20"/>
          <w:szCs w:val="20"/>
        </w:rPr>
        <w:t xml:space="preserve">4.   </w:t>
      </w:r>
      <w:r w:rsidRPr="00131314">
        <w:rPr>
          <w:rFonts w:eastAsia="Times New Roman"/>
          <w:color w:val="000000"/>
          <w:sz w:val="26"/>
          <w:szCs w:val="26"/>
        </w:rPr>
        <w:t> </w:t>
      </w:r>
      <w:r w:rsidRPr="00131314">
        <w:rPr>
          <w:rFonts w:eastAsia="Times New Roman"/>
          <w:b/>
          <w:bCs/>
          <w:color w:val="000000"/>
          <w:sz w:val="26"/>
          <w:szCs w:val="26"/>
        </w:rPr>
        <w:t>Section 2.</w:t>
      </w:r>
      <w:r w:rsidRPr="00131314">
        <w:rPr>
          <w:rFonts w:eastAsia="Times New Roman"/>
          <w:color w:val="000000"/>
          <w:sz w:val="26"/>
          <w:szCs w:val="26"/>
        </w:rPr>
        <w:t>  (</w:t>
      </w:r>
      <w:r w:rsidRPr="00131314">
        <w:rPr>
          <w:rFonts w:eastAsia="Times New Roman"/>
          <w:b/>
          <w:bCs/>
          <w:color w:val="000000"/>
          <w:sz w:val="26"/>
          <w:szCs w:val="26"/>
        </w:rPr>
        <w:t>a</w:t>
      </w:r>
      <w:r w:rsidRPr="00131314">
        <w:rPr>
          <w:rFonts w:eastAsia="Times New Roman"/>
          <w:color w:val="000000"/>
          <w:sz w:val="26"/>
          <w:szCs w:val="26"/>
        </w:rPr>
        <w:t xml:space="preserve">) Upon this act taking effect, all persons in the United States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5 </w:t>
      </w:r>
      <w:r w:rsidRPr="00131314">
        <w:rPr>
          <w:rFonts w:eastAsia="Times New Roman"/>
          <w:color w:val="000000"/>
          <w:sz w:val="26"/>
          <w:szCs w:val="26"/>
        </w:rPr>
        <w:t xml:space="preserve">   and its territories shall, within thirty days, report the make, model, and serial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6   </w:t>
      </w:r>
      <w:r w:rsidRPr="00131314">
        <w:rPr>
          <w:rFonts w:eastAsia="Times New Roman"/>
          <w:color w:val="000000"/>
          <w:sz w:val="26"/>
          <w:szCs w:val="26"/>
        </w:rPr>
        <w:t xml:space="preserve"> number of all firearms in their possession, as well as their name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7</w:t>
      </w:r>
      <w:r w:rsidRPr="00131314">
        <w:rPr>
          <w:rFonts w:eastAsia="Times New Roman"/>
          <w:color w:val="000000"/>
          <w:sz w:val="26"/>
          <w:szCs w:val="26"/>
        </w:rPr>
        <w:t xml:space="preserve">   and the address of their primary residence. All persons who come into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8 </w:t>
      </w:r>
      <w:r w:rsidRPr="00131314">
        <w:rPr>
          <w:rFonts w:eastAsia="Times New Roman"/>
          <w:color w:val="000000"/>
          <w:sz w:val="26"/>
          <w:szCs w:val="26"/>
        </w:rPr>
        <w:t xml:space="preserve">  possession of a firearm after the effective date of this act shall have forty-eight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9</w:t>
      </w:r>
      <w:r w:rsidRPr="00131314">
        <w:rPr>
          <w:rFonts w:eastAsia="Times New Roman"/>
          <w:color w:val="000000"/>
          <w:sz w:val="26"/>
          <w:szCs w:val="26"/>
        </w:rPr>
        <w:t xml:space="preserve">   hours to comply with Section (a).  </w:t>
      </w:r>
    </w:p>
    <w:p w:rsidR="002A2374" w:rsidRPr="00131314" w:rsidRDefault="002A2374" w:rsidP="002A2374">
      <w:pPr>
        <w:rPr>
          <w:rFonts w:ascii="Times New Roman" w:eastAsia="Times New Roman" w:hAnsi="Times New Roman" w:cs="Times New Roman"/>
        </w:rPr>
      </w:pPr>
      <w:r w:rsidRPr="00131314">
        <w:rPr>
          <w:rFonts w:eastAsia="Times New Roman"/>
          <w:color w:val="000000"/>
          <w:sz w:val="26"/>
          <w:szCs w:val="26"/>
        </w:rPr>
        <w:br/>
      </w:r>
      <w:r w:rsidRPr="00131314">
        <w:rPr>
          <w:rFonts w:eastAsia="Times New Roman"/>
          <w:color w:val="000000"/>
        </w:rPr>
        <w:t xml:space="preserve">10 </w:t>
      </w:r>
      <w:r w:rsidRPr="00131314">
        <w:rPr>
          <w:rFonts w:eastAsia="Times New Roman"/>
          <w:color w:val="000000"/>
          <w:sz w:val="26"/>
          <w:szCs w:val="26"/>
        </w:rPr>
        <w:t> </w:t>
      </w:r>
      <w:r w:rsidRPr="00131314">
        <w:rPr>
          <w:rFonts w:eastAsia="Times New Roman"/>
          <w:b/>
          <w:bCs/>
          <w:color w:val="000000"/>
          <w:sz w:val="26"/>
          <w:szCs w:val="26"/>
        </w:rPr>
        <w:t>Section 3.</w:t>
      </w:r>
      <w:r w:rsidRPr="00131314">
        <w:rPr>
          <w:rFonts w:eastAsia="Times New Roman"/>
          <w:color w:val="000000"/>
          <w:sz w:val="26"/>
          <w:szCs w:val="26"/>
        </w:rPr>
        <w:t xml:space="preserve">   Those who fail to comply with this act shall be subject for each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11</w:t>
      </w:r>
      <w:r w:rsidRPr="00131314">
        <w:rPr>
          <w:rFonts w:eastAsia="Times New Roman"/>
          <w:color w:val="000000"/>
          <w:sz w:val="26"/>
          <w:szCs w:val="26"/>
        </w:rPr>
        <w:t xml:space="preserve">  violation to a fine of not more than five thousand dollars or prison sentence of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12 </w:t>
      </w:r>
      <w:r w:rsidRPr="00131314">
        <w:rPr>
          <w:rFonts w:eastAsia="Times New Roman"/>
          <w:color w:val="000000"/>
          <w:sz w:val="26"/>
          <w:szCs w:val="26"/>
        </w:rPr>
        <w:t xml:space="preserve"> not more than two years, or both. </w:t>
      </w:r>
      <w:r w:rsidRPr="00131314">
        <w:rPr>
          <w:rFonts w:eastAsia="Times New Roman"/>
          <w:color w:val="000000"/>
          <w:sz w:val="26"/>
          <w:szCs w:val="26"/>
        </w:rPr>
        <w:br/>
      </w:r>
      <w:r w:rsidRPr="00131314">
        <w:rPr>
          <w:rFonts w:eastAsia="Times New Roman"/>
          <w:color w:val="000000"/>
          <w:sz w:val="26"/>
          <w:szCs w:val="26"/>
        </w:rPr>
        <w:br/>
      </w:r>
    </w:p>
    <w:p w:rsidR="002A2374" w:rsidRPr="00131314" w:rsidRDefault="002A2374" w:rsidP="002A2374">
      <w:pPr>
        <w:rPr>
          <w:rFonts w:ascii="Times New Roman" w:eastAsia="Times New Roman" w:hAnsi="Times New Roman" w:cs="Times New Roman"/>
        </w:rPr>
      </w:pPr>
      <w:r w:rsidRPr="00131314">
        <w:rPr>
          <w:rFonts w:eastAsia="Times New Roman"/>
          <w:color w:val="000000"/>
          <w:sz w:val="20"/>
          <w:szCs w:val="20"/>
        </w:rPr>
        <w:t>13</w:t>
      </w:r>
      <w:r w:rsidRPr="00131314">
        <w:rPr>
          <w:rFonts w:eastAsia="Times New Roman"/>
          <w:color w:val="000000"/>
          <w:sz w:val="26"/>
          <w:szCs w:val="26"/>
        </w:rPr>
        <w:t xml:space="preserve">  </w:t>
      </w:r>
      <w:r w:rsidRPr="00131314">
        <w:rPr>
          <w:rFonts w:eastAsia="Times New Roman"/>
          <w:b/>
          <w:bCs/>
          <w:color w:val="000000"/>
          <w:sz w:val="26"/>
          <w:szCs w:val="26"/>
        </w:rPr>
        <w:t>Section 4:</w:t>
      </w:r>
      <w:r w:rsidRPr="00131314">
        <w:rPr>
          <w:rFonts w:eastAsia="Times New Roman"/>
          <w:color w:val="000000"/>
          <w:sz w:val="26"/>
          <w:szCs w:val="26"/>
        </w:rPr>
        <w:t xml:space="preserve">  A sum of one-hundred-million dollars shall be allocated to the ATF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14 </w:t>
      </w:r>
      <w:r w:rsidRPr="00131314">
        <w:rPr>
          <w:rFonts w:eastAsia="Times New Roman"/>
          <w:color w:val="000000"/>
          <w:sz w:val="26"/>
          <w:szCs w:val="26"/>
        </w:rPr>
        <w:t> to effectuate this act. </w:t>
      </w:r>
    </w:p>
    <w:p w:rsidR="002A2374" w:rsidRPr="00131314" w:rsidRDefault="002A2374" w:rsidP="002A2374">
      <w:pPr>
        <w:rPr>
          <w:rFonts w:ascii="Times New Roman" w:eastAsia="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eastAsia="Times New Roman"/>
          <w:color w:val="000000"/>
        </w:rPr>
        <w:t>15</w:t>
      </w:r>
      <w:r w:rsidRPr="00131314">
        <w:rPr>
          <w:rFonts w:eastAsia="Times New Roman"/>
          <w:color w:val="000000"/>
          <w:sz w:val="26"/>
          <w:szCs w:val="26"/>
        </w:rPr>
        <w:t xml:space="preserve">  </w:t>
      </w:r>
      <w:r w:rsidRPr="00131314">
        <w:rPr>
          <w:rFonts w:eastAsia="Times New Roman"/>
          <w:b/>
          <w:bCs/>
          <w:color w:val="000000"/>
          <w:sz w:val="26"/>
          <w:szCs w:val="26"/>
        </w:rPr>
        <w:t xml:space="preserve">Section 5: </w:t>
      </w:r>
      <w:r w:rsidRPr="00131314">
        <w:rPr>
          <w:rFonts w:eastAsia="Times New Roman"/>
          <w:color w:val="000000"/>
          <w:sz w:val="26"/>
          <w:szCs w:val="26"/>
        </w:rPr>
        <w:t>This act shall take effect January 1, 2027.</w:t>
      </w:r>
    </w:p>
    <w:p w:rsidR="002A2374" w:rsidRPr="00131314" w:rsidRDefault="002A2374" w:rsidP="002A2374">
      <w:pPr>
        <w:rPr>
          <w:rFonts w:ascii="Times New Roman" w:eastAsia="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ascii="Times New Roman" w:eastAsia="Times New Roman" w:hAnsi="Times New Roman" w:cs="Times New Roman"/>
          <w:i/>
          <w:iCs/>
          <w:color w:val="000000"/>
          <w:sz w:val="28"/>
          <w:szCs w:val="28"/>
        </w:rPr>
        <w:t>Introduced for Congressional Debate by James Gomez of Marian Catholic High School</w:t>
      </w:r>
    </w:p>
    <w:p w:rsidR="004218CD" w:rsidRDefault="004218CD" w:rsidP="00B965AA">
      <w:pPr>
        <w:spacing w:line="480" w:lineRule="auto"/>
        <w:rPr>
          <w:rFonts w:ascii="Times New Roman" w:hAnsi="Times New Roman" w:cs="Times New Roman"/>
        </w:rPr>
      </w:pPr>
      <w:bookmarkStart w:id="0" w:name="_39ycqhg4d8oq" w:colFirst="0" w:colLast="0"/>
      <w:bookmarkEnd w:id="0"/>
    </w:p>
    <w:p w:rsidR="00D55790" w:rsidRDefault="00D55790" w:rsidP="00D55790">
      <w:pPr>
        <w:jc w:val="center"/>
        <w:rPr>
          <w:b/>
          <w:bCs/>
          <w:sz w:val="36"/>
          <w:szCs w:val="36"/>
        </w:rPr>
      </w:pPr>
      <w:r>
        <w:rPr>
          <w:b/>
          <w:bCs/>
          <w:sz w:val="36"/>
          <w:szCs w:val="36"/>
        </w:rPr>
        <w:lastRenderedPageBreak/>
        <w:t xml:space="preserve">A Bill to Recognize the Republic of Somaliland as an Independent Nation </w:t>
      </w:r>
    </w:p>
    <w:p w:rsidR="00D55790" w:rsidRDefault="00D55790" w:rsidP="00D55790">
      <w:pPr>
        <w:jc w:val="center"/>
        <w:rPr>
          <w:rFonts w:ascii="Times New Roman" w:eastAsia="Times New Roman" w:hAnsi="Times New Roman" w:cs="Times New Roman"/>
          <w:b/>
          <w:bCs/>
        </w:rPr>
      </w:pPr>
    </w:p>
    <w:p w:rsidR="00D55790" w:rsidRDefault="00D55790" w:rsidP="00D55790">
      <w:pPr>
        <w:spacing w:line="480" w:lineRule="auto"/>
        <w:jc w:val="center"/>
        <w:rPr>
          <w:rFonts w:ascii="Times New Roman" w:eastAsia="Times New Roman" w:hAnsi="Times New Roman" w:cs="Times New Roman"/>
        </w:rPr>
      </w:pPr>
      <w:r>
        <w:rPr>
          <w:rFonts w:ascii="Times New Roman" w:eastAsia="Times New Roman" w:hAnsi="Times New Roman" w:cs="Times New Roman"/>
        </w:rPr>
        <w:t>BE IT ENACTED BY THE STUDENT CONGRESS HERE ASSEMBLED THAT:</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b/>
          <w:bCs/>
        </w:rPr>
        <w:t xml:space="preserve">Section 1. </w:t>
      </w:r>
      <w:r>
        <w:rPr>
          <w:rFonts w:ascii="Times New Roman" w:eastAsia="Times New Roman" w:hAnsi="Times New Roman" w:cs="Times New Roman"/>
        </w:rPr>
        <w:t>The United States of America shall officially recognize the Republic of</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Somaliland as an independent nation.</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A) The recognized territory will span from the currently recognized border </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of Somalia with Djibouti and Ethiopia to the west and south, the coast of the </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Gulf of Aden to the north, and Somaliland's former border as British Somaliland</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to the east.</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B) The US will work with the Somaliland government to open embassies in</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Hargeisa and Washington D.C.</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C) The U.S. will recommend to the United Nations and other world governments</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to recognize the same.</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bCs/>
        </w:rPr>
        <w:t xml:space="preserve">Section 2.  </w:t>
      </w:r>
      <w:r>
        <w:rPr>
          <w:rFonts w:ascii="Times New Roman" w:eastAsia="Times New Roman" w:hAnsi="Times New Roman" w:cs="Times New Roman"/>
        </w:rPr>
        <w:t xml:space="preserve">The official recognition of a country will include, but not be limited to </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diplomatic, economic and military relations.</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b/>
          <w:bCs/>
        </w:rPr>
        <w:t xml:space="preserve"> Section 3. </w:t>
      </w:r>
      <w:r>
        <w:rPr>
          <w:rFonts w:ascii="Times New Roman" w:eastAsia="Times New Roman" w:hAnsi="Times New Roman" w:cs="Times New Roman"/>
        </w:rPr>
        <w:t>The Department of State will oversee the implementation of this legislation.</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bCs/>
        </w:rPr>
        <w:t xml:space="preserve">Section 4. </w:t>
      </w:r>
      <w:r>
        <w:rPr>
          <w:rFonts w:ascii="Times New Roman" w:eastAsia="Times New Roman" w:hAnsi="Times New Roman" w:cs="Times New Roman"/>
        </w:rPr>
        <w:t>This legislation will go into effect immediately after passing.</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b/>
          <w:bCs/>
        </w:rPr>
        <w:t xml:space="preserve"> Section 5. </w:t>
      </w:r>
      <w:r>
        <w:rPr>
          <w:rFonts w:ascii="Times New Roman" w:eastAsia="Times New Roman" w:hAnsi="Times New Roman" w:cs="Times New Roman"/>
        </w:rPr>
        <w:t>All laws in conflict with this bill are hereby declared null and void.</w:t>
      </w:r>
    </w:p>
    <w:p w:rsidR="00D55790" w:rsidRDefault="00D55790" w:rsidP="00D55790">
      <w:pPr>
        <w:spacing w:line="480" w:lineRule="auto"/>
        <w:ind w:left="720"/>
        <w:rPr>
          <w:rFonts w:ascii="Times New Roman" w:eastAsia="Times New Roman" w:hAnsi="Times New Roman" w:cs="Times New Roman"/>
        </w:rPr>
      </w:pPr>
    </w:p>
    <w:p w:rsidR="00D55790" w:rsidRDefault="00D55790" w:rsidP="00D55790">
      <w:pPr>
        <w:ind w:left="720"/>
        <w:jc w:val="right"/>
        <w:rPr>
          <w:rFonts w:ascii="Times New Roman" w:eastAsia="Times New Roman" w:hAnsi="Times New Roman" w:cs="Times New Roman"/>
          <w:i/>
          <w:iCs/>
        </w:rPr>
      </w:pPr>
      <w:r>
        <w:rPr>
          <w:rFonts w:ascii="Times New Roman" w:eastAsia="Times New Roman" w:hAnsi="Times New Roman" w:cs="Times New Roman"/>
          <w:i/>
          <w:iCs/>
        </w:rPr>
        <w:t>Introduced for Congressional debate by</w:t>
      </w:r>
    </w:p>
    <w:p w:rsidR="00D55790" w:rsidRDefault="00D55790" w:rsidP="00D55790">
      <w:pPr>
        <w:ind w:left="720"/>
        <w:jc w:val="right"/>
        <w:rPr>
          <w:rFonts w:ascii="Times New Roman" w:eastAsia="Times New Roman" w:hAnsi="Times New Roman" w:cs="Times New Roman"/>
          <w:i/>
          <w:iCs/>
        </w:rPr>
      </w:pPr>
      <w:r>
        <w:rPr>
          <w:rFonts w:ascii="Times New Roman" w:eastAsia="Times New Roman" w:hAnsi="Times New Roman" w:cs="Times New Roman"/>
          <w:i/>
          <w:iCs/>
        </w:rPr>
        <w:t xml:space="preserve">Aidan </w:t>
      </w:r>
      <w:proofErr w:type="spellStart"/>
      <w:r>
        <w:rPr>
          <w:rFonts w:ascii="Times New Roman" w:eastAsia="Times New Roman" w:hAnsi="Times New Roman" w:cs="Times New Roman"/>
          <w:i/>
          <w:iCs/>
        </w:rPr>
        <w:t>Vedder</w:t>
      </w:r>
      <w:proofErr w:type="spellEnd"/>
      <w:r>
        <w:rPr>
          <w:rFonts w:ascii="Times New Roman" w:eastAsia="Times New Roman" w:hAnsi="Times New Roman" w:cs="Times New Roman"/>
          <w:i/>
          <w:iCs/>
        </w:rPr>
        <w:t xml:space="preserve"> </w:t>
      </w:r>
    </w:p>
    <w:p w:rsidR="00D55790" w:rsidRDefault="00D55790" w:rsidP="00D55790">
      <w:pPr>
        <w:ind w:left="720"/>
        <w:jc w:val="right"/>
        <w:rPr>
          <w:rFonts w:ascii="Times New Roman" w:eastAsia="Times New Roman" w:hAnsi="Times New Roman" w:cs="Times New Roman"/>
          <w:i/>
          <w:iCs/>
        </w:rPr>
      </w:pPr>
      <w:r>
        <w:rPr>
          <w:rFonts w:ascii="Times New Roman" w:eastAsia="Times New Roman" w:hAnsi="Times New Roman" w:cs="Times New Roman"/>
          <w:i/>
          <w:iCs/>
        </w:rPr>
        <w:t>Southern Lehigh High School</w:t>
      </w:r>
    </w:p>
    <w:p w:rsidR="00D55790" w:rsidRDefault="00D55790" w:rsidP="00B965AA">
      <w:pPr>
        <w:spacing w:line="480" w:lineRule="auto"/>
        <w:rPr>
          <w:rFonts w:ascii="Times New Roman" w:hAnsi="Times New Roman" w:cs="Times New Roman"/>
        </w:rPr>
      </w:pPr>
    </w:p>
    <w:p w:rsidR="00D55790" w:rsidRDefault="00D55790" w:rsidP="00B965AA">
      <w:pPr>
        <w:spacing w:line="480" w:lineRule="auto"/>
        <w:rPr>
          <w:rFonts w:ascii="Times New Roman" w:hAnsi="Times New Roman" w:cs="Times New Roman"/>
        </w:rPr>
      </w:pPr>
    </w:p>
    <w:p w:rsidR="00D55790" w:rsidRDefault="00D55790" w:rsidP="00B965AA">
      <w:pPr>
        <w:spacing w:line="480" w:lineRule="auto"/>
        <w:rPr>
          <w:rFonts w:ascii="Times New Roman" w:hAnsi="Times New Roman" w:cs="Times New Roman"/>
        </w:rPr>
      </w:pPr>
    </w:p>
    <w:p w:rsidR="004218CD" w:rsidRDefault="004218CD" w:rsidP="004218CD">
      <w:pPr>
        <w:spacing w:line="240" w:lineRule="auto"/>
        <w:jc w:val="center"/>
        <w:rPr>
          <w:rFonts w:ascii="Calibri" w:eastAsia="Calibri" w:hAnsi="Calibri" w:cs="Calibri"/>
          <w:sz w:val="36"/>
          <w:szCs w:val="36"/>
        </w:rPr>
      </w:pPr>
      <w:r>
        <w:rPr>
          <w:rFonts w:ascii="Calibri" w:eastAsia="Calibri" w:hAnsi="Calibri" w:cs="Calibri"/>
          <w:b/>
          <w:sz w:val="36"/>
          <w:szCs w:val="36"/>
        </w:rPr>
        <w:lastRenderedPageBreak/>
        <w:t>A Bill to Establish the First Lunar Colony for Research and to Protect against Space Debris</w:t>
      </w:r>
    </w:p>
    <w:p w:rsidR="004218CD" w:rsidRDefault="004218CD" w:rsidP="004218CD">
      <w:pPr>
        <w:spacing w:line="240" w:lineRule="auto"/>
        <w:jc w:val="center"/>
        <w:rPr>
          <w:rFonts w:ascii="Calibri" w:eastAsia="Calibri" w:hAnsi="Calibri" w:cs="Calibri"/>
          <w:sz w:val="36"/>
          <w:szCs w:val="36"/>
        </w:rPr>
      </w:pPr>
    </w:p>
    <w:tbl>
      <w:tblPr>
        <w:tblW w:w="9360" w:type="dxa"/>
        <w:tblLayout w:type="fixed"/>
        <w:tblLook w:val="0600" w:firstRow="0" w:lastRow="0" w:firstColumn="0" w:lastColumn="0" w:noHBand="1" w:noVBand="1"/>
      </w:tblPr>
      <w:tblGrid>
        <w:gridCol w:w="360"/>
        <w:gridCol w:w="9000"/>
      </w:tblGrid>
      <w:tr w:rsidR="004218CD" w:rsidTr="00D36D42">
        <w:tc>
          <w:tcPr>
            <w:tcW w:w="360" w:type="dxa"/>
            <w:shd w:val="clear" w:color="auto" w:fill="auto"/>
            <w:tcMar>
              <w:top w:w="14" w:type="dxa"/>
              <w:left w:w="14" w:type="dxa"/>
              <w:bottom w:w="14" w:type="dxa"/>
              <w:right w:w="14" w:type="dxa"/>
            </w:tcMar>
          </w:tcPr>
          <w:p w:rsidR="004218CD" w:rsidRDefault="004218CD" w:rsidP="00D36D42">
            <w:pPr>
              <w:widowControl w:val="0"/>
              <w:spacing w:line="335" w:lineRule="auto"/>
              <w:rPr>
                <w:rFonts w:ascii="Calibri" w:eastAsia="Calibri" w:hAnsi="Calibri" w:cs="Calibri"/>
                <w:smallCaps/>
                <w:sz w:val="28"/>
                <w:szCs w:val="28"/>
              </w:rPr>
            </w:pP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 xml:space="preserve">1      </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2</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3</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4</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5</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6</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7</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8</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9</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10</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11</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12</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13</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14</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15</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16</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17</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18</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19</w:t>
            </w:r>
          </w:p>
        </w:tc>
        <w:tc>
          <w:tcPr>
            <w:tcW w:w="9000" w:type="dxa"/>
            <w:shd w:val="clear" w:color="auto" w:fill="auto"/>
            <w:tcMar>
              <w:top w:w="100" w:type="dxa"/>
              <w:left w:w="100" w:type="dxa"/>
              <w:bottom w:w="100" w:type="dxa"/>
              <w:right w:w="100" w:type="dxa"/>
            </w:tcMar>
          </w:tcPr>
          <w:p w:rsidR="004218CD" w:rsidRDefault="004218CD" w:rsidP="00D36D42">
            <w:pPr>
              <w:spacing w:line="335" w:lineRule="auto"/>
              <w:rPr>
                <w:rFonts w:ascii="Calibri" w:eastAsia="Calibri" w:hAnsi="Calibri" w:cs="Calibri"/>
                <w:sz w:val="18"/>
                <w:szCs w:val="18"/>
              </w:rPr>
            </w:pPr>
            <w:r>
              <w:rPr>
                <w:rFonts w:ascii="Calibri" w:eastAsia="Calibri" w:hAnsi="Calibri" w:cs="Calibri"/>
                <w:smallCaps/>
                <w:sz w:val="24"/>
                <w:szCs w:val="24"/>
              </w:rPr>
              <w:t>BE IT ENACTED BY THE STUDENT CONGRESS HERE ASSEMBLED THAT:</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1</w:t>
            </w:r>
            <w:r>
              <w:rPr>
                <w:rFonts w:ascii="Calibri" w:eastAsia="Calibri" w:hAnsi="Calibri" w:cs="Calibri"/>
                <w:sz w:val="24"/>
                <w:szCs w:val="24"/>
              </w:rPr>
              <w:t>.</w:t>
            </w:r>
            <w:r>
              <w:rPr>
                <w:rFonts w:ascii="Calibri" w:eastAsia="Calibri" w:hAnsi="Calibri" w:cs="Calibri"/>
                <w:sz w:val="24"/>
                <w:szCs w:val="24"/>
              </w:rPr>
              <w:tab/>
              <w:t>Beginning in 2030 NASA will work to send ten willing research scientists to colonize and inhabit the moon, creating the first self-sufficient lunar base.</w:t>
            </w:r>
          </w:p>
          <w:p w:rsidR="004218CD" w:rsidRDefault="004218CD" w:rsidP="00D36D42">
            <w:pPr>
              <w:spacing w:line="335" w:lineRule="auto"/>
              <w:rPr>
                <w:rFonts w:ascii="Calibri" w:eastAsia="Calibri" w:hAnsi="Calibri" w:cs="Calibri"/>
                <w:sz w:val="24"/>
                <w:szCs w:val="24"/>
              </w:rPr>
            </w:pPr>
            <w:r>
              <w:rPr>
                <w:rFonts w:ascii="Calibri" w:eastAsia="Calibri" w:hAnsi="Calibri" w:cs="Calibri"/>
                <w:sz w:val="24"/>
                <w:szCs w:val="24"/>
              </w:rPr>
              <w:t xml:space="preserve">                           The lunar base will also be built with a system to eviscerate cosmic threats         </w:t>
            </w:r>
          </w:p>
          <w:p w:rsidR="004218CD" w:rsidRDefault="004218CD" w:rsidP="00D36D42">
            <w:pPr>
              <w:spacing w:line="335" w:lineRule="auto"/>
              <w:rPr>
                <w:rFonts w:ascii="Calibri" w:eastAsia="Calibri" w:hAnsi="Calibri" w:cs="Calibri"/>
                <w:sz w:val="24"/>
                <w:szCs w:val="24"/>
              </w:rPr>
            </w:pPr>
            <w:r>
              <w:rPr>
                <w:rFonts w:ascii="Calibri" w:eastAsia="Calibri" w:hAnsi="Calibri" w:cs="Calibri"/>
                <w:sz w:val="24"/>
                <w:szCs w:val="24"/>
              </w:rPr>
              <w:t xml:space="preserve">                           such as Laser Orbital Debris Removal or an equivalent method.</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2</w:t>
            </w:r>
            <w:r>
              <w:rPr>
                <w:rFonts w:ascii="Calibri" w:eastAsia="Calibri" w:hAnsi="Calibri" w:cs="Calibri"/>
                <w:sz w:val="24"/>
                <w:szCs w:val="24"/>
              </w:rPr>
              <w:t>.</w:t>
            </w:r>
            <w:r>
              <w:rPr>
                <w:rFonts w:ascii="Calibri" w:eastAsia="Calibri" w:hAnsi="Calibri" w:cs="Calibri"/>
                <w:sz w:val="24"/>
                <w:szCs w:val="24"/>
              </w:rPr>
              <w:tab/>
              <w:t>A. Colonize shall be defined as the act of migration to and settlement in an uninhabited area.</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color w:val="FFFFFF"/>
                <w:sz w:val="24"/>
                <w:szCs w:val="24"/>
              </w:rPr>
              <w:t>p</w:t>
            </w:r>
            <w:r>
              <w:rPr>
                <w:rFonts w:ascii="Calibri" w:eastAsia="Calibri" w:hAnsi="Calibri" w:cs="Calibri"/>
                <w:sz w:val="24"/>
                <w:szCs w:val="24"/>
              </w:rPr>
              <w:t>B</w:t>
            </w:r>
            <w:proofErr w:type="spellEnd"/>
            <w:r>
              <w:rPr>
                <w:rFonts w:ascii="Calibri" w:eastAsia="Calibri" w:hAnsi="Calibri" w:cs="Calibri"/>
                <w:sz w:val="24"/>
                <w:szCs w:val="24"/>
              </w:rPr>
              <w:t>. Lunar base shall be defined as a comprehensive structure on the Moon that supports human habitation and exploration</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3</w:t>
            </w:r>
            <w:r>
              <w:rPr>
                <w:rFonts w:ascii="Calibri" w:eastAsia="Calibri" w:hAnsi="Calibri" w:cs="Calibri"/>
                <w:b/>
                <w:sz w:val="24"/>
                <w:szCs w:val="24"/>
              </w:rPr>
              <w:t>.</w:t>
            </w:r>
            <w:r>
              <w:rPr>
                <w:rFonts w:ascii="Calibri" w:eastAsia="Calibri" w:hAnsi="Calibri" w:cs="Calibri"/>
                <w:sz w:val="24"/>
                <w:szCs w:val="24"/>
              </w:rPr>
              <w:tab/>
              <w:t>The United States Space Force under the guidance of NASA shall oversee the implementation of this legislation.</w:t>
            </w:r>
          </w:p>
          <w:p w:rsidR="004218CD" w:rsidRDefault="004218CD" w:rsidP="004218CD">
            <w:pPr>
              <w:numPr>
                <w:ilvl w:val="0"/>
                <w:numId w:val="11"/>
              </w:numPr>
              <w:spacing w:line="335" w:lineRule="auto"/>
              <w:rPr>
                <w:rFonts w:ascii="Calibri" w:eastAsia="Calibri" w:hAnsi="Calibri" w:cs="Calibri"/>
                <w:sz w:val="24"/>
                <w:szCs w:val="24"/>
              </w:rPr>
            </w:pPr>
            <w:r>
              <w:rPr>
                <w:rFonts w:ascii="Calibri" w:eastAsia="Calibri" w:hAnsi="Calibri" w:cs="Calibri"/>
                <w:sz w:val="24"/>
                <w:szCs w:val="24"/>
              </w:rPr>
              <w:t>NASA shall be responsible for hiring, training, and preparing the research scientists for this mission.</w:t>
            </w:r>
          </w:p>
          <w:p w:rsidR="004218CD" w:rsidRDefault="004218CD" w:rsidP="004218CD">
            <w:pPr>
              <w:numPr>
                <w:ilvl w:val="0"/>
                <w:numId w:val="11"/>
              </w:numPr>
              <w:spacing w:line="335" w:lineRule="auto"/>
              <w:rPr>
                <w:rFonts w:ascii="Calibri" w:eastAsia="Calibri" w:hAnsi="Calibri" w:cs="Calibri"/>
                <w:sz w:val="24"/>
                <w:szCs w:val="24"/>
              </w:rPr>
            </w:pPr>
            <w:r>
              <w:rPr>
                <w:rFonts w:ascii="Calibri" w:eastAsia="Calibri" w:hAnsi="Calibri" w:cs="Calibri"/>
                <w:sz w:val="24"/>
                <w:szCs w:val="24"/>
              </w:rPr>
              <w:t>The Space Force will be allocated 4 billion dollars every year for 30 years and a complement of research scientists to staff the colony, rotated in as needed, with 10 on staff at any point in time to complete this mission.</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z w:val="24"/>
                <w:szCs w:val="24"/>
              </w:rPr>
              <w:t>SECTION 4.</w:t>
            </w:r>
            <w:r>
              <w:rPr>
                <w:rFonts w:ascii="Calibri" w:eastAsia="Calibri" w:hAnsi="Calibri" w:cs="Calibri"/>
                <w:b/>
                <w:sz w:val="24"/>
                <w:szCs w:val="24"/>
              </w:rPr>
              <w:tab/>
            </w:r>
            <w:r>
              <w:rPr>
                <w:rFonts w:ascii="Calibri" w:eastAsia="Calibri" w:hAnsi="Calibri" w:cs="Calibri"/>
                <w:sz w:val="24"/>
                <w:szCs w:val="24"/>
              </w:rPr>
              <w:t>This legislation will take effect January 1, 2027.</w:t>
            </w:r>
          </w:p>
          <w:p w:rsidR="004218CD" w:rsidRDefault="004218CD" w:rsidP="00D36D42">
            <w:pPr>
              <w:spacing w:line="335" w:lineRule="auto"/>
              <w:rPr>
                <w:rFonts w:ascii="Calibri" w:eastAsia="Calibri" w:hAnsi="Calibri" w:cs="Calibri"/>
                <w:sz w:val="24"/>
                <w:szCs w:val="24"/>
              </w:rPr>
            </w:pPr>
            <w:r>
              <w:rPr>
                <w:rFonts w:ascii="Calibri" w:eastAsia="Calibri" w:hAnsi="Calibri" w:cs="Calibri"/>
                <w:b/>
                <w:smallCaps/>
                <w:sz w:val="24"/>
                <w:szCs w:val="24"/>
              </w:rPr>
              <w:t>SECTION 5.</w:t>
            </w:r>
            <w:r>
              <w:rPr>
                <w:rFonts w:ascii="Calibri" w:eastAsia="Calibri" w:hAnsi="Calibri" w:cs="Calibri"/>
                <w:sz w:val="24"/>
                <w:szCs w:val="24"/>
              </w:rPr>
              <w:t xml:space="preserve"> </w:t>
            </w:r>
            <w:r>
              <w:rPr>
                <w:rFonts w:ascii="Calibri" w:eastAsia="Calibri" w:hAnsi="Calibri" w:cs="Calibri"/>
                <w:sz w:val="24"/>
                <w:szCs w:val="24"/>
              </w:rPr>
              <w:tab/>
              <w:t>All laws in conflict with this legislation are hereby declared null and void.</w:t>
            </w:r>
          </w:p>
        </w:tc>
      </w:tr>
      <w:tr w:rsidR="004218CD" w:rsidTr="00D36D42">
        <w:tc>
          <w:tcPr>
            <w:tcW w:w="360" w:type="dxa"/>
            <w:shd w:val="clear" w:color="auto" w:fill="auto"/>
            <w:tcMar>
              <w:top w:w="14" w:type="dxa"/>
              <w:left w:w="14" w:type="dxa"/>
              <w:bottom w:w="14" w:type="dxa"/>
              <w:right w:w="14" w:type="dxa"/>
            </w:tcMar>
          </w:tcPr>
          <w:p w:rsidR="004218CD" w:rsidRDefault="004218CD" w:rsidP="00D36D42">
            <w:pPr>
              <w:widowControl w:val="0"/>
              <w:spacing w:line="335" w:lineRule="auto"/>
              <w:rPr>
                <w:rFonts w:ascii="Calibri" w:eastAsia="Calibri" w:hAnsi="Calibri" w:cs="Calibri"/>
                <w:smallCaps/>
                <w:sz w:val="28"/>
                <w:szCs w:val="28"/>
              </w:rPr>
            </w:pPr>
          </w:p>
        </w:tc>
        <w:tc>
          <w:tcPr>
            <w:tcW w:w="9000" w:type="dxa"/>
            <w:shd w:val="clear" w:color="auto" w:fill="auto"/>
            <w:tcMar>
              <w:top w:w="100" w:type="dxa"/>
              <w:left w:w="100" w:type="dxa"/>
              <w:bottom w:w="100" w:type="dxa"/>
              <w:right w:w="100" w:type="dxa"/>
            </w:tcMar>
          </w:tcPr>
          <w:p w:rsidR="004218CD" w:rsidRDefault="004218CD" w:rsidP="00D36D42">
            <w:pPr>
              <w:spacing w:line="335" w:lineRule="auto"/>
              <w:rPr>
                <w:rFonts w:ascii="Calibri" w:eastAsia="Calibri" w:hAnsi="Calibri" w:cs="Calibri"/>
                <w:smallCaps/>
                <w:sz w:val="24"/>
                <w:szCs w:val="24"/>
              </w:rPr>
            </w:pPr>
          </w:p>
        </w:tc>
      </w:tr>
    </w:tbl>
    <w:p w:rsidR="004218CD" w:rsidRDefault="004218CD" w:rsidP="006F5FA1">
      <w:pPr>
        <w:spacing w:line="240" w:lineRule="auto"/>
        <w:jc w:val="right"/>
        <w:rPr>
          <w:rFonts w:ascii="Calibri" w:eastAsia="Calibri" w:hAnsi="Calibri" w:cs="Calibri"/>
          <w:i/>
        </w:rPr>
      </w:pPr>
      <w:r>
        <w:rPr>
          <w:rFonts w:ascii="Calibri" w:eastAsia="Calibri" w:hAnsi="Calibri" w:cs="Calibri"/>
          <w:i/>
        </w:rPr>
        <w:t>Introduced for Congressional Debate by</w:t>
      </w:r>
    </w:p>
    <w:p w:rsidR="004218CD" w:rsidRDefault="004218CD" w:rsidP="004218CD">
      <w:pPr>
        <w:spacing w:line="240" w:lineRule="auto"/>
        <w:jc w:val="right"/>
        <w:rPr>
          <w:rFonts w:ascii="Calibri" w:eastAsia="Calibri" w:hAnsi="Calibri" w:cs="Calibri"/>
          <w:b/>
          <w:sz w:val="36"/>
          <w:szCs w:val="36"/>
        </w:rPr>
      </w:pPr>
      <w:r>
        <w:rPr>
          <w:rFonts w:ascii="Calibri" w:eastAsia="Calibri" w:hAnsi="Calibri" w:cs="Calibri"/>
          <w:i/>
        </w:rPr>
        <w:t xml:space="preserve"> Southern Lehigh High School</w:t>
      </w:r>
    </w:p>
    <w:p w:rsidR="004218CD" w:rsidRDefault="004218CD" w:rsidP="00B965AA">
      <w:pPr>
        <w:spacing w:line="480" w:lineRule="auto"/>
        <w:rPr>
          <w:rFonts w:ascii="Times New Roman" w:hAnsi="Times New Roman" w:cs="Times New Roman"/>
        </w:rPr>
      </w:pPr>
    </w:p>
    <w:p w:rsidR="004218CD" w:rsidRDefault="004218CD" w:rsidP="00B965AA">
      <w:pPr>
        <w:spacing w:line="480" w:lineRule="auto"/>
        <w:rPr>
          <w:rFonts w:ascii="Times New Roman" w:hAnsi="Times New Roman" w:cs="Times New Roman"/>
        </w:rPr>
      </w:pPr>
    </w:p>
    <w:p w:rsidR="00B965AA" w:rsidRPr="00B965AA" w:rsidRDefault="00B965AA" w:rsidP="00B965AA">
      <w:pPr>
        <w:spacing w:line="480" w:lineRule="auto"/>
        <w:rPr>
          <w:rFonts w:ascii="Times New Roman" w:hAnsi="Times New Roman" w:cs="Times New Roman"/>
        </w:rPr>
      </w:pPr>
    </w:p>
    <w:sectPr w:rsidR="00B965AA" w:rsidRPr="00B965AA" w:rsidSect="007A6569">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F04"/>
    <w:multiLevelType w:val="hybridMultilevel"/>
    <w:tmpl w:val="37C8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3936"/>
    <w:multiLevelType w:val="hybridMultilevel"/>
    <w:tmpl w:val="0C4624A2"/>
    <w:lvl w:ilvl="0" w:tplc="C7440B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878D7"/>
    <w:multiLevelType w:val="multilevel"/>
    <w:tmpl w:val="367221BA"/>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3" w15:restartNumberingAfterBreak="0">
    <w:nsid w:val="1BD31260"/>
    <w:multiLevelType w:val="hybridMultilevel"/>
    <w:tmpl w:val="4ED81A66"/>
    <w:lvl w:ilvl="0" w:tplc="0409000F">
      <w:start w:val="1"/>
      <w:numFmt w:val="decimal"/>
      <w:lvlText w:val="%1."/>
      <w:lvlJc w:val="left"/>
      <w:pPr>
        <w:ind w:left="720" w:hanging="360"/>
      </w:pPr>
    </w:lvl>
    <w:lvl w:ilvl="1" w:tplc="1E5290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B12C6"/>
    <w:multiLevelType w:val="multilevel"/>
    <w:tmpl w:val="D44292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2E31B3"/>
    <w:multiLevelType w:val="multilevel"/>
    <w:tmpl w:val="A600FF4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22100308"/>
    <w:multiLevelType w:val="multilevel"/>
    <w:tmpl w:val="E4067F6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43F41A70"/>
    <w:multiLevelType w:val="multilevel"/>
    <w:tmpl w:val="BF18B5D6"/>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8" w15:restartNumberingAfterBreak="0">
    <w:nsid w:val="46072C86"/>
    <w:multiLevelType w:val="hybridMultilevel"/>
    <w:tmpl w:val="FBE04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E7F76"/>
    <w:multiLevelType w:val="hybridMultilevel"/>
    <w:tmpl w:val="655E1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16642"/>
    <w:multiLevelType w:val="multilevel"/>
    <w:tmpl w:val="856AC098"/>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567F0EA2"/>
    <w:multiLevelType w:val="hybridMultilevel"/>
    <w:tmpl w:val="FE94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E32D7"/>
    <w:multiLevelType w:val="multilevel"/>
    <w:tmpl w:val="50540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EAD651E"/>
    <w:multiLevelType w:val="multilevel"/>
    <w:tmpl w:val="D5A0F1D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4" w15:restartNumberingAfterBreak="0">
    <w:nsid w:val="7FF81B91"/>
    <w:multiLevelType w:val="hybridMultilevel"/>
    <w:tmpl w:val="8646B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298504">
    <w:abstractNumId w:val="2"/>
  </w:num>
  <w:num w:numId="2" w16cid:durableId="107050839">
    <w:abstractNumId w:val="10"/>
  </w:num>
  <w:num w:numId="3" w16cid:durableId="804003336">
    <w:abstractNumId w:val="11"/>
  </w:num>
  <w:num w:numId="4" w16cid:durableId="1100368130">
    <w:abstractNumId w:val="13"/>
  </w:num>
  <w:num w:numId="5" w16cid:durableId="1068840782">
    <w:abstractNumId w:val="7"/>
  </w:num>
  <w:num w:numId="6" w16cid:durableId="78404934">
    <w:abstractNumId w:val="0"/>
  </w:num>
  <w:num w:numId="7" w16cid:durableId="268510001">
    <w:abstractNumId w:val="9"/>
  </w:num>
  <w:num w:numId="8" w16cid:durableId="1920560210">
    <w:abstractNumId w:val="6"/>
  </w:num>
  <w:num w:numId="9" w16cid:durableId="1914730903">
    <w:abstractNumId w:val="4"/>
  </w:num>
  <w:num w:numId="10" w16cid:durableId="2081173780">
    <w:abstractNumId w:val="14"/>
  </w:num>
  <w:num w:numId="11" w16cid:durableId="203256011">
    <w:abstractNumId w:val="5"/>
  </w:num>
  <w:num w:numId="12" w16cid:durableId="1441536086">
    <w:abstractNumId w:val="1"/>
  </w:num>
  <w:num w:numId="13" w16cid:durableId="1252934931">
    <w:abstractNumId w:val="3"/>
  </w:num>
  <w:num w:numId="14" w16cid:durableId="486097513">
    <w:abstractNumId w:val="8"/>
  </w:num>
  <w:num w:numId="15" w16cid:durableId="705134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01"/>
    <w:rsid w:val="0007710E"/>
    <w:rsid w:val="001027CA"/>
    <w:rsid w:val="00111825"/>
    <w:rsid w:val="00177ACF"/>
    <w:rsid w:val="00282A60"/>
    <w:rsid w:val="002A2374"/>
    <w:rsid w:val="003C2A6B"/>
    <w:rsid w:val="0040381D"/>
    <w:rsid w:val="004218CD"/>
    <w:rsid w:val="0043722B"/>
    <w:rsid w:val="004D7AFE"/>
    <w:rsid w:val="005C2A8D"/>
    <w:rsid w:val="005D496F"/>
    <w:rsid w:val="006F5FA1"/>
    <w:rsid w:val="00725492"/>
    <w:rsid w:val="007A6569"/>
    <w:rsid w:val="0086522F"/>
    <w:rsid w:val="009D03B3"/>
    <w:rsid w:val="00A10FCB"/>
    <w:rsid w:val="00B965AA"/>
    <w:rsid w:val="00C13401"/>
    <w:rsid w:val="00C36CF5"/>
    <w:rsid w:val="00D55790"/>
    <w:rsid w:val="00DB1019"/>
    <w:rsid w:val="00E07DB1"/>
    <w:rsid w:val="00E61443"/>
    <w:rsid w:val="00E66EF6"/>
    <w:rsid w:val="00E83279"/>
    <w:rsid w:val="00F018A0"/>
    <w:rsid w:val="00FC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1853"/>
  <w15:docId w15:val="{EE0290E2-F894-6C4A-A658-1C1FB80B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B1019"/>
    <w:pPr>
      <w:ind w:left="720"/>
      <w:contextualSpacing/>
    </w:pPr>
  </w:style>
  <w:style w:type="paragraph" w:styleId="NormalWeb">
    <w:name w:val="Normal (Web)"/>
    <w:basedOn w:val="Normal"/>
    <w:uiPriority w:val="99"/>
    <w:semiHidden/>
    <w:unhideWhenUsed/>
    <w:rsid w:val="004038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B965AA"/>
  </w:style>
  <w:style w:type="character" w:customStyle="1" w:styleId="apple-tab-span">
    <w:name w:val="apple-tab-span"/>
    <w:basedOn w:val="DefaultParagraphFont"/>
    <w:rsid w:val="002A2374"/>
  </w:style>
  <w:style w:type="character" w:styleId="Hyperlink">
    <w:name w:val="Hyperlink"/>
    <w:basedOn w:val="DefaultParagraphFont"/>
    <w:uiPriority w:val="99"/>
    <w:semiHidden/>
    <w:unhideWhenUsed/>
    <w:rsid w:val="002A2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10547">
      <w:bodyDiv w:val="1"/>
      <w:marLeft w:val="0"/>
      <w:marRight w:val="0"/>
      <w:marTop w:val="0"/>
      <w:marBottom w:val="0"/>
      <w:divBdr>
        <w:top w:val="none" w:sz="0" w:space="0" w:color="auto"/>
        <w:left w:val="none" w:sz="0" w:space="0" w:color="auto"/>
        <w:bottom w:val="none" w:sz="0" w:space="0" w:color="auto"/>
        <w:right w:val="none" w:sz="0" w:space="0" w:color="auto"/>
      </w:divBdr>
    </w:div>
    <w:div w:id="540367684">
      <w:bodyDiv w:val="1"/>
      <w:marLeft w:val="0"/>
      <w:marRight w:val="0"/>
      <w:marTop w:val="0"/>
      <w:marBottom w:val="0"/>
      <w:divBdr>
        <w:top w:val="none" w:sz="0" w:space="0" w:color="auto"/>
        <w:left w:val="none" w:sz="0" w:space="0" w:color="auto"/>
        <w:bottom w:val="none" w:sz="0" w:space="0" w:color="auto"/>
        <w:right w:val="none" w:sz="0" w:space="0" w:color="auto"/>
      </w:divBdr>
    </w:div>
    <w:div w:id="66879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USDA+NOP&amp;safe=active&amp;sca_esv=f0158aba78c19323&amp;rlz=1CAEWEJ_enUS1178US1178&amp;ei=9ms8abvGDezm5NoPqN3d8Qg&amp;ved=2ahUKEwi1lZTC47iRAxUQFVkFHTY5NDAQgK4QegQIARAB&amp;uact=5&amp;oq=organic+fertilizer+definition+legal&amp;gs_lp=Egxnd3Mtd2l6LXNlcnAiI29yZ2FuaWMgZmVydGlsaXplciBkZWZpbml0aW9uIGxlZ2FsMgoQABiwAxjWBBhHMgoQABiwAxjWBBhHMgoQABiwAxjWBBhHMgoQABiwAxjWBBhHMgoQABiwAxjWBBhHMgoQABiwAxjWBBhHMgoQABiwAxjWBBhHMgoQABiwAxjWBBhHSKUHUABYAHABeAGQAQCYAQCgAQCqAQC4AQPIAQCYAgGgAgmYAwCIBgGQBgiSBwExoAcAsgcAuAcAwgcDMi0xyAcFgAgA&amp;sclient=gws-wiz-serp&amp;mstk=AUtExfBQcPNabjtcb1uaCk0zG61LPjEDacfGTN4IOTzod9fND1hzRYPBQ2FaMimUZfinG75YZjH_ZbowQ7AqVKbyKoZ9RkC2bwplOztoLwxQz4DtRLiYaDIE_66e6-VMYA0UD6HKqy8IrOGDqIimr94QFZ-sQ57rFH8PEJJxkFC2X9pVBF9xxf9ahQK3_vLRwpmbBqUA&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LONG</cp:lastModifiedBy>
  <cp:revision>4</cp:revision>
  <dcterms:created xsi:type="dcterms:W3CDTF">2026-01-21T19:38:00Z</dcterms:created>
  <dcterms:modified xsi:type="dcterms:W3CDTF">2026-01-21T19:42:00Z</dcterms:modified>
</cp:coreProperties>
</file>