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sz w:val="28"/>
          <w:szCs w:val="28"/>
        </w:rPr>
      </w:pPr>
      <w:bookmarkStart w:id="0" w:name="_GoBack"/>
      <w:bookmarkEnd w:id="0"/>
      <w:r>
        <w:rPr>
          <w:b/>
          <w:sz w:val="28"/>
          <w:szCs w:val="28"/>
        </w:rPr>
        <w:t>Dataset Information</w:t>
      </w:r>
    </w:p>
    <w:p>
      <w:pPr>
        <w:pStyle w:val="Normal"/>
        <w:rPr>
          <w:b/>
          <w:b/>
          <w:sz w:val="28"/>
          <w:szCs w:val="28"/>
        </w:rPr>
      </w:pPr>
      <w:r>
        <w:rPr>
          <w:b/>
          <w:sz w:val="28"/>
          <w:szCs w:val="28"/>
        </w:rPr>
      </w:r>
    </w:p>
    <w:p>
      <w:pPr>
        <w:pStyle w:val="Normal"/>
        <w:rPr/>
      </w:pPr>
      <w:r>
        <w:rPr>
          <w:b/>
        </w:rPr>
        <w:t>Authors:</w:t>
      </w:r>
      <w:r>
        <w:rPr/>
        <w:t xml:space="preserve"> </w:t>
      </w:r>
    </w:p>
    <w:p>
      <w:pPr>
        <w:pStyle w:val="Normal"/>
        <w:rPr/>
      </w:pPr>
      <w:r>
        <w:rPr>
          <w:i w:val="false"/>
          <w:iCs w:val="false"/>
        </w:rPr>
        <w:t>Pierre St-Laurent, Virginia Institute of Marine Science, William &amp; Mary</w:t>
      </w:r>
    </w:p>
    <w:p>
      <w:pPr>
        <w:pStyle w:val="Normal"/>
        <w:rPr>
          <w:b/>
          <w:b/>
        </w:rPr>
      </w:pPr>
      <w:r>
        <w:rPr>
          <w:b/>
        </w:rPr>
        <w:t>Academic Department and/or Research Group:</w:t>
      </w:r>
    </w:p>
    <w:p>
      <w:pPr>
        <w:pStyle w:val="Normal"/>
        <w:rPr>
          <w:b w:val="false"/>
          <w:b w:val="false"/>
          <w:bCs w:val="false"/>
        </w:rPr>
      </w:pPr>
      <w:r>
        <w:rPr>
          <w:b w:val="false"/>
          <w:bCs w:val="false"/>
        </w:rPr>
        <w:t>Biological Sciences</w:t>
      </w:r>
    </w:p>
    <w:p>
      <w:pPr>
        <w:pStyle w:val="Normal"/>
        <w:rPr>
          <w:b/>
          <w:b/>
        </w:rPr>
      </w:pPr>
      <w:r>
        <w:rPr>
          <w:b/>
        </w:rPr>
        <w:t>Title of Dataset:</w:t>
      </w:r>
    </w:p>
    <w:p>
      <w:pPr>
        <w:pStyle w:val="Normal"/>
        <w:rPr>
          <w:b w:val="false"/>
          <w:b w:val="false"/>
          <w:bCs w:val="false"/>
        </w:rPr>
      </w:pPr>
      <w:r>
        <w:rPr>
          <w:b w:val="false"/>
          <w:bCs w:val="false"/>
        </w:rPr>
        <w:t>Associated dataset: Modeling the seasonal cycle of iron and carbon fluxes in the Amundsen Sea Polynya, Antarctica</w:t>
      </w:r>
    </w:p>
    <w:p>
      <w:pPr>
        <w:pStyle w:val="Normal"/>
        <w:rPr>
          <w:b/>
          <w:b/>
        </w:rPr>
      </w:pPr>
      <w:r>
        <w:rPr>
          <w:b/>
        </w:rPr>
        <w:t>Publication Date:</w:t>
      </w:r>
    </w:p>
    <w:p>
      <w:pPr>
        <w:pStyle w:val="Normal"/>
        <w:rPr>
          <w:b w:val="false"/>
          <w:b w:val="false"/>
          <w:bCs w:val="false"/>
        </w:rPr>
      </w:pPr>
      <w:r>
        <w:rPr>
          <w:b w:val="false"/>
          <w:bCs w:val="false"/>
        </w:rPr>
        <w:t>Manuscript accepted online February 20, 2019</w:t>
      </w:r>
    </w:p>
    <w:p>
      <w:pPr>
        <w:pStyle w:val="Normal"/>
        <w:rPr/>
      </w:pPr>
      <w:r>
        <w:rPr>
          <w:b/>
        </w:rPr>
        <w:t>Description:</w:t>
      </w:r>
      <w:r>
        <w:rPr/>
        <w:t xml:space="preserve"> </w:t>
      </w:r>
    </w:p>
    <w:p>
      <w:pPr>
        <w:pStyle w:val="Normal"/>
        <w:rPr>
          <w:i w:val="false"/>
          <w:i w:val="false"/>
          <w:iCs w:val="false"/>
        </w:rPr>
      </w:pPr>
      <w:r>
        <w:rPr>
          <w:i w:val="false"/>
          <w:iCs w:val="false"/>
        </w:rPr>
        <w:t>This dataset features the results from the numerical simulation described in the associated publication (St-Laurent et al.). The simulation results are in the standard, self-documented NetCDF format (extension .nc); see https://www.unidata.ucar.edu/software/netcdf/ for more information. Files in this format can be manipulated and displayed by a wide range of freely available software. The results from the simulation are divided into monthly files (ocean_avg_0001.nc to ocean_avg_0098.nc). Each file holds 30 days worth of time-averaged daily model fields, from January 2006 to December 2013. The dataset also includes the forcings used in the model calculation (in the same format as above). Detailed information about the open source numerical model used in the study (Regional Ocean Modeling System, ROMS) is available at www.myroms.org.</w:t>
      </w:r>
    </w:p>
    <w:p>
      <w:pPr>
        <w:pStyle w:val="Normal"/>
        <w:rPr/>
      </w:pPr>
      <w:r>
        <w:rPr>
          <w:b/>
        </w:rPr>
        <w:t xml:space="preserve">File Description Table: </w:t>
      </w:r>
    </w:p>
    <w:tbl>
      <w:tblPr>
        <w:tblStyle w:val="TableGrid"/>
        <w:tblW w:w="9350" w:type="dxa"/>
        <w:jc w:val="left"/>
        <w:tblInd w:w="-5" w:type="dxa"/>
        <w:tblCellMar>
          <w:top w:w="0" w:type="dxa"/>
          <w:left w:w="103" w:type="dxa"/>
          <w:bottom w:w="0" w:type="dxa"/>
          <w:right w:w="108" w:type="dxa"/>
        </w:tblCellMar>
        <w:tblLook w:val="04a0" w:noVBand="1" w:noHBand="0" w:lastColumn="0" w:firstColumn="1" w:lastRow="0" w:firstRow="1"/>
      </w:tblPr>
      <w:tblGrid>
        <w:gridCol w:w="4675"/>
        <w:gridCol w:w="4674"/>
      </w:tblGrid>
      <w:tr>
        <w:trPr/>
        <w:tc>
          <w:tcPr>
            <w:tcW w:w="4675" w:type="dxa"/>
            <w:tcBorders/>
            <w:shd w:fill="auto" w:val="clear"/>
            <w:tcMar>
              <w:left w:w="103" w:type="dxa"/>
            </w:tcMar>
          </w:tcPr>
          <w:p>
            <w:pPr>
              <w:pStyle w:val="Normal"/>
              <w:spacing w:lineRule="auto" w:line="240" w:before="0" w:after="0"/>
              <w:rPr>
                <w:b/>
                <w:b/>
              </w:rPr>
            </w:pPr>
            <w:r>
              <w:rPr>
                <w:b/>
              </w:rPr>
              <w:t>File Name</w:t>
            </w:r>
          </w:p>
        </w:tc>
        <w:tc>
          <w:tcPr>
            <w:tcW w:w="4674" w:type="dxa"/>
            <w:tcBorders/>
            <w:shd w:fill="auto" w:val="clear"/>
            <w:tcMar>
              <w:left w:w="103" w:type="dxa"/>
            </w:tcMar>
          </w:tcPr>
          <w:p>
            <w:pPr>
              <w:pStyle w:val="Normal"/>
              <w:spacing w:lineRule="auto" w:line="240" w:before="0" w:after="0"/>
              <w:rPr>
                <w:b/>
                <w:b/>
              </w:rPr>
            </w:pPr>
            <w:r>
              <w:rPr>
                <w:b/>
              </w:rPr>
              <w:t>Description</w:t>
            </w:r>
          </w:p>
        </w:tc>
      </w:tr>
      <w:tr>
        <w:trPr/>
        <w:tc>
          <w:tcPr>
            <w:tcW w:w="4675" w:type="dxa"/>
            <w:tcBorders/>
            <w:shd w:fill="auto" w:val="clear"/>
            <w:tcMar>
              <w:left w:w="103" w:type="dxa"/>
            </w:tcMar>
          </w:tcPr>
          <w:p>
            <w:pPr>
              <w:pStyle w:val="Normal"/>
              <w:spacing w:lineRule="auto" w:line="240" w:before="0" w:after="0"/>
              <w:rPr>
                <w:b w:val="false"/>
                <w:b w:val="false"/>
                <w:bCs w:val="false"/>
              </w:rPr>
            </w:pPr>
            <w:r>
              <w:rPr>
                <w:b w:val="false"/>
                <w:bCs w:val="false"/>
              </w:rPr>
              <w:t>ocean_avg_00xx.nc</w:t>
            </w:r>
          </w:p>
        </w:tc>
        <w:tc>
          <w:tcPr>
            <w:tcW w:w="4674" w:type="dxa"/>
            <w:tcBorders/>
            <w:shd w:fill="auto" w:val="clear"/>
            <w:tcMar>
              <w:left w:w="103" w:type="dxa"/>
            </w:tcMar>
          </w:tcPr>
          <w:p>
            <w:pPr>
              <w:pStyle w:val="Normal"/>
              <w:spacing w:lineRule="auto" w:line="240" w:before="0" w:after="0"/>
              <w:rPr>
                <w:b w:val="false"/>
                <w:b w:val="false"/>
                <w:bCs w:val="false"/>
              </w:rPr>
            </w:pPr>
            <w:r>
              <w:rPr>
                <w:b w:val="false"/>
                <w:bCs w:val="false"/>
              </w:rPr>
              <w:t>Time-averaged oceanic fields (Jan. 2006 to December 2013). Each file contains 30 days worth of results and the fields have a temporal resolution of 1 day.</w:t>
            </w:r>
          </w:p>
        </w:tc>
      </w:tr>
      <w:tr>
        <w:trPr/>
        <w:tc>
          <w:tcPr>
            <w:tcW w:w="4675" w:type="dxa"/>
            <w:tcBorders/>
            <w:shd w:fill="auto" w:val="clear"/>
            <w:tcMar>
              <w:left w:w="103" w:type="dxa"/>
            </w:tcMar>
          </w:tcPr>
          <w:p>
            <w:pPr>
              <w:pStyle w:val="Normal"/>
              <w:spacing w:lineRule="auto" w:line="240" w:before="0" w:after="0"/>
              <w:rPr>
                <w:b w:val="false"/>
                <w:b w:val="false"/>
                <w:bCs w:val="false"/>
              </w:rPr>
            </w:pPr>
            <w:r>
              <w:rPr>
                <w:b w:val="false"/>
                <w:bCs w:val="false"/>
              </w:rPr>
              <w:t>ocean_bry.nc</w:t>
            </w:r>
          </w:p>
        </w:tc>
        <w:tc>
          <w:tcPr>
            <w:tcW w:w="4674" w:type="dxa"/>
            <w:tcBorders/>
            <w:shd w:fill="auto" w:val="clear"/>
            <w:tcMar>
              <w:left w:w="103" w:type="dxa"/>
            </w:tcMar>
          </w:tcPr>
          <w:p>
            <w:pPr>
              <w:pStyle w:val="Normal"/>
              <w:spacing w:lineRule="auto" w:line="240" w:before="0" w:after="0"/>
              <w:rPr>
                <w:b w:val="false"/>
                <w:b w:val="false"/>
                <w:bCs w:val="false"/>
              </w:rPr>
            </w:pPr>
            <w:r>
              <w:rPr>
                <w:b w:val="false"/>
                <w:bCs w:val="false"/>
              </w:rPr>
              <w:t>Lateral boundary conditions for model calculation</w:t>
            </w:r>
          </w:p>
        </w:tc>
      </w:tr>
      <w:tr>
        <w:trPr/>
        <w:tc>
          <w:tcPr>
            <w:tcW w:w="4675" w:type="dxa"/>
            <w:tcBorders/>
            <w:shd w:fill="auto" w:val="clear"/>
            <w:tcMar>
              <w:left w:w="103" w:type="dxa"/>
            </w:tcMar>
          </w:tcPr>
          <w:p>
            <w:pPr>
              <w:pStyle w:val="Normal"/>
              <w:spacing w:lineRule="auto" w:line="240" w:before="0" w:after="0"/>
              <w:rPr>
                <w:b w:val="false"/>
                <w:b w:val="false"/>
                <w:bCs w:val="false"/>
              </w:rPr>
            </w:pPr>
            <w:r>
              <w:rPr>
                <w:b w:val="false"/>
                <w:bCs w:val="false"/>
              </w:rPr>
              <w:t>ocean_clm.nc</w:t>
            </w:r>
          </w:p>
        </w:tc>
        <w:tc>
          <w:tcPr>
            <w:tcW w:w="4674" w:type="dxa"/>
            <w:tcBorders/>
            <w:shd w:fill="auto" w:val="clear"/>
            <w:tcMar>
              <w:left w:w="103" w:type="dxa"/>
            </w:tcMar>
          </w:tcPr>
          <w:p>
            <w:pPr>
              <w:pStyle w:val="Normal"/>
              <w:spacing w:lineRule="auto" w:line="240" w:before="0" w:after="0"/>
              <w:rPr>
                <w:b w:val="false"/>
                <w:b w:val="false"/>
                <w:bCs w:val="false"/>
              </w:rPr>
            </w:pPr>
            <w:r>
              <w:rPr>
                <w:b w:val="false"/>
                <w:bCs w:val="false"/>
              </w:rPr>
              <w:t>Climatologies for relaxation at lateral boundaries</w:t>
            </w:r>
          </w:p>
        </w:tc>
      </w:tr>
      <w:tr>
        <w:trPr>
          <w:trHeight w:val="283" w:hRule="atLeast"/>
        </w:trPr>
        <w:tc>
          <w:tcPr>
            <w:tcW w:w="4675" w:type="dxa"/>
            <w:tcBorders>
              <w:top w:val="nil"/>
            </w:tcBorders>
            <w:shd w:fill="auto" w:val="clear"/>
            <w:tcMar>
              <w:left w:w="103" w:type="dxa"/>
            </w:tcMar>
          </w:tcPr>
          <w:p>
            <w:pPr>
              <w:pStyle w:val="Normal"/>
              <w:spacing w:lineRule="auto" w:line="240" w:before="0" w:after="0"/>
              <w:rPr>
                <w:b w:val="false"/>
                <w:b w:val="false"/>
                <w:bCs w:val="false"/>
              </w:rPr>
            </w:pPr>
            <w:r>
              <w:rPr>
                <w:b w:val="false"/>
                <w:bCs w:val="false"/>
              </w:rPr>
              <w:t>ocean_frc.nc</w:t>
            </w:r>
          </w:p>
        </w:tc>
        <w:tc>
          <w:tcPr>
            <w:tcW w:w="4674" w:type="dxa"/>
            <w:tcBorders>
              <w:top w:val="nil"/>
            </w:tcBorders>
            <w:shd w:fill="auto" w:val="clear"/>
            <w:tcMar>
              <w:left w:w="103" w:type="dxa"/>
            </w:tcMar>
          </w:tcPr>
          <w:p>
            <w:pPr>
              <w:pStyle w:val="Normal"/>
              <w:spacing w:lineRule="auto" w:line="240" w:before="0" w:after="0"/>
              <w:rPr>
                <w:b w:val="false"/>
                <w:b w:val="false"/>
                <w:bCs w:val="false"/>
              </w:rPr>
            </w:pPr>
            <w:r>
              <w:rPr>
                <w:b w:val="false"/>
                <w:bCs w:val="false"/>
              </w:rPr>
              <w:t>Atmospheric forcing prescribed at ocean surface</w:t>
            </w:r>
          </w:p>
        </w:tc>
      </w:tr>
      <w:tr>
        <w:trPr>
          <w:trHeight w:val="283" w:hRule="atLeast"/>
        </w:trPr>
        <w:tc>
          <w:tcPr>
            <w:tcW w:w="4675" w:type="dxa"/>
            <w:tcBorders>
              <w:top w:val="nil"/>
            </w:tcBorders>
            <w:shd w:fill="auto" w:val="clear"/>
            <w:tcMar>
              <w:left w:w="103" w:type="dxa"/>
            </w:tcMar>
          </w:tcPr>
          <w:p>
            <w:pPr>
              <w:pStyle w:val="Normal"/>
              <w:spacing w:lineRule="auto" w:line="240" w:before="0" w:after="0"/>
              <w:rPr>
                <w:b w:val="false"/>
                <w:b w:val="false"/>
                <w:bCs w:val="false"/>
              </w:rPr>
            </w:pPr>
            <w:r>
              <w:rPr>
                <w:b w:val="false"/>
                <w:bCs w:val="false"/>
              </w:rPr>
              <w:t>ocean_grd.nc</w:t>
            </w:r>
          </w:p>
        </w:tc>
        <w:tc>
          <w:tcPr>
            <w:tcW w:w="4674" w:type="dxa"/>
            <w:tcBorders>
              <w:top w:val="nil"/>
            </w:tcBorders>
            <w:shd w:fill="auto" w:val="clear"/>
            <w:tcMar>
              <w:left w:w="103" w:type="dxa"/>
            </w:tcMar>
          </w:tcPr>
          <w:p>
            <w:pPr>
              <w:pStyle w:val="Normal"/>
              <w:spacing w:lineRule="auto" w:line="240" w:before="0" w:after="0"/>
              <w:rPr>
                <w:b w:val="false"/>
                <w:b w:val="false"/>
                <w:bCs w:val="false"/>
              </w:rPr>
            </w:pPr>
            <w:r>
              <w:rPr>
                <w:b w:val="false"/>
                <w:bCs w:val="false"/>
              </w:rPr>
              <w:t>Model grid including lat/lon coordinates</w:t>
            </w:r>
          </w:p>
        </w:tc>
      </w:tr>
      <w:tr>
        <w:trPr>
          <w:trHeight w:val="283" w:hRule="atLeast"/>
        </w:trPr>
        <w:tc>
          <w:tcPr>
            <w:tcW w:w="4675" w:type="dxa"/>
            <w:tcBorders>
              <w:top w:val="nil"/>
            </w:tcBorders>
            <w:shd w:fill="auto" w:val="clear"/>
            <w:tcMar>
              <w:left w:w="103" w:type="dxa"/>
            </w:tcMar>
          </w:tcPr>
          <w:p>
            <w:pPr>
              <w:pStyle w:val="Normal"/>
              <w:spacing w:lineRule="auto" w:line="240" w:before="0" w:after="0"/>
              <w:rPr>
                <w:b w:val="false"/>
                <w:b w:val="false"/>
                <w:bCs w:val="false"/>
              </w:rPr>
            </w:pPr>
            <w:r>
              <w:rPr>
                <w:b w:val="false"/>
                <w:bCs w:val="false"/>
              </w:rPr>
              <w:t>ocean_ini.nc</w:t>
            </w:r>
          </w:p>
        </w:tc>
        <w:tc>
          <w:tcPr>
            <w:tcW w:w="4674" w:type="dxa"/>
            <w:tcBorders>
              <w:top w:val="nil"/>
            </w:tcBorders>
            <w:shd w:fill="auto" w:val="clear"/>
            <w:tcMar>
              <w:left w:w="103" w:type="dxa"/>
            </w:tcMar>
          </w:tcPr>
          <w:p>
            <w:pPr>
              <w:pStyle w:val="Normal"/>
              <w:spacing w:lineRule="auto" w:line="240" w:before="0" w:after="0"/>
              <w:rPr>
                <w:b w:val="false"/>
                <w:b w:val="false"/>
                <w:bCs w:val="false"/>
              </w:rPr>
            </w:pPr>
            <w:r>
              <w:rPr>
                <w:b w:val="false"/>
                <w:bCs w:val="false"/>
              </w:rPr>
              <w:t>Initial condition of the model calculation</w:t>
            </w:r>
          </w:p>
        </w:tc>
      </w:tr>
      <w:tr>
        <w:trPr>
          <w:trHeight w:val="283" w:hRule="atLeast"/>
        </w:trPr>
        <w:tc>
          <w:tcPr>
            <w:tcW w:w="4675" w:type="dxa"/>
            <w:tcBorders>
              <w:top w:val="nil"/>
            </w:tcBorders>
            <w:shd w:fill="auto" w:val="clear"/>
            <w:tcMar>
              <w:left w:w="103" w:type="dxa"/>
            </w:tcMar>
          </w:tcPr>
          <w:p>
            <w:pPr>
              <w:pStyle w:val="Normal"/>
              <w:spacing w:lineRule="auto" w:line="240" w:before="0" w:after="0"/>
              <w:rPr>
                <w:b w:val="false"/>
                <w:b w:val="false"/>
                <w:bCs w:val="false"/>
              </w:rPr>
            </w:pPr>
            <w:r>
              <w:rPr>
                <w:b w:val="false"/>
                <w:bCs w:val="false"/>
              </w:rPr>
              <w:t>par_3hourly_amundsen_sea_domain.nc</w:t>
            </w:r>
          </w:p>
        </w:tc>
        <w:tc>
          <w:tcPr>
            <w:tcW w:w="4674" w:type="dxa"/>
            <w:tcBorders>
              <w:top w:val="nil"/>
            </w:tcBorders>
            <w:shd w:fill="auto" w:val="clear"/>
            <w:tcMar>
              <w:left w:w="103" w:type="dxa"/>
            </w:tcMar>
          </w:tcPr>
          <w:p>
            <w:pPr>
              <w:pStyle w:val="Normal"/>
              <w:spacing w:lineRule="auto" w:line="240" w:before="0" w:after="0"/>
              <w:rPr>
                <w:b w:val="false"/>
                <w:b w:val="false"/>
                <w:bCs w:val="false"/>
              </w:rPr>
            </w:pPr>
            <w:r>
              <w:rPr>
                <w:b w:val="false"/>
                <w:bCs w:val="false"/>
              </w:rPr>
              <w:t>PAR forcing prescribed in the calculation</w:t>
            </w:r>
          </w:p>
        </w:tc>
      </w:tr>
    </w:tbl>
    <w:p>
      <w:pPr>
        <w:pStyle w:val="Normal"/>
        <w:rPr>
          <w:b/>
          <w:b/>
        </w:rPr>
      </w:pPr>
      <w:r>
        <w:rPr>
          <w:b/>
        </w:rPr>
      </w:r>
    </w:p>
    <w:p>
      <w:pPr>
        <w:pStyle w:val="Normal"/>
        <w:rPr>
          <w:i/>
          <w:i/>
        </w:rPr>
      </w:pPr>
      <w:r>
        <w:rPr>
          <w:i/>
        </w:rPr>
      </w:r>
    </w:p>
    <w:p>
      <w:pPr>
        <w:pStyle w:val="Normal"/>
        <w:rPr/>
      </w:pPr>
      <w:r>
        <w:rPr/>
      </w:r>
    </w:p>
    <w:p>
      <w:pPr>
        <w:pStyle w:val="Normal"/>
        <w:rPr>
          <w:i/>
          <w:i/>
        </w:rPr>
      </w:pPr>
      <w:r>
        <w:rPr>
          <w:b/>
        </w:rPr>
        <w:t>Abstract:</w:t>
      </w:r>
      <w:r>
        <w:rPr/>
        <w:t xml:space="preserve"> </w:t>
      </w:r>
      <w:r>
        <w:rPr>
          <w:i/>
        </w:rPr>
        <w:t>Include if data have a unique abstract</w:t>
      </w:r>
    </w:p>
    <w:p>
      <w:pPr>
        <w:pStyle w:val="Normal"/>
        <w:rPr/>
      </w:pPr>
      <w:r>
        <w:rPr>
          <w:i w:val="false"/>
          <w:iCs w:val="false"/>
        </w:rPr>
        <w:t>The dataset includes the numerical model data presented in the associated publication (St-Laurent et al.). This study used a biogeochemical model embedded in the Regional Ocean Modeling System (ROMS) to examine the seasonal cycle of iron and carbon fluxes in the Amundsen Sea Polynya (Antarctica). The model simulation covers the period 2006 to 2013 and is fully described in the associated publication. The numerical simulation highlights two roles played by the oceanic circulation: it provides dissolved iron to the polynya but also transports organic matter from the productive central polynya to the western part of the Amundsen embayment. The model results improve our mechanistic understanding of the summer bloom, while suggesting testable hypotheses for future field efforts</w:t>
      </w:r>
    </w:p>
    <w:p>
      <w:pPr>
        <w:pStyle w:val="Normal"/>
        <w:rPr/>
      </w:pPr>
      <w:r>
        <w:rPr>
          <w:b/>
        </w:rPr>
        <w:t xml:space="preserve">Funding: </w:t>
      </w:r>
    </w:p>
    <w:p>
      <w:pPr>
        <w:pStyle w:val="Normal"/>
        <w:rPr>
          <w:i w:val="false"/>
          <w:i w:val="false"/>
          <w:iCs w:val="false"/>
        </w:rPr>
      </w:pPr>
      <w:r>
        <w:rPr>
          <w:i w:val="false"/>
          <w:iCs w:val="false"/>
        </w:rPr>
        <w:t>This research was supported by the National Science Foundation Office of Polar Programs (collaborative grants 1443657, 1443604, 1443315, 1443569).</w:t>
      </w:r>
    </w:p>
    <w:p>
      <w:pPr>
        <w:pStyle w:val="Normal"/>
        <w:rPr/>
      </w:pPr>
      <w:r>
        <w:rPr>
          <w:b/>
        </w:rPr>
        <w:t xml:space="preserve">Keywords: </w:t>
      </w:r>
    </w:p>
    <w:p>
      <w:pPr>
        <w:pStyle w:val="Normal"/>
        <w:rPr>
          <w:i w:val="false"/>
          <w:i w:val="false"/>
          <w:iCs w:val="false"/>
        </w:rPr>
      </w:pPr>
      <w:r>
        <w:rPr>
          <w:i w:val="false"/>
          <w:iCs w:val="false"/>
        </w:rPr>
        <w:t>polynyas, Antarctica, ice shelves, phytoplankton, sea ice, oceanography</w:t>
      </w:r>
    </w:p>
    <w:p>
      <w:pPr>
        <w:pStyle w:val="Normal"/>
        <w:rPr>
          <w:b/>
          <w:b/>
        </w:rPr>
      </w:pPr>
      <w:r>
        <w:rPr>
          <w:b/>
        </w:rPr>
        <w:t xml:space="preserve">Associated Publications: </w:t>
      </w:r>
    </w:p>
    <w:p>
      <w:pPr>
        <w:pStyle w:val="Normal"/>
        <w:rPr>
          <w:i w:val="false"/>
          <w:i w:val="false"/>
          <w:iCs w:val="false"/>
        </w:rPr>
      </w:pPr>
      <w:r>
        <w:rPr>
          <w:i w:val="false"/>
          <w:iCs w:val="false"/>
        </w:rPr>
        <w:t xml:space="preserve">St-Laurent, P., P.L. Yager, R.M. Sherrell, H. Oliver, M.S. Dinniman and S.E. Stammerjohn, 2019, Modeling the seasonal cycle of iron and carbon fluxes in the Amundsen Sea Polynya, Antarctica, Journal of Geophysical Research: Oceans, </w:t>
      </w:r>
      <w:r>
        <w:rPr>
          <w:i w:val="false"/>
          <w:iCs w:val="false"/>
        </w:rPr>
        <w:t>volume 124.</w:t>
      </w:r>
    </w:p>
    <w:p>
      <w:pPr>
        <w:pStyle w:val="Normal"/>
        <w:rPr/>
      </w:pPr>
      <w:r>
        <w:rPr>
          <w:b/>
        </w:rPr>
        <w:t>Additional information or questions for librarian:</w:t>
      </w:r>
    </w:p>
    <w:p>
      <w:pPr>
        <w:pStyle w:val="Normal"/>
        <w:spacing w:before="0" w:after="160"/>
        <w:rPr/>
      </w:pPr>
      <w:r>
        <w:rPr>
          <w:b w:val="false"/>
          <w:bCs w:val="false"/>
        </w:rPr>
        <w:t>Pierre St-Laurent ORCID #: 0000-0002-1700-9509</w:t>
      </w:r>
    </w:p>
    <w:sectPr>
      <w:type w:val="nextPage"/>
      <w:pgSz w:w="12240" w:h="15840"/>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2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00000A"/>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spacing w:before="240" w:after="120"/>
    </w:pPr>
    <w:rPr>
      <w:rFonts w:ascii="Liberation Sans" w:hAnsi="Liberation Sans" w:eastAsia="WenQuanYi Zen Hei"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1f53a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Application>LibreOffice/5.2.7.2$Linux_X86_64 LibreOffice_project/20m0$Build-2</Application>
  <Pages>2</Pages>
  <Words>445</Words>
  <Characters>2803</Characters>
  <CharactersWithSpaces>3216</CharactersWithSpaces>
  <Paragraphs>38</Paragraphs>
  <Company>Virginia Institute of Marine Science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2017-10-25T17:30:00Z</dcterms:created>
  <dc:creator>Lauren M. Goode</dc:creator>
  <dc:description/>
  <dc:language>en-US</dc:language>
  <cp:lastModifiedBy/>
  <dcterms:modified xsi:type="dcterms:W3CDTF">2019-02-26T11:53:32Z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Virginia Institute of Marine Science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