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F2A3" w14:textId="50E4D769" w:rsidR="00F529C3" w:rsidRPr="009F77CC" w:rsidRDefault="00166439" w:rsidP="00F529C3">
      <w:pPr>
        <w:pStyle w:val="NoSpacing"/>
        <w:ind w:left="0"/>
        <w:jc w:val="center"/>
        <w:rPr>
          <w:rFonts w:asciiTheme="majorHAnsi" w:hAnsiTheme="majorHAnsi"/>
          <w:b/>
          <w:color w:val="FF0000"/>
          <w:sz w:val="32"/>
          <w:szCs w:val="32"/>
        </w:rPr>
      </w:pPr>
      <w:r w:rsidRPr="009F77CC">
        <w:rPr>
          <w:rFonts w:asciiTheme="majorHAnsi" w:hAnsiTheme="majorHAnsi"/>
          <w:b/>
          <w:color w:val="FF0000"/>
          <w:sz w:val="32"/>
          <w:szCs w:val="32"/>
        </w:rPr>
        <w:t>L</w:t>
      </w:r>
      <w:r w:rsidR="00F529C3" w:rsidRPr="009F77CC">
        <w:rPr>
          <w:rFonts w:asciiTheme="majorHAnsi" w:hAnsiTheme="majorHAnsi"/>
          <w:b/>
          <w:color w:val="FF0000"/>
          <w:sz w:val="32"/>
          <w:szCs w:val="32"/>
        </w:rPr>
        <w:t>everaged or Inverse Exchange Traded Product</w:t>
      </w:r>
    </w:p>
    <w:p w14:paraId="6546F1C4" w14:textId="36946271" w:rsidR="004D2FA2" w:rsidRDefault="004D2FA2" w:rsidP="00F529C3">
      <w:pPr>
        <w:pStyle w:val="NoSpacing"/>
        <w:ind w:left="0"/>
        <w:jc w:val="center"/>
        <w:rPr>
          <w:rFonts w:asciiTheme="majorHAnsi" w:hAnsiTheme="majorHAnsi"/>
          <w:b/>
          <w:color w:val="FF0000"/>
          <w:sz w:val="32"/>
          <w:szCs w:val="32"/>
        </w:rPr>
      </w:pPr>
      <w:r>
        <w:rPr>
          <w:rFonts w:asciiTheme="majorHAnsi" w:hAnsiTheme="majorHAnsi"/>
          <w:b/>
          <w:color w:val="FF0000"/>
          <w:sz w:val="28"/>
          <w:szCs w:val="28"/>
        </w:rPr>
        <w:t>(I</w:t>
      </w:r>
      <w:r w:rsidRPr="000327F9">
        <w:rPr>
          <w:rFonts w:asciiTheme="majorHAnsi" w:hAnsiTheme="majorHAnsi"/>
          <w:b/>
          <w:color w:val="FF0000"/>
          <w:sz w:val="28"/>
          <w:szCs w:val="28"/>
        </w:rPr>
        <w:t>ncluding</w:t>
      </w:r>
      <w:r w:rsidR="00A1431E">
        <w:rPr>
          <w:rFonts w:asciiTheme="majorHAnsi" w:hAnsiTheme="majorHAnsi"/>
          <w:b/>
          <w:color w:val="FF0000"/>
          <w:sz w:val="28"/>
          <w:szCs w:val="28"/>
        </w:rPr>
        <w:t xml:space="preserve"> ETFs and</w:t>
      </w:r>
      <w:r w:rsidRPr="000327F9">
        <w:rPr>
          <w:rFonts w:asciiTheme="majorHAnsi" w:hAnsiTheme="majorHAnsi"/>
          <w:b/>
          <w:color w:val="FF0000"/>
          <w:sz w:val="28"/>
          <w:szCs w:val="28"/>
        </w:rPr>
        <w:t xml:space="preserve"> </w:t>
      </w:r>
      <w:r>
        <w:rPr>
          <w:rFonts w:asciiTheme="majorHAnsi" w:hAnsiTheme="majorHAnsi"/>
          <w:b/>
          <w:color w:val="FF0000"/>
          <w:sz w:val="28"/>
          <w:szCs w:val="28"/>
        </w:rPr>
        <w:t>M</w:t>
      </w:r>
      <w:r w:rsidRPr="000327F9">
        <w:rPr>
          <w:rFonts w:asciiTheme="majorHAnsi" w:hAnsiTheme="majorHAnsi"/>
          <w:b/>
          <w:color w:val="FF0000"/>
          <w:sz w:val="28"/>
          <w:szCs w:val="28"/>
        </w:rPr>
        <w:t xml:space="preserve">utual </w:t>
      </w:r>
      <w:r>
        <w:rPr>
          <w:rFonts w:asciiTheme="majorHAnsi" w:hAnsiTheme="majorHAnsi"/>
          <w:b/>
          <w:color w:val="FF0000"/>
          <w:sz w:val="28"/>
          <w:szCs w:val="28"/>
        </w:rPr>
        <w:t>F</w:t>
      </w:r>
      <w:r w:rsidRPr="000327F9">
        <w:rPr>
          <w:rFonts w:asciiTheme="majorHAnsi" w:hAnsiTheme="majorHAnsi"/>
          <w:b/>
          <w:color w:val="FF0000"/>
          <w:sz w:val="28"/>
          <w:szCs w:val="28"/>
        </w:rPr>
        <w:t>unds</w:t>
      </w:r>
      <w:r>
        <w:rPr>
          <w:rFonts w:asciiTheme="majorHAnsi" w:hAnsiTheme="majorHAnsi"/>
          <w:b/>
          <w:color w:val="FF0000"/>
          <w:sz w:val="28"/>
          <w:szCs w:val="28"/>
        </w:rPr>
        <w:t>)</w:t>
      </w:r>
    </w:p>
    <w:p w14:paraId="2BD2BB03" w14:textId="77777777" w:rsidR="004D2FA2" w:rsidRDefault="004D2FA2" w:rsidP="00F529C3">
      <w:pPr>
        <w:pStyle w:val="NoSpacing"/>
        <w:ind w:left="0"/>
        <w:jc w:val="center"/>
        <w:rPr>
          <w:rFonts w:asciiTheme="majorHAnsi" w:hAnsiTheme="majorHAnsi"/>
          <w:b/>
          <w:color w:val="FF0000"/>
          <w:sz w:val="32"/>
          <w:szCs w:val="32"/>
        </w:rPr>
      </w:pPr>
    </w:p>
    <w:p w14:paraId="12B5BE8E" w14:textId="536B7B8F" w:rsidR="000327F9" w:rsidRDefault="00F529C3" w:rsidP="00F529C3">
      <w:pPr>
        <w:pStyle w:val="NoSpacing"/>
        <w:ind w:left="0"/>
        <w:jc w:val="center"/>
        <w:rPr>
          <w:rFonts w:asciiTheme="majorHAnsi" w:hAnsiTheme="majorHAnsi"/>
          <w:b/>
          <w:color w:val="FF0000"/>
          <w:sz w:val="32"/>
          <w:szCs w:val="32"/>
        </w:rPr>
      </w:pPr>
      <w:r w:rsidRPr="009F77CC">
        <w:rPr>
          <w:rFonts w:asciiTheme="majorHAnsi" w:hAnsiTheme="majorHAnsi"/>
          <w:b/>
          <w:color w:val="FF0000"/>
          <w:sz w:val="32"/>
          <w:szCs w:val="32"/>
        </w:rPr>
        <w:t>Non-Managed</w:t>
      </w:r>
      <w:r w:rsidR="00BF3212">
        <w:rPr>
          <w:rFonts w:asciiTheme="majorHAnsi" w:hAnsiTheme="majorHAnsi"/>
          <w:b/>
          <w:color w:val="FF0000"/>
          <w:sz w:val="32"/>
          <w:szCs w:val="32"/>
        </w:rPr>
        <w:t>/</w:t>
      </w:r>
      <w:proofErr w:type="gramStart"/>
      <w:r w:rsidR="00BF3212">
        <w:rPr>
          <w:rFonts w:asciiTheme="majorHAnsi" w:hAnsiTheme="majorHAnsi"/>
          <w:b/>
          <w:color w:val="FF0000"/>
          <w:sz w:val="32"/>
          <w:szCs w:val="32"/>
        </w:rPr>
        <w:t>Non Discretion</w:t>
      </w:r>
      <w:proofErr w:type="gramEnd"/>
      <w:r w:rsidRPr="009F77CC">
        <w:rPr>
          <w:rFonts w:asciiTheme="majorHAnsi" w:hAnsiTheme="majorHAnsi"/>
          <w:b/>
          <w:color w:val="FF0000"/>
          <w:sz w:val="32"/>
          <w:szCs w:val="32"/>
        </w:rPr>
        <w:t xml:space="preserve"> Accounts</w:t>
      </w:r>
      <w:r w:rsidR="000327F9">
        <w:rPr>
          <w:rFonts w:asciiTheme="majorHAnsi" w:hAnsiTheme="majorHAnsi"/>
          <w:b/>
          <w:color w:val="FF0000"/>
          <w:sz w:val="32"/>
          <w:szCs w:val="32"/>
        </w:rPr>
        <w:t xml:space="preserve"> </w:t>
      </w:r>
    </w:p>
    <w:p w14:paraId="59D7C455" w14:textId="77777777" w:rsidR="002902D2" w:rsidRPr="00166439" w:rsidRDefault="002902D2" w:rsidP="00F529C3">
      <w:pPr>
        <w:pStyle w:val="NoSpacing"/>
        <w:ind w:left="0"/>
        <w:jc w:val="center"/>
        <w:rPr>
          <w:rFonts w:asciiTheme="majorHAnsi" w:hAnsiTheme="majorHAnsi"/>
          <w:b/>
          <w:sz w:val="24"/>
          <w:szCs w:val="24"/>
        </w:rPr>
      </w:pPr>
    </w:p>
    <w:p w14:paraId="114DB20C" w14:textId="4593CB78" w:rsidR="002902D2" w:rsidRPr="00166439" w:rsidRDefault="002902D2" w:rsidP="002902D2">
      <w:pPr>
        <w:pStyle w:val="vertical-offset-base"/>
        <w:shd w:val="clear" w:color="auto" w:fill="FFFFFF"/>
        <w:spacing w:before="0" w:beforeAutospacing="0" w:after="300" w:afterAutospacing="0"/>
        <w:rPr>
          <w:rFonts w:asciiTheme="majorHAnsi" w:hAnsiTheme="majorHAnsi" w:cs="Helvetica"/>
          <w:b/>
          <w:bCs/>
          <w:color w:val="242424"/>
          <w:spacing w:val="-3"/>
        </w:rPr>
      </w:pPr>
      <w:r w:rsidRPr="00166439">
        <w:rPr>
          <w:rFonts w:asciiTheme="majorHAnsi" w:hAnsiTheme="majorHAnsi" w:cs="Helvetica"/>
          <w:b/>
          <w:bCs/>
          <w:color w:val="242424"/>
          <w:spacing w:val="-3"/>
        </w:rPr>
        <w:t xml:space="preserve">The products discussed below are complex and subject to significant risks and are not suitable for many investors. They are intended for highly experienced investors who actively manage and monitor their investments. </w:t>
      </w:r>
      <w:r w:rsidRPr="00166439">
        <w:rPr>
          <w:rFonts w:asciiTheme="majorHAnsi" w:hAnsiTheme="majorHAnsi" w:cs="Helvetica"/>
          <w:b/>
          <w:bCs/>
          <w:color w:val="242424"/>
          <w:spacing w:val="-3"/>
          <w:u w:val="single"/>
        </w:rPr>
        <w:t>Please read the prospectus carefully before making your final investment decision.</w:t>
      </w:r>
    </w:p>
    <w:p w14:paraId="7BA1FA09" w14:textId="12B7D47F" w:rsidR="00F529C3" w:rsidRPr="00166439" w:rsidRDefault="00F529C3" w:rsidP="00F529C3">
      <w:pPr>
        <w:rPr>
          <w:rFonts w:asciiTheme="majorHAnsi" w:hAnsiTheme="majorHAnsi" w:cs="Arial"/>
          <w:sz w:val="24"/>
          <w:szCs w:val="24"/>
        </w:rPr>
      </w:pPr>
      <w:r w:rsidRPr="00166439">
        <w:rPr>
          <w:rFonts w:asciiTheme="majorHAnsi" w:hAnsiTheme="majorHAnsi" w:cs="Arial"/>
          <w:b/>
          <w:sz w:val="24"/>
          <w:szCs w:val="24"/>
        </w:rPr>
        <w:t>Trade Date</w:t>
      </w:r>
      <w:r w:rsidRPr="00166439">
        <w:rPr>
          <w:rFonts w:asciiTheme="majorHAnsi" w:hAnsiTheme="majorHAnsi" w:cs="Arial"/>
          <w:sz w:val="24"/>
          <w:szCs w:val="24"/>
        </w:rPr>
        <w:t>_____________________________________________________________</w:t>
      </w:r>
    </w:p>
    <w:p w14:paraId="10021393" w14:textId="06272BCD" w:rsidR="00F529C3" w:rsidRPr="00166439" w:rsidRDefault="00F529C3" w:rsidP="00F529C3">
      <w:pPr>
        <w:rPr>
          <w:rFonts w:asciiTheme="majorHAnsi" w:hAnsiTheme="majorHAnsi" w:cs="Arial"/>
          <w:sz w:val="24"/>
          <w:szCs w:val="24"/>
        </w:rPr>
      </w:pPr>
      <w:r w:rsidRPr="00166439">
        <w:rPr>
          <w:rFonts w:asciiTheme="majorHAnsi" w:hAnsiTheme="majorHAnsi" w:cs="Arial"/>
          <w:b/>
          <w:sz w:val="24"/>
          <w:szCs w:val="24"/>
        </w:rPr>
        <w:t>Account Number</w:t>
      </w:r>
      <w:r w:rsidRPr="00166439">
        <w:rPr>
          <w:rFonts w:asciiTheme="majorHAnsi" w:hAnsiTheme="majorHAnsi" w:cs="Arial"/>
          <w:sz w:val="24"/>
          <w:szCs w:val="24"/>
        </w:rPr>
        <w:t>___________________________________</w:t>
      </w:r>
      <w:r w:rsidR="00D75618">
        <w:rPr>
          <w:rFonts w:asciiTheme="majorHAnsi" w:hAnsiTheme="majorHAnsi" w:cs="Arial"/>
          <w:sz w:val="24"/>
          <w:szCs w:val="24"/>
        </w:rPr>
        <w:t xml:space="preserve"> </w:t>
      </w:r>
      <w:r w:rsidR="00D75618" w:rsidRPr="00D75618">
        <w:rPr>
          <w:rFonts w:asciiTheme="majorHAnsi" w:hAnsiTheme="majorHAnsi" w:cs="Arial"/>
          <w:b/>
          <w:bCs/>
          <w:sz w:val="24"/>
          <w:szCs w:val="24"/>
        </w:rPr>
        <w:t>Rep N</w:t>
      </w:r>
      <w:r w:rsidR="00D75618">
        <w:rPr>
          <w:rFonts w:asciiTheme="majorHAnsi" w:hAnsiTheme="majorHAnsi" w:cs="Arial"/>
          <w:b/>
          <w:bCs/>
          <w:sz w:val="24"/>
          <w:szCs w:val="24"/>
        </w:rPr>
        <w:t>um</w:t>
      </w:r>
      <w:r w:rsidR="00D75618" w:rsidRPr="00D75618">
        <w:rPr>
          <w:rFonts w:asciiTheme="majorHAnsi" w:hAnsiTheme="majorHAnsi" w:cs="Arial"/>
          <w:b/>
          <w:bCs/>
          <w:sz w:val="24"/>
          <w:szCs w:val="24"/>
        </w:rPr>
        <w:t>b</w:t>
      </w:r>
      <w:r w:rsidR="00D75618">
        <w:rPr>
          <w:rFonts w:asciiTheme="majorHAnsi" w:hAnsiTheme="majorHAnsi" w:cs="Arial"/>
          <w:b/>
          <w:bCs/>
          <w:sz w:val="24"/>
          <w:szCs w:val="24"/>
        </w:rPr>
        <w:t>e</w:t>
      </w:r>
      <w:r w:rsidR="00D75618" w:rsidRPr="00D75618">
        <w:rPr>
          <w:rFonts w:asciiTheme="majorHAnsi" w:hAnsiTheme="majorHAnsi" w:cs="Arial"/>
          <w:b/>
          <w:bCs/>
          <w:sz w:val="24"/>
          <w:szCs w:val="24"/>
        </w:rPr>
        <w:t>r</w:t>
      </w:r>
      <w:r w:rsidR="00D75618" w:rsidRPr="00D75618">
        <w:rPr>
          <w:rFonts w:asciiTheme="majorHAnsi" w:hAnsiTheme="majorHAnsi" w:cs="Arial"/>
          <w:sz w:val="24"/>
          <w:szCs w:val="24"/>
        </w:rPr>
        <w:t xml:space="preserve"> __________________</w:t>
      </w:r>
    </w:p>
    <w:p w14:paraId="3AB59BE2" w14:textId="77777777" w:rsidR="00F529C3" w:rsidRPr="00166439" w:rsidRDefault="00F529C3" w:rsidP="00F529C3">
      <w:pPr>
        <w:rPr>
          <w:rFonts w:asciiTheme="majorHAnsi" w:hAnsiTheme="majorHAnsi" w:cs="Arial"/>
          <w:sz w:val="24"/>
          <w:szCs w:val="24"/>
        </w:rPr>
      </w:pPr>
      <w:r w:rsidRPr="00166439">
        <w:rPr>
          <w:rFonts w:asciiTheme="majorHAnsi" w:hAnsiTheme="majorHAnsi" w:cs="Arial"/>
          <w:b/>
          <w:sz w:val="24"/>
          <w:szCs w:val="24"/>
        </w:rPr>
        <w:t>Symbol</w:t>
      </w:r>
      <w:r w:rsidRPr="00166439">
        <w:rPr>
          <w:rFonts w:asciiTheme="majorHAnsi" w:hAnsiTheme="majorHAnsi" w:cs="Arial"/>
          <w:sz w:val="24"/>
          <w:szCs w:val="24"/>
        </w:rPr>
        <w:t>_________________________________________________________________</w:t>
      </w:r>
    </w:p>
    <w:p w14:paraId="12F13F0E" w14:textId="285EC931" w:rsidR="0054134B" w:rsidRDefault="0054134B" w:rsidP="0054134B">
      <w:pPr>
        <w:pStyle w:val="NoSpacing"/>
        <w:ind w:left="0"/>
        <w:rPr>
          <w:rFonts w:asciiTheme="majorHAnsi" w:hAnsiTheme="majorHAnsi" w:cs="Arial"/>
          <w:sz w:val="24"/>
          <w:szCs w:val="24"/>
        </w:rPr>
      </w:pPr>
      <w:r w:rsidRPr="00166439">
        <w:rPr>
          <w:rFonts w:asciiTheme="majorHAnsi" w:hAnsiTheme="majorHAnsi" w:cs="Arial"/>
          <w:b/>
          <w:bCs/>
          <w:sz w:val="24"/>
          <w:szCs w:val="24"/>
        </w:rPr>
        <w:t>Investment Objective</w:t>
      </w:r>
      <w:r w:rsidR="00F55794">
        <w:rPr>
          <w:rFonts w:asciiTheme="majorHAnsi" w:hAnsiTheme="majorHAnsi" w:cs="Arial"/>
          <w:b/>
          <w:bCs/>
          <w:sz w:val="24"/>
          <w:szCs w:val="24"/>
        </w:rPr>
        <w:t>/Risk Tolerance</w:t>
      </w:r>
      <w:r w:rsidRPr="00166439">
        <w:rPr>
          <w:rFonts w:asciiTheme="majorHAnsi" w:hAnsiTheme="majorHAnsi" w:cs="Arial"/>
          <w:b/>
          <w:bCs/>
          <w:sz w:val="24"/>
          <w:szCs w:val="24"/>
        </w:rPr>
        <w:t xml:space="preserve"> of Account</w:t>
      </w:r>
      <w:r w:rsidR="00274B7E">
        <w:rPr>
          <w:rFonts w:asciiTheme="majorHAnsi" w:hAnsiTheme="majorHAnsi" w:cs="Arial"/>
          <w:b/>
          <w:bCs/>
          <w:sz w:val="24"/>
          <w:szCs w:val="24"/>
        </w:rPr>
        <w:t xml:space="preserve"> </w:t>
      </w:r>
      <w:r w:rsidR="00274B7E">
        <w:rPr>
          <w:rFonts w:asciiTheme="majorHAnsi" w:hAnsiTheme="majorHAnsi" w:cs="Arial"/>
          <w:sz w:val="24"/>
          <w:szCs w:val="24"/>
        </w:rPr>
        <w:t>______________________________________</w:t>
      </w:r>
      <w:r w:rsidR="00274B7E">
        <w:rPr>
          <w:rFonts w:asciiTheme="majorHAnsi" w:hAnsiTheme="majorHAnsi" w:cs="Arial"/>
          <w:b/>
          <w:bCs/>
          <w:sz w:val="24"/>
          <w:szCs w:val="24"/>
        </w:rPr>
        <w:t xml:space="preserve"> </w:t>
      </w:r>
      <w:r w:rsidR="00274B7E">
        <w:rPr>
          <w:rFonts w:asciiTheme="majorHAnsi" w:hAnsiTheme="majorHAnsi" w:cs="Arial"/>
          <w:sz w:val="24"/>
          <w:szCs w:val="24"/>
        </w:rPr>
        <w:t>___________________________________________________________________________________________________</w:t>
      </w:r>
      <w:r w:rsidRPr="00166439">
        <w:rPr>
          <w:rFonts w:asciiTheme="majorHAnsi" w:hAnsiTheme="majorHAnsi" w:cs="Arial"/>
          <w:sz w:val="24"/>
          <w:szCs w:val="24"/>
        </w:rPr>
        <w:t xml:space="preserve"> </w:t>
      </w:r>
      <w:r w:rsidR="00274B7E">
        <w:rPr>
          <w:rFonts w:asciiTheme="majorHAnsi" w:hAnsiTheme="majorHAnsi" w:cs="Arial"/>
          <w:sz w:val="24"/>
          <w:szCs w:val="24"/>
        </w:rPr>
        <w:t>___</w:t>
      </w:r>
      <w:r w:rsidRPr="00166439">
        <w:rPr>
          <w:rFonts w:asciiTheme="majorHAnsi" w:hAnsiTheme="majorHAnsi" w:cs="Arial"/>
          <w:sz w:val="24"/>
          <w:szCs w:val="24"/>
        </w:rPr>
        <w:t>___________________________________________________</w:t>
      </w:r>
      <w:r w:rsidR="00F55794">
        <w:rPr>
          <w:rFonts w:asciiTheme="majorHAnsi" w:hAnsiTheme="majorHAnsi" w:cs="Arial"/>
          <w:sz w:val="24"/>
          <w:szCs w:val="24"/>
        </w:rPr>
        <w:t>_____________________________________________</w:t>
      </w:r>
    </w:p>
    <w:p w14:paraId="59C085C8" w14:textId="5FBB1D45" w:rsidR="00274B7E" w:rsidRPr="00166439" w:rsidRDefault="00274B7E" w:rsidP="0054134B">
      <w:pPr>
        <w:pStyle w:val="NoSpacing"/>
        <w:ind w:left="0"/>
        <w:rPr>
          <w:rFonts w:asciiTheme="majorHAnsi" w:hAnsiTheme="majorHAnsi" w:cs="Arial"/>
          <w:sz w:val="24"/>
          <w:szCs w:val="24"/>
        </w:rPr>
      </w:pPr>
      <w:r>
        <w:rPr>
          <w:rFonts w:asciiTheme="majorHAnsi" w:hAnsiTheme="majorHAnsi" w:cs="Arial"/>
          <w:sz w:val="24"/>
          <w:szCs w:val="24"/>
        </w:rPr>
        <w:t>___________________________________________________________________________________________________</w:t>
      </w:r>
    </w:p>
    <w:p w14:paraId="0485D38E" w14:textId="13A92DBA" w:rsidR="0054134B" w:rsidRPr="00D41740" w:rsidRDefault="00681D30" w:rsidP="0054134B">
      <w:pPr>
        <w:pStyle w:val="NoSpacing"/>
        <w:ind w:left="0"/>
        <w:rPr>
          <w:rFonts w:asciiTheme="majorHAnsi" w:hAnsiTheme="majorHAnsi" w:cs="Arial"/>
          <w:i/>
          <w:iCs/>
          <w:sz w:val="24"/>
          <w:szCs w:val="24"/>
        </w:rPr>
      </w:pPr>
      <w:r w:rsidRPr="00D41740">
        <w:rPr>
          <w:rFonts w:asciiTheme="majorHAnsi" w:hAnsiTheme="majorHAnsi" w:cs="Arial"/>
          <w:i/>
          <w:iCs/>
          <w:sz w:val="24"/>
          <w:szCs w:val="24"/>
        </w:rPr>
        <w:t xml:space="preserve">Due to the complexity and risks involved with this type of trading, Growth and Speculation would </w:t>
      </w:r>
      <w:r w:rsidR="00274B7E" w:rsidRPr="00D41740">
        <w:rPr>
          <w:rFonts w:asciiTheme="majorHAnsi" w:hAnsiTheme="majorHAnsi" w:cs="Arial"/>
          <w:i/>
          <w:iCs/>
          <w:sz w:val="24"/>
          <w:szCs w:val="24"/>
        </w:rPr>
        <w:t xml:space="preserve">likely be the </w:t>
      </w:r>
      <w:r w:rsidRPr="00D41740">
        <w:rPr>
          <w:rFonts w:asciiTheme="majorHAnsi" w:hAnsiTheme="majorHAnsi" w:cs="Arial"/>
          <w:i/>
          <w:iCs/>
          <w:sz w:val="24"/>
          <w:szCs w:val="24"/>
        </w:rPr>
        <w:t xml:space="preserve">best choice for </w:t>
      </w:r>
      <w:r w:rsidR="00274B7E" w:rsidRPr="00D41740">
        <w:rPr>
          <w:rFonts w:asciiTheme="majorHAnsi" w:hAnsiTheme="majorHAnsi" w:cs="Arial"/>
          <w:i/>
          <w:iCs/>
          <w:sz w:val="24"/>
          <w:szCs w:val="24"/>
        </w:rPr>
        <w:t xml:space="preserve">this type of trading.  If the account is coded with something other than Growth and Speculation, please explain why you believe the account shouldn’t be coded as such.   </w:t>
      </w:r>
    </w:p>
    <w:p w14:paraId="055CF07B" w14:textId="77777777" w:rsidR="00FB525A" w:rsidRPr="00166439" w:rsidRDefault="00FB525A" w:rsidP="00F529C3">
      <w:pPr>
        <w:rPr>
          <w:rFonts w:asciiTheme="majorHAnsi" w:hAnsiTheme="majorHAnsi" w:cs="Arial"/>
          <w:b/>
          <w:sz w:val="24"/>
          <w:szCs w:val="24"/>
        </w:rPr>
      </w:pPr>
    </w:p>
    <w:p w14:paraId="45808F48" w14:textId="77777777" w:rsidR="0029283F" w:rsidRDefault="00F529C3" w:rsidP="0029283F">
      <w:pPr>
        <w:pStyle w:val="NoSpacing"/>
        <w:ind w:left="0"/>
        <w:rPr>
          <w:rFonts w:asciiTheme="majorHAnsi" w:hAnsiTheme="majorHAnsi" w:cs="Arial"/>
          <w:b/>
          <w:bCs/>
          <w:sz w:val="24"/>
          <w:szCs w:val="24"/>
        </w:rPr>
      </w:pPr>
      <w:r w:rsidRPr="00166439">
        <w:rPr>
          <w:rFonts w:asciiTheme="majorHAnsi" w:hAnsiTheme="majorHAnsi" w:cs="Arial"/>
          <w:b/>
          <w:bCs/>
          <w:sz w:val="24"/>
          <w:szCs w:val="24"/>
        </w:rPr>
        <w:t xml:space="preserve">Percentage of Client’s </w:t>
      </w:r>
      <w:r w:rsidR="0029283F">
        <w:rPr>
          <w:rFonts w:asciiTheme="majorHAnsi" w:hAnsiTheme="majorHAnsi" w:cs="Arial"/>
          <w:b/>
          <w:bCs/>
          <w:sz w:val="24"/>
          <w:szCs w:val="24"/>
        </w:rPr>
        <w:t xml:space="preserve">Liquid Net Worth </w:t>
      </w:r>
      <w:r w:rsidRPr="00166439">
        <w:rPr>
          <w:rFonts w:asciiTheme="majorHAnsi" w:hAnsiTheme="majorHAnsi" w:cs="Arial"/>
          <w:b/>
          <w:bCs/>
          <w:sz w:val="24"/>
          <w:szCs w:val="24"/>
        </w:rPr>
        <w:t>in Leveraged or Inverse ET</w:t>
      </w:r>
      <w:r w:rsidR="00166439" w:rsidRPr="00166439">
        <w:rPr>
          <w:rFonts w:asciiTheme="majorHAnsi" w:hAnsiTheme="majorHAnsi" w:cs="Arial"/>
          <w:b/>
          <w:bCs/>
          <w:sz w:val="24"/>
          <w:szCs w:val="24"/>
        </w:rPr>
        <w:t>P</w:t>
      </w:r>
      <w:r w:rsidRPr="00166439">
        <w:rPr>
          <w:rFonts w:asciiTheme="majorHAnsi" w:hAnsiTheme="majorHAnsi" w:cs="Arial"/>
          <w:b/>
          <w:bCs/>
          <w:sz w:val="24"/>
          <w:szCs w:val="24"/>
        </w:rPr>
        <w:t>s?  ______%</w:t>
      </w:r>
      <w:r w:rsidR="0029283F">
        <w:rPr>
          <w:rFonts w:asciiTheme="majorHAnsi" w:hAnsiTheme="majorHAnsi" w:cs="Arial"/>
          <w:b/>
          <w:bCs/>
          <w:sz w:val="24"/>
          <w:szCs w:val="24"/>
        </w:rPr>
        <w:t>.</w:t>
      </w:r>
    </w:p>
    <w:p w14:paraId="551BB0DE" w14:textId="5A6534AD" w:rsidR="00F529C3" w:rsidRPr="0029283F" w:rsidRDefault="00A1431E" w:rsidP="00A1431E">
      <w:pPr>
        <w:pStyle w:val="NoSpacing"/>
        <w:rPr>
          <w:rFonts w:asciiTheme="majorHAnsi" w:hAnsiTheme="majorHAnsi" w:cs="Arial"/>
          <w:sz w:val="24"/>
          <w:szCs w:val="24"/>
        </w:rPr>
      </w:pPr>
      <w:r>
        <w:rPr>
          <w:rFonts w:asciiTheme="majorHAnsi" w:hAnsiTheme="majorHAnsi" w:cs="Arial"/>
          <w:sz w:val="24"/>
          <w:szCs w:val="24"/>
        </w:rPr>
        <w:t xml:space="preserve">                       </w:t>
      </w:r>
      <w:r w:rsidR="0029283F" w:rsidRPr="0029283F">
        <w:rPr>
          <w:rFonts w:asciiTheme="majorHAnsi" w:hAnsiTheme="majorHAnsi" w:cs="Arial"/>
          <w:sz w:val="24"/>
          <w:szCs w:val="24"/>
        </w:rPr>
        <w:t>(Should not be more than 10%</w:t>
      </w:r>
      <w:r>
        <w:rPr>
          <w:rFonts w:asciiTheme="majorHAnsi" w:hAnsiTheme="majorHAnsi" w:cs="Arial"/>
          <w:sz w:val="24"/>
          <w:szCs w:val="24"/>
        </w:rPr>
        <w:t xml:space="preserve"> of liquid net worth</w:t>
      </w:r>
      <w:r w:rsidR="0029283F" w:rsidRPr="0029283F">
        <w:rPr>
          <w:rFonts w:asciiTheme="majorHAnsi" w:hAnsiTheme="majorHAnsi" w:cs="Arial"/>
          <w:sz w:val="24"/>
          <w:szCs w:val="24"/>
        </w:rPr>
        <w:t>)</w:t>
      </w:r>
    </w:p>
    <w:p w14:paraId="55B9193D" w14:textId="77777777" w:rsidR="002E2889" w:rsidRPr="00166439" w:rsidRDefault="002E2889" w:rsidP="00F529C3">
      <w:pPr>
        <w:rPr>
          <w:rFonts w:asciiTheme="majorHAnsi" w:hAnsiTheme="majorHAnsi" w:cs="Arial"/>
          <w:b/>
          <w:sz w:val="24"/>
          <w:szCs w:val="24"/>
        </w:rPr>
      </w:pPr>
    </w:p>
    <w:p w14:paraId="54301A02" w14:textId="456BE653" w:rsidR="002F43A8" w:rsidRPr="00166439" w:rsidRDefault="002902D2" w:rsidP="002902D2">
      <w:pPr>
        <w:pStyle w:val="NoSpacing"/>
        <w:ind w:left="0"/>
        <w:rPr>
          <w:rFonts w:asciiTheme="majorHAnsi" w:hAnsiTheme="majorHAnsi" w:cs="Arial"/>
          <w:b/>
          <w:bCs/>
          <w:color w:val="FF0000"/>
          <w:sz w:val="24"/>
          <w:szCs w:val="24"/>
        </w:rPr>
      </w:pPr>
      <w:r w:rsidRPr="00166439">
        <w:rPr>
          <w:rFonts w:asciiTheme="majorHAnsi" w:hAnsiTheme="majorHAnsi" w:cs="Arial"/>
          <w:b/>
          <w:bCs/>
          <w:sz w:val="24"/>
          <w:szCs w:val="24"/>
        </w:rPr>
        <w:t>ET</w:t>
      </w:r>
      <w:r w:rsidR="00166439" w:rsidRPr="00166439">
        <w:rPr>
          <w:rFonts w:asciiTheme="majorHAnsi" w:hAnsiTheme="majorHAnsi" w:cs="Arial"/>
          <w:b/>
          <w:bCs/>
          <w:sz w:val="24"/>
          <w:szCs w:val="24"/>
        </w:rPr>
        <w:t>P</w:t>
      </w:r>
      <w:r w:rsidRPr="00166439">
        <w:rPr>
          <w:rFonts w:asciiTheme="majorHAnsi" w:hAnsiTheme="majorHAnsi" w:cs="Arial"/>
          <w:b/>
          <w:bCs/>
          <w:sz w:val="24"/>
          <w:szCs w:val="24"/>
        </w:rPr>
        <w:t xml:space="preserve">s are sold by Prospectus only.  Has the client received one </w:t>
      </w:r>
      <w:r w:rsidR="000327F9">
        <w:rPr>
          <w:rFonts w:asciiTheme="majorHAnsi" w:hAnsiTheme="majorHAnsi" w:cs="Arial"/>
          <w:b/>
          <w:bCs/>
          <w:sz w:val="24"/>
          <w:szCs w:val="24"/>
        </w:rPr>
        <w:t>for</w:t>
      </w:r>
      <w:r w:rsidRPr="00166439">
        <w:rPr>
          <w:rFonts w:asciiTheme="majorHAnsi" w:hAnsiTheme="majorHAnsi" w:cs="Arial"/>
          <w:b/>
          <w:bCs/>
          <w:sz w:val="24"/>
          <w:szCs w:val="24"/>
        </w:rPr>
        <w:t xml:space="preserve"> this product?  </w:t>
      </w:r>
      <w:r w:rsidR="000327F9">
        <w:rPr>
          <w:rFonts w:asciiTheme="majorHAnsi" w:hAnsiTheme="majorHAnsi" w:cs="Arial"/>
          <w:b/>
          <w:bCs/>
          <w:sz w:val="24"/>
          <w:szCs w:val="24"/>
        </w:rPr>
        <w:tab/>
        <w:t xml:space="preserve">                             </w:t>
      </w:r>
      <w:r w:rsidRPr="00166439">
        <w:rPr>
          <w:rFonts w:asciiTheme="majorHAnsi" w:hAnsiTheme="majorHAnsi" w:cs="Arial"/>
          <w:b/>
          <w:bCs/>
          <w:sz w:val="24"/>
          <w:szCs w:val="24"/>
        </w:rPr>
        <w:t xml:space="preserve">Yes or No </w:t>
      </w:r>
      <w:r w:rsidRPr="00166439">
        <w:rPr>
          <w:rFonts w:asciiTheme="majorHAnsi" w:hAnsiTheme="majorHAnsi" w:cs="Arial"/>
          <w:b/>
          <w:bCs/>
          <w:color w:val="FF0000"/>
          <w:sz w:val="24"/>
          <w:szCs w:val="24"/>
        </w:rPr>
        <w:t>(please circle)</w:t>
      </w:r>
    </w:p>
    <w:p w14:paraId="66EB142E" w14:textId="77777777" w:rsidR="002F43A8" w:rsidRPr="00166439" w:rsidRDefault="002F43A8" w:rsidP="002902D2">
      <w:pPr>
        <w:pStyle w:val="NoSpacing"/>
        <w:ind w:left="0"/>
        <w:rPr>
          <w:rFonts w:asciiTheme="majorHAnsi" w:hAnsiTheme="majorHAnsi" w:cs="Arial"/>
          <w:b/>
          <w:bCs/>
          <w:color w:val="FF0000"/>
          <w:sz w:val="24"/>
          <w:szCs w:val="24"/>
        </w:rPr>
      </w:pPr>
    </w:p>
    <w:p w14:paraId="547EC20A" w14:textId="28342A6C" w:rsidR="002E2889" w:rsidRPr="00166439" w:rsidRDefault="002F43A8" w:rsidP="00F529C3">
      <w:pPr>
        <w:pStyle w:val="NoSpacing"/>
        <w:ind w:left="0"/>
        <w:rPr>
          <w:rFonts w:asciiTheme="majorHAnsi" w:hAnsiTheme="majorHAnsi" w:cs="Arial"/>
          <w:b/>
          <w:bCs/>
          <w:sz w:val="24"/>
          <w:szCs w:val="24"/>
        </w:rPr>
      </w:pPr>
      <w:r w:rsidRPr="00166439">
        <w:rPr>
          <w:rFonts w:asciiTheme="majorHAnsi" w:hAnsiTheme="majorHAnsi" w:cs="Arial"/>
          <w:b/>
          <w:bCs/>
          <w:sz w:val="24"/>
          <w:szCs w:val="24"/>
        </w:rPr>
        <w:tab/>
      </w:r>
      <w:r w:rsidRPr="00166439">
        <w:rPr>
          <w:rFonts w:asciiTheme="majorHAnsi" w:hAnsiTheme="majorHAnsi" w:cs="Arial"/>
          <w:b/>
          <w:bCs/>
          <w:sz w:val="24"/>
          <w:szCs w:val="24"/>
        </w:rPr>
        <w:tab/>
      </w:r>
      <w:r w:rsidRPr="00166439">
        <w:rPr>
          <w:rFonts w:asciiTheme="majorHAnsi" w:hAnsiTheme="majorHAnsi" w:cs="Arial"/>
          <w:b/>
          <w:bCs/>
          <w:sz w:val="24"/>
          <w:szCs w:val="24"/>
        </w:rPr>
        <w:tab/>
      </w:r>
      <w:r w:rsidRPr="00166439">
        <w:rPr>
          <w:rFonts w:asciiTheme="majorHAnsi" w:hAnsiTheme="majorHAnsi" w:cs="Arial"/>
          <w:b/>
          <w:bCs/>
          <w:sz w:val="24"/>
          <w:szCs w:val="24"/>
        </w:rPr>
        <w:tab/>
      </w:r>
      <w:r w:rsidR="0022110D" w:rsidRPr="00166439">
        <w:rPr>
          <w:rFonts w:asciiTheme="majorHAnsi" w:hAnsiTheme="majorHAnsi" w:cs="Arial"/>
          <w:b/>
          <w:bCs/>
          <w:sz w:val="24"/>
          <w:szCs w:val="24"/>
        </w:rPr>
        <w:tab/>
      </w:r>
      <w:r w:rsidRPr="00166439">
        <w:rPr>
          <w:rFonts w:asciiTheme="majorHAnsi" w:hAnsiTheme="majorHAnsi" w:cs="Arial"/>
          <w:b/>
          <w:bCs/>
          <w:sz w:val="24"/>
          <w:szCs w:val="24"/>
        </w:rPr>
        <w:t>**********************</w:t>
      </w:r>
    </w:p>
    <w:p w14:paraId="040C9B1B" w14:textId="2A462A1F" w:rsidR="00F529C3" w:rsidRPr="00166439" w:rsidRDefault="00F529C3" w:rsidP="00F529C3">
      <w:pPr>
        <w:pStyle w:val="NoSpacing"/>
        <w:ind w:left="0"/>
        <w:rPr>
          <w:rFonts w:asciiTheme="majorHAnsi" w:hAnsiTheme="majorHAnsi" w:cs="Arial"/>
          <w:sz w:val="24"/>
          <w:szCs w:val="24"/>
        </w:rPr>
      </w:pPr>
    </w:p>
    <w:p w14:paraId="0F2AA431" w14:textId="513DC046" w:rsidR="002902D2" w:rsidRPr="00166439" w:rsidRDefault="002902D2" w:rsidP="002902D2">
      <w:pPr>
        <w:pStyle w:val="NoSpacing"/>
        <w:ind w:left="0"/>
        <w:rPr>
          <w:rFonts w:asciiTheme="majorHAnsi" w:hAnsiTheme="majorHAnsi" w:cs="Arial"/>
          <w:b/>
          <w:bCs/>
          <w:sz w:val="24"/>
          <w:szCs w:val="24"/>
        </w:rPr>
      </w:pPr>
      <w:r w:rsidRPr="00166439">
        <w:rPr>
          <w:rFonts w:asciiTheme="majorHAnsi" w:hAnsiTheme="majorHAnsi" w:cs="Arial"/>
          <w:b/>
          <w:bCs/>
          <w:sz w:val="24"/>
          <w:szCs w:val="24"/>
        </w:rPr>
        <w:t xml:space="preserve">I have carefully read, understand and taken into consideration the following statements regarding Leveraged and Inverse Exchange Traded Products.       </w:t>
      </w:r>
    </w:p>
    <w:p w14:paraId="71E994B5" w14:textId="42ED5692" w:rsidR="002902D2" w:rsidRPr="00166439" w:rsidRDefault="002902D2" w:rsidP="002902D2">
      <w:pPr>
        <w:pStyle w:val="NoSpacing"/>
        <w:ind w:left="0"/>
        <w:rPr>
          <w:rFonts w:asciiTheme="majorHAnsi" w:hAnsiTheme="majorHAnsi" w:cs="Arial"/>
          <w:sz w:val="24"/>
          <w:szCs w:val="24"/>
        </w:rPr>
      </w:pPr>
    </w:p>
    <w:p w14:paraId="70540636" w14:textId="090F3A17" w:rsidR="0022110D" w:rsidRPr="00166439" w:rsidRDefault="0022110D" w:rsidP="002902D2">
      <w:pPr>
        <w:pStyle w:val="NoSpacing"/>
        <w:ind w:left="0"/>
        <w:rPr>
          <w:rFonts w:asciiTheme="majorHAnsi" w:hAnsiTheme="majorHAnsi"/>
          <w:color w:val="202124"/>
          <w:sz w:val="24"/>
          <w:szCs w:val="24"/>
          <w:lang w:val="en"/>
        </w:rPr>
      </w:pPr>
      <w:r w:rsidRPr="00166439">
        <w:rPr>
          <w:rFonts w:asciiTheme="majorHAnsi" w:hAnsiTheme="majorHAnsi"/>
          <w:b/>
          <w:bCs/>
          <w:color w:val="202124"/>
          <w:sz w:val="24"/>
          <w:szCs w:val="24"/>
          <w:lang w:val="en"/>
        </w:rPr>
        <w:t>Market Risk</w:t>
      </w:r>
      <w:r w:rsidRPr="00166439">
        <w:rPr>
          <w:rFonts w:asciiTheme="majorHAnsi" w:hAnsiTheme="majorHAnsi"/>
          <w:color w:val="202124"/>
          <w:sz w:val="24"/>
          <w:szCs w:val="24"/>
          <w:lang w:val="en"/>
        </w:rPr>
        <w:t xml:space="preserve"> - One of the biggest risks of ETFs is </w:t>
      </w:r>
      <w:r w:rsidRPr="00166439">
        <w:rPr>
          <w:rFonts w:asciiTheme="majorHAnsi" w:hAnsiTheme="majorHAnsi"/>
          <w:b/>
          <w:bCs/>
          <w:color w:val="202124"/>
          <w:sz w:val="24"/>
          <w:szCs w:val="24"/>
          <w:lang w:val="en"/>
        </w:rPr>
        <w:t>market risk</w:t>
      </w:r>
      <w:r w:rsidRPr="00166439">
        <w:rPr>
          <w:rFonts w:asciiTheme="majorHAnsi" w:hAnsiTheme="majorHAnsi"/>
          <w:color w:val="202124"/>
          <w:sz w:val="24"/>
          <w:szCs w:val="24"/>
          <w:lang w:val="en"/>
        </w:rPr>
        <w:t xml:space="preserve">. Like a mutual fund or a closed-end fund, ETFs are only an investment vehicle—a wrapper for their underlying investment.  </w:t>
      </w:r>
    </w:p>
    <w:p w14:paraId="484753CB" w14:textId="77777777" w:rsidR="0022110D" w:rsidRPr="00166439" w:rsidRDefault="0022110D" w:rsidP="002902D2">
      <w:pPr>
        <w:pStyle w:val="NoSpacing"/>
        <w:ind w:left="0"/>
        <w:rPr>
          <w:rFonts w:asciiTheme="majorHAnsi" w:hAnsiTheme="majorHAnsi" w:cs="Arial"/>
          <w:b/>
          <w:color w:val="FF0000"/>
          <w:sz w:val="24"/>
          <w:szCs w:val="24"/>
        </w:rPr>
      </w:pPr>
      <w:r w:rsidRPr="00166439">
        <w:rPr>
          <w:rFonts w:asciiTheme="majorHAnsi" w:hAnsiTheme="majorHAnsi" w:cs="Arial"/>
          <w:sz w:val="24"/>
          <w:szCs w:val="24"/>
        </w:rPr>
        <w:t xml:space="preserve">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3C439DF3" w14:textId="77777777" w:rsidR="0022110D" w:rsidRPr="00166439" w:rsidRDefault="0022110D" w:rsidP="002902D2">
      <w:pPr>
        <w:pStyle w:val="NoSpacing"/>
        <w:ind w:left="0"/>
        <w:rPr>
          <w:rFonts w:asciiTheme="majorHAnsi" w:hAnsiTheme="majorHAnsi" w:cs="Arial"/>
          <w:b/>
          <w:color w:val="FF0000"/>
          <w:sz w:val="24"/>
          <w:szCs w:val="24"/>
        </w:rPr>
      </w:pPr>
    </w:p>
    <w:p w14:paraId="2612AB43" w14:textId="77777777" w:rsidR="004D2FA2" w:rsidRDefault="0003301B" w:rsidP="0003301B">
      <w:pPr>
        <w:pStyle w:val="NoSpacing"/>
        <w:ind w:left="0"/>
        <w:rPr>
          <w:rFonts w:asciiTheme="majorHAnsi" w:hAnsiTheme="majorHAnsi"/>
          <w:color w:val="000000"/>
          <w:sz w:val="24"/>
          <w:szCs w:val="24"/>
        </w:rPr>
      </w:pPr>
      <w:r w:rsidRPr="00166439">
        <w:rPr>
          <w:rFonts w:asciiTheme="majorHAnsi" w:hAnsiTheme="majorHAnsi"/>
          <w:b/>
          <w:bCs/>
          <w:color w:val="202124"/>
          <w:sz w:val="24"/>
          <w:szCs w:val="24"/>
          <w:shd w:val="clear" w:color="auto" w:fill="FFFFFF"/>
        </w:rPr>
        <w:t>Costs</w:t>
      </w:r>
      <w:r w:rsidRPr="00166439">
        <w:rPr>
          <w:rFonts w:asciiTheme="majorHAnsi" w:hAnsiTheme="majorHAnsi"/>
          <w:color w:val="202124"/>
          <w:sz w:val="24"/>
          <w:szCs w:val="24"/>
          <w:shd w:val="clear" w:color="auto" w:fill="FFFFFF"/>
        </w:rPr>
        <w:t xml:space="preserve"> - A disadvantage of leveraged ET</w:t>
      </w:r>
      <w:r w:rsidR="00166439" w:rsidRPr="00166439">
        <w:rPr>
          <w:rFonts w:asciiTheme="majorHAnsi" w:hAnsiTheme="majorHAnsi"/>
          <w:color w:val="202124"/>
          <w:sz w:val="24"/>
          <w:szCs w:val="24"/>
          <w:shd w:val="clear" w:color="auto" w:fill="FFFFFF"/>
        </w:rPr>
        <w:t>P</w:t>
      </w:r>
      <w:r w:rsidRPr="00166439">
        <w:rPr>
          <w:rFonts w:asciiTheme="majorHAnsi" w:hAnsiTheme="majorHAnsi"/>
          <w:color w:val="202124"/>
          <w:sz w:val="24"/>
          <w:szCs w:val="24"/>
          <w:shd w:val="clear" w:color="auto" w:fill="FFFFFF"/>
        </w:rPr>
        <w:t>s is that </w:t>
      </w:r>
      <w:r w:rsidRPr="00166439">
        <w:rPr>
          <w:rFonts w:asciiTheme="majorHAnsi" w:hAnsiTheme="majorHAnsi"/>
          <w:b/>
          <w:bCs/>
          <w:color w:val="202124"/>
          <w:sz w:val="24"/>
          <w:szCs w:val="24"/>
          <w:shd w:val="clear" w:color="auto" w:fill="FFFFFF"/>
        </w:rPr>
        <w:t>the portfolio is continually rebalanced, which comes with added costs</w:t>
      </w:r>
      <w:r w:rsidRPr="00166439">
        <w:rPr>
          <w:rFonts w:asciiTheme="majorHAnsi" w:hAnsiTheme="majorHAnsi"/>
          <w:color w:val="202124"/>
          <w:sz w:val="24"/>
          <w:szCs w:val="24"/>
          <w:shd w:val="clear" w:color="auto" w:fill="FFFFFF"/>
        </w:rPr>
        <w:t xml:space="preserve">. Experienced investors who are comfortable managing their portfolios are better served by controlling their index exposure and leverage ratio directly, rather than through leveraged ETFs.  </w:t>
      </w:r>
      <w:r w:rsidRPr="00166439">
        <w:rPr>
          <w:rFonts w:asciiTheme="majorHAnsi" w:hAnsiTheme="majorHAnsi"/>
          <w:color w:val="000000"/>
          <w:sz w:val="24"/>
          <w:szCs w:val="24"/>
        </w:rPr>
        <w:t xml:space="preserve">When compared to traditional ETFs, leveraged ETFs generally have higher expenses. For example, the average expense ratio for a traditional ETF is 0.45%, whereas average expenses for leveraged ETFs are 0.95%. Because these expenses are taken from the fund, they reduce the net return to the investor. </w:t>
      </w:r>
      <w:r w:rsidR="004F0F37" w:rsidRPr="004F0F37">
        <w:rPr>
          <w:rFonts w:asciiTheme="majorHAnsi" w:hAnsiTheme="majorHAnsi"/>
          <w:i/>
          <w:iCs/>
          <w:color w:val="000000"/>
          <w:sz w:val="24"/>
          <w:szCs w:val="24"/>
        </w:rPr>
        <w:t>Source: Seeking Alpha Jul.29,2022</w:t>
      </w:r>
      <w:r w:rsidR="004F0F37">
        <w:rPr>
          <w:rFonts w:asciiTheme="majorHAnsi" w:hAnsiTheme="majorHAnsi"/>
          <w:color w:val="000000"/>
          <w:sz w:val="24"/>
          <w:szCs w:val="24"/>
        </w:rPr>
        <w:t xml:space="preserve">. </w:t>
      </w:r>
      <w:r w:rsidR="004D2FA2">
        <w:rPr>
          <w:rFonts w:asciiTheme="majorHAnsi" w:hAnsiTheme="majorHAnsi"/>
          <w:color w:val="000000"/>
          <w:sz w:val="24"/>
          <w:szCs w:val="24"/>
        </w:rPr>
        <w:tab/>
      </w:r>
    </w:p>
    <w:p w14:paraId="768939A6" w14:textId="69E58B02" w:rsidR="0003301B" w:rsidRPr="00166439" w:rsidRDefault="004F0F37" w:rsidP="0003301B">
      <w:pPr>
        <w:pStyle w:val="NoSpacing"/>
        <w:ind w:left="0"/>
        <w:rPr>
          <w:rFonts w:asciiTheme="majorHAnsi" w:hAnsiTheme="majorHAnsi" w:cs="Arial"/>
          <w:sz w:val="24"/>
          <w:szCs w:val="24"/>
        </w:rPr>
      </w:pPr>
      <w:r>
        <w:rPr>
          <w:rFonts w:asciiTheme="majorHAnsi" w:hAnsiTheme="majorHAnsi"/>
          <w:color w:val="000000"/>
          <w:sz w:val="24"/>
          <w:szCs w:val="24"/>
        </w:rPr>
        <w:t xml:space="preserve"> _</w:t>
      </w:r>
      <w:r w:rsidR="0003301B" w:rsidRPr="00166439">
        <w:rPr>
          <w:rFonts w:asciiTheme="majorHAnsi" w:hAnsiTheme="majorHAnsi" w:cs="Arial"/>
          <w:sz w:val="24"/>
          <w:szCs w:val="24"/>
        </w:rPr>
        <w:t xml:space="preserve">_____ </w:t>
      </w:r>
      <w:r w:rsidR="0003301B" w:rsidRPr="00166439">
        <w:rPr>
          <w:rFonts w:asciiTheme="majorHAnsi" w:hAnsiTheme="majorHAnsi" w:cs="Arial"/>
          <w:b/>
          <w:color w:val="FF0000"/>
          <w:sz w:val="24"/>
          <w:szCs w:val="24"/>
        </w:rPr>
        <w:t xml:space="preserve">(Client’s initials) </w:t>
      </w:r>
      <w:r w:rsidR="0003301B" w:rsidRPr="00166439">
        <w:rPr>
          <w:rFonts w:asciiTheme="majorHAnsi" w:hAnsiTheme="majorHAnsi" w:cs="Arial"/>
          <w:bCs/>
          <w:sz w:val="24"/>
          <w:szCs w:val="24"/>
        </w:rPr>
        <w:t>if joint account</w:t>
      </w:r>
      <w:r w:rsidR="0003301B" w:rsidRPr="00166439">
        <w:rPr>
          <w:rFonts w:asciiTheme="majorHAnsi" w:hAnsiTheme="majorHAnsi" w:cs="Arial"/>
          <w:b/>
          <w:color w:val="FF0000"/>
          <w:sz w:val="24"/>
          <w:szCs w:val="24"/>
        </w:rPr>
        <w:t xml:space="preserve"> _____ (Client’s initials)</w:t>
      </w:r>
    </w:p>
    <w:p w14:paraId="5204EB00" w14:textId="77777777" w:rsidR="0003301B" w:rsidRPr="00166439" w:rsidRDefault="0003301B" w:rsidP="002902D2">
      <w:pPr>
        <w:pStyle w:val="NoSpacing"/>
        <w:ind w:left="0"/>
        <w:rPr>
          <w:rFonts w:asciiTheme="majorHAnsi" w:hAnsiTheme="majorHAnsi" w:cs="Arial"/>
          <w:sz w:val="24"/>
          <w:szCs w:val="24"/>
        </w:rPr>
      </w:pPr>
    </w:p>
    <w:p w14:paraId="196C9B29" w14:textId="5786344B" w:rsidR="0003301B" w:rsidRPr="00166439" w:rsidRDefault="00BB63B7" w:rsidP="002902D2">
      <w:pPr>
        <w:pStyle w:val="NoSpacing"/>
        <w:ind w:left="0"/>
        <w:rPr>
          <w:rFonts w:asciiTheme="majorHAnsi" w:hAnsiTheme="majorHAnsi" w:cs="Arial"/>
          <w:sz w:val="24"/>
          <w:szCs w:val="24"/>
        </w:rPr>
      </w:pPr>
      <w:r w:rsidRPr="00166439">
        <w:rPr>
          <w:rFonts w:asciiTheme="majorHAnsi" w:hAnsiTheme="majorHAnsi" w:cs="Arial"/>
          <w:b/>
          <w:bCs/>
          <w:sz w:val="24"/>
          <w:szCs w:val="24"/>
        </w:rPr>
        <w:t xml:space="preserve">Leveraged </w:t>
      </w:r>
      <w:r w:rsidR="00166439" w:rsidRPr="00166439">
        <w:rPr>
          <w:rFonts w:asciiTheme="majorHAnsi" w:hAnsiTheme="majorHAnsi" w:cs="Arial"/>
          <w:b/>
          <w:bCs/>
          <w:sz w:val="24"/>
          <w:szCs w:val="24"/>
        </w:rPr>
        <w:t>ETPs</w:t>
      </w:r>
      <w:r w:rsidR="00166439" w:rsidRPr="00166439">
        <w:rPr>
          <w:rFonts w:asciiTheme="majorHAnsi" w:hAnsiTheme="majorHAnsi" w:cs="Arial"/>
          <w:sz w:val="24"/>
          <w:szCs w:val="24"/>
        </w:rPr>
        <w:t xml:space="preserve"> </w:t>
      </w:r>
      <w:r w:rsidRPr="00166439">
        <w:rPr>
          <w:rFonts w:asciiTheme="majorHAnsi" w:hAnsiTheme="majorHAnsi" w:cs="Arial"/>
          <w:sz w:val="24"/>
          <w:szCs w:val="24"/>
        </w:rPr>
        <w:t xml:space="preserve">may increase </w:t>
      </w:r>
      <w:r w:rsidR="00166439" w:rsidRPr="00166439">
        <w:rPr>
          <w:rFonts w:asciiTheme="majorHAnsi" w:hAnsiTheme="majorHAnsi" w:cs="Arial"/>
          <w:sz w:val="24"/>
          <w:szCs w:val="24"/>
        </w:rPr>
        <w:t>volatility</w:t>
      </w:r>
      <w:r w:rsidRPr="00166439">
        <w:rPr>
          <w:rFonts w:asciiTheme="majorHAnsi" w:hAnsiTheme="majorHAnsi" w:cs="Arial"/>
          <w:sz w:val="24"/>
          <w:szCs w:val="24"/>
        </w:rPr>
        <w:t xml:space="preserve">. </w:t>
      </w:r>
      <w:r w:rsidRPr="00166439">
        <w:rPr>
          <w:rFonts w:asciiTheme="majorHAnsi" w:hAnsiTheme="majorHAnsi" w:cs="Arial"/>
          <w:b/>
          <w:bCs/>
          <w:color w:val="FF0000"/>
          <w:sz w:val="24"/>
          <w:szCs w:val="24"/>
        </w:rPr>
        <w:t>____</w:t>
      </w:r>
      <w:proofErr w:type="gramStart"/>
      <w:r w:rsidRPr="00166439">
        <w:rPr>
          <w:rFonts w:asciiTheme="majorHAnsi" w:hAnsiTheme="majorHAnsi" w:cs="Arial"/>
          <w:b/>
          <w:bCs/>
          <w:color w:val="FF0000"/>
          <w:sz w:val="24"/>
          <w:szCs w:val="24"/>
        </w:rPr>
        <w:t>_(</w:t>
      </w:r>
      <w:proofErr w:type="gramEnd"/>
      <w:r w:rsidRPr="00166439">
        <w:rPr>
          <w:rFonts w:asciiTheme="majorHAnsi" w:hAnsiTheme="majorHAnsi" w:cs="Arial"/>
          <w:b/>
          <w:bCs/>
          <w:color w:val="FF0000"/>
          <w:sz w:val="24"/>
          <w:szCs w:val="24"/>
        </w:rPr>
        <w:t>Client’s initials) if joint account _____ (Client’s initials)</w:t>
      </w:r>
    </w:p>
    <w:p w14:paraId="2DF6016B" w14:textId="51A12EED" w:rsidR="00BB63B7" w:rsidRPr="00166439" w:rsidRDefault="00BB63B7" w:rsidP="002902D2">
      <w:pPr>
        <w:pStyle w:val="NoSpacing"/>
        <w:ind w:left="0"/>
        <w:rPr>
          <w:rFonts w:asciiTheme="majorHAnsi" w:hAnsiTheme="majorHAnsi" w:cs="Arial"/>
          <w:sz w:val="24"/>
          <w:szCs w:val="24"/>
        </w:rPr>
      </w:pPr>
    </w:p>
    <w:p w14:paraId="0A18B5DD" w14:textId="77777777" w:rsidR="005818B3" w:rsidRPr="00166439" w:rsidRDefault="005818B3" w:rsidP="005818B3">
      <w:pPr>
        <w:pStyle w:val="NoSpacing"/>
        <w:ind w:left="0"/>
        <w:rPr>
          <w:rFonts w:asciiTheme="majorHAnsi" w:hAnsiTheme="majorHAnsi" w:cs="Arial"/>
          <w:sz w:val="24"/>
          <w:szCs w:val="24"/>
        </w:rPr>
      </w:pPr>
      <w:r w:rsidRPr="00166439">
        <w:rPr>
          <w:rFonts w:asciiTheme="majorHAnsi" w:hAnsiTheme="majorHAnsi" w:cs="Arial"/>
          <w:sz w:val="24"/>
          <w:szCs w:val="24"/>
        </w:rPr>
        <w:t xml:space="preserve">Even though an </w:t>
      </w:r>
      <w:r w:rsidRPr="00166439">
        <w:rPr>
          <w:rFonts w:asciiTheme="majorHAnsi" w:hAnsiTheme="majorHAnsi" w:cs="Arial"/>
          <w:b/>
          <w:bCs/>
          <w:sz w:val="24"/>
          <w:szCs w:val="24"/>
        </w:rPr>
        <w:t>ETP</w:t>
      </w:r>
      <w:r w:rsidRPr="00166439">
        <w:rPr>
          <w:rFonts w:asciiTheme="majorHAnsi" w:hAnsiTheme="majorHAnsi" w:cs="Arial"/>
          <w:sz w:val="24"/>
          <w:szCs w:val="24"/>
        </w:rPr>
        <w:t xml:space="preserve"> may be designed to track a particular index in a positive or an inverse way, it may not track the index at all.  The ETP is still subject to the supply and demand forces of the market and may not track the index in the intended manner.  _______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7E8687E7" w14:textId="77777777" w:rsidR="005818B3" w:rsidRDefault="005818B3" w:rsidP="002902D2">
      <w:pPr>
        <w:pStyle w:val="NoSpacing"/>
        <w:ind w:left="0"/>
        <w:rPr>
          <w:rFonts w:asciiTheme="majorHAnsi" w:hAnsiTheme="majorHAnsi" w:cs="Arial"/>
          <w:b/>
          <w:bCs/>
          <w:sz w:val="24"/>
          <w:szCs w:val="24"/>
        </w:rPr>
      </w:pPr>
    </w:p>
    <w:p w14:paraId="507EC86A" w14:textId="6E34E6C8" w:rsidR="002902D2" w:rsidRPr="00166439" w:rsidRDefault="002902D2" w:rsidP="002902D2">
      <w:pPr>
        <w:pStyle w:val="NoSpacing"/>
        <w:ind w:left="0"/>
        <w:rPr>
          <w:rFonts w:asciiTheme="majorHAnsi" w:hAnsiTheme="majorHAnsi" w:cs="Arial"/>
          <w:b/>
          <w:color w:val="FF0000"/>
          <w:sz w:val="24"/>
          <w:szCs w:val="24"/>
        </w:rPr>
      </w:pPr>
      <w:r w:rsidRPr="00166439">
        <w:rPr>
          <w:rFonts w:asciiTheme="majorHAnsi" w:hAnsiTheme="majorHAnsi" w:cs="Arial"/>
          <w:b/>
          <w:bCs/>
          <w:sz w:val="24"/>
          <w:szCs w:val="24"/>
        </w:rPr>
        <w:t>Leveraged ETPs</w:t>
      </w:r>
      <w:r w:rsidRPr="00166439">
        <w:rPr>
          <w:rFonts w:asciiTheme="majorHAnsi" w:hAnsiTheme="majorHAnsi" w:cs="Arial"/>
          <w:sz w:val="24"/>
          <w:szCs w:val="24"/>
        </w:rPr>
        <w:t xml:space="preserve"> are rebalanced daily so they are not generally suitable for holding periods longer than one </w:t>
      </w:r>
      <w:r w:rsidR="00BB63B7" w:rsidRPr="00166439">
        <w:rPr>
          <w:rFonts w:asciiTheme="majorHAnsi" w:hAnsiTheme="majorHAnsi" w:cs="Arial"/>
          <w:sz w:val="24"/>
          <w:szCs w:val="24"/>
        </w:rPr>
        <w:t>day unless</w:t>
      </w:r>
      <w:r w:rsidRPr="00166439">
        <w:rPr>
          <w:rFonts w:asciiTheme="majorHAnsi" w:hAnsiTheme="majorHAnsi" w:cs="Arial"/>
          <w:sz w:val="24"/>
          <w:szCs w:val="24"/>
        </w:rPr>
        <w:t xml:space="preserve"> part of a strategic trading strategy closely monitored by the RR and client.  For this and other reasons outlined in the prospectus, it is recommended that most leveraged and inverse ETPs are to be held for ONE DAY only.  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______</w:t>
      </w:r>
      <w:proofErr w:type="gramStart"/>
      <w:r w:rsidRPr="00166439">
        <w:rPr>
          <w:rFonts w:asciiTheme="majorHAnsi" w:hAnsiTheme="majorHAnsi" w:cs="Arial"/>
          <w:b/>
          <w:color w:val="FF0000"/>
          <w:sz w:val="24"/>
          <w:szCs w:val="24"/>
        </w:rPr>
        <w:t>_(</w:t>
      </w:r>
      <w:proofErr w:type="gramEnd"/>
      <w:r w:rsidRPr="00166439">
        <w:rPr>
          <w:rFonts w:asciiTheme="majorHAnsi" w:hAnsiTheme="majorHAnsi" w:cs="Arial"/>
          <w:b/>
          <w:color w:val="FF0000"/>
          <w:sz w:val="24"/>
          <w:szCs w:val="24"/>
        </w:rPr>
        <w:t>Client’s initials)</w:t>
      </w:r>
    </w:p>
    <w:p w14:paraId="1B056F22" w14:textId="77777777" w:rsidR="004F3A2C" w:rsidRPr="00166439" w:rsidRDefault="004F3A2C" w:rsidP="0003301B">
      <w:pPr>
        <w:pStyle w:val="NoSpacing"/>
        <w:ind w:left="0"/>
        <w:rPr>
          <w:rFonts w:asciiTheme="majorHAnsi" w:hAnsiTheme="majorHAnsi" w:cs="Helvetica"/>
          <w:b/>
          <w:bCs/>
          <w:color w:val="242424"/>
          <w:spacing w:val="-3"/>
          <w:sz w:val="24"/>
          <w:szCs w:val="24"/>
        </w:rPr>
      </w:pPr>
    </w:p>
    <w:p w14:paraId="7F9386EF" w14:textId="2261BFBD" w:rsidR="0003301B" w:rsidRPr="00166439" w:rsidRDefault="0003301B" w:rsidP="0003301B">
      <w:pPr>
        <w:pStyle w:val="NoSpacing"/>
        <w:ind w:left="0"/>
        <w:rPr>
          <w:rFonts w:asciiTheme="majorHAnsi" w:hAnsiTheme="majorHAnsi" w:cs="Arial"/>
          <w:b/>
          <w:color w:val="FF0000"/>
          <w:sz w:val="24"/>
          <w:szCs w:val="24"/>
        </w:rPr>
      </w:pPr>
      <w:r w:rsidRPr="00166439">
        <w:rPr>
          <w:rFonts w:asciiTheme="majorHAnsi" w:hAnsiTheme="majorHAnsi" w:cs="Helvetica"/>
          <w:b/>
          <w:bCs/>
          <w:color w:val="242424"/>
          <w:spacing w:val="-3"/>
          <w:sz w:val="24"/>
          <w:szCs w:val="24"/>
        </w:rPr>
        <w:t>Leveraged ETFs</w:t>
      </w:r>
      <w:r w:rsidRPr="00166439">
        <w:rPr>
          <w:rFonts w:asciiTheme="majorHAnsi" w:hAnsiTheme="majorHAnsi" w:cs="Helvetica"/>
          <w:color w:val="242424"/>
          <w:spacing w:val="-3"/>
          <w:sz w:val="24"/>
          <w:szCs w:val="24"/>
        </w:rPr>
        <w:t xml:space="preserve"> are designed to achieve their investment objective </w:t>
      </w:r>
      <w:proofErr w:type="gramStart"/>
      <w:r w:rsidRPr="00166439">
        <w:rPr>
          <w:rFonts w:asciiTheme="majorHAnsi" w:hAnsiTheme="majorHAnsi" w:cs="Helvetica"/>
          <w:color w:val="242424"/>
          <w:spacing w:val="-3"/>
          <w:sz w:val="24"/>
          <w:szCs w:val="24"/>
        </w:rPr>
        <w:t>on a daily basis</w:t>
      </w:r>
      <w:proofErr w:type="gramEnd"/>
      <w:r w:rsidRPr="00166439">
        <w:rPr>
          <w:rFonts w:asciiTheme="majorHAnsi" w:hAnsiTheme="majorHAnsi" w:cs="Helvetica"/>
          <w:color w:val="242424"/>
          <w:spacing w:val="-3"/>
          <w:sz w:val="24"/>
          <w:szCs w:val="24"/>
        </w:rPr>
        <w:t xml:space="preserve"> meaning that they are not designed to track the underlying index, benchmark, or single security over an extended period of time. Leverage can increase volatility.  </w:t>
      </w:r>
      <w:r w:rsidRPr="00166439">
        <w:rPr>
          <w:rFonts w:asciiTheme="majorHAnsi" w:hAnsiTheme="majorHAnsi" w:cs="Arial"/>
          <w:sz w:val="24"/>
          <w:szCs w:val="24"/>
        </w:rPr>
        <w:t xml:space="preserve">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31E119B2" w14:textId="77777777" w:rsidR="002902D2" w:rsidRPr="00166439" w:rsidRDefault="002902D2" w:rsidP="002902D2">
      <w:pPr>
        <w:pStyle w:val="NoSpacing"/>
        <w:ind w:left="0"/>
        <w:rPr>
          <w:rFonts w:asciiTheme="majorHAnsi" w:hAnsiTheme="majorHAnsi" w:cs="Arial"/>
          <w:sz w:val="24"/>
          <w:szCs w:val="24"/>
        </w:rPr>
      </w:pPr>
    </w:p>
    <w:p w14:paraId="5736235A" w14:textId="514E4F9F" w:rsidR="004F3A2C" w:rsidRPr="00166439" w:rsidRDefault="004F3A2C" w:rsidP="004F3A2C">
      <w:pPr>
        <w:pStyle w:val="NoSpacing"/>
        <w:ind w:left="0"/>
        <w:rPr>
          <w:rFonts w:asciiTheme="majorHAnsi" w:hAnsiTheme="majorHAnsi" w:cs="Arial"/>
          <w:sz w:val="24"/>
          <w:szCs w:val="24"/>
        </w:rPr>
      </w:pPr>
      <w:r w:rsidRPr="00166439">
        <w:rPr>
          <w:rFonts w:asciiTheme="majorHAnsi" w:hAnsiTheme="majorHAnsi"/>
          <w:b/>
          <w:bCs/>
          <w:color w:val="202124"/>
          <w:sz w:val="24"/>
          <w:szCs w:val="24"/>
          <w:lang w:val="en"/>
        </w:rPr>
        <w:t>Leveraged ETFs</w:t>
      </w:r>
      <w:r w:rsidRPr="00166439">
        <w:rPr>
          <w:rFonts w:asciiTheme="majorHAnsi" w:hAnsiTheme="majorHAnsi"/>
          <w:color w:val="202124"/>
          <w:sz w:val="24"/>
          <w:szCs w:val="24"/>
          <w:lang w:val="en"/>
        </w:rPr>
        <w:t xml:space="preserve"> amplify daily returns and can help traders generate outsized returns and hedge against potential losses. A leveraged ETF's amplified daily returns can trigger steep losses in short periods of time, and </w:t>
      </w:r>
      <w:r w:rsidRPr="00166439">
        <w:rPr>
          <w:rFonts w:asciiTheme="majorHAnsi" w:hAnsiTheme="majorHAnsi"/>
          <w:b/>
          <w:bCs/>
          <w:color w:val="202124"/>
          <w:sz w:val="24"/>
          <w:szCs w:val="24"/>
          <w:lang w:val="en"/>
        </w:rPr>
        <w:t xml:space="preserve">a leveraged ETF can lose most or </w:t>
      </w:r>
      <w:proofErr w:type="gramStart"/>
      <w:r w:rsidRPr="00166439">
        <w:rPr>
          <w:rFonts w:asciiTheme="majorHAnsi" w:hAnsiTheme="majorHAnsi"/>
          <w:b/>
          <w:bCs/>
          <w:color w:val="202124"/>
          <w:sz w:val="24"/>
          <w:szCs w:val="24"/>
          <w:lang w:val="en"/>
        </w:rPr>
        <w:t>all of</w:t>
      </w:r>
      <w:proofErr w:type="gramEnd"/>
      <w:r w:rsidRPr="00166439">
        <w:rPr>
          <w:rFonts w:asciiTheme="majorHAnsi" w:hAnsiTheme="majorHAnsi"/>
          <w:b/>
          <w:bCs/>
          <w:color w:val="202124"/>
          <w:sz w:val="24"/>
          <w:szCs w:val="24"/>
          <w:lang w:val="en"/>
        </w:rPr>
        <w:t xml:space="preserve"> its value</w:t>
      </w:r>
      <w:r w:rsidRPr="00166439">
        <w:rPr>
          <w:rFonts w:asciiTheme="majorHAnsi" w:hAnsiTheme="majorHAnsi"/>
          <w:color w:val="202124"/>
          <w:sz w:val="24"/>
          <w:szCs w:val="24"/>
          <w:lang w:val="en"/>
        </w:rPr>
        <w:t xml:space="preserve">.  </w:t>
      </w:r>
      <w:r w:rsidRPr="00166439">
        <w:rPr>
          <w:rFonts w:asciiTheme="majorHAnsi" w:hAnsiTheme="majorHAnsi" w:cs="Arial"/>
          <w:sz w:val="24"/>
          <w:szCs w:val="24"/>
        </w:rPr>
        <w:t xml:space="preserve">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6F9E7FE1" w14:textId="77777777" w:rsidR="002902D2" w:rsidRPr="00166439" w:rsidRDefault="002902D2" w:rsidP="002902D2">
      <w:pPr>
        <w:pStyle w:val="NoSpacing"/>
        <w:ind w:left="0"/>
        <w:rPr>
          <w:rFonts w:asciiTheme="majorHAnsi" w:hAnsiTheme="majorHAnsi" w:cs="Arial"/>
          <w:sz w:val="24"/>
          <w:szCs w:val="24"/>
        </w:rPr>
      </w:pPr>
    </w:p>
    <w:p w14:paraId="13AA11C4" w14:textId="4FD87F36" w:rsidR="002902D2" w:rsidRPr="00166439" w:rsidRDefault="002902D2" w:rsidP="002902D2">
      <w:pPr>
        <w:pStyle w:val="NoSpacing"/>
        <w:ind w:left="0"/>
        <w:rPr>
          <w:rFonts w:asciiTheme="majorHAnsi" w:hAnsiTheme="majorHAnsi" w:cs="Arial"/>
          <w:sz w:val="24"/>
          <w:szCs w:val="24"/>
        </w:rPr>
      </w:pPr>
      <w:r w:rsidRPr="00166439">
        <w:rPr>
          <w:rFonts w:asciiTheme="majorHAnsi" w:hAnsiTheme="majorHAnsi" w:cs="Helvetica"/>
          <w:b/>
          <w:bCs/>
          <w:color w:val="242424"/>
          <w:spacing w:val="-3"/>
          <w:sz w:val="24"/>
          <w:szCs w:val="24"/>
        </w:rPr>
        <w:t>Inverse ETFs</w:t>
      </w:r>
      <w:r w:rsidRPr="00166439">
        <w:rPr>
          <w:rFonts w:asciiTheme="majorHAnsi" w:hAnsiTheme="majorHAnsi" w:cs="Helvetica"/>
          <w:color w:val="242424"/>
          <w:spacing w:val="-3"/>
          <w:sz w:val="24"/>
          <w:szCs w:val="24"/>
        </w:rPr>
        <w:t xml:space="preserve"> attempt to deliver returns that are the opposite of the returns of the underlying benchmark, index, or single security. Typically, the longer you hold a leveraged or inverse ETF, the greater your potential loss. </w:t>
      </w:r>
      <w:r w:rsidRPr="00166439">
        <w:rPr>
          <w:rFonts w:asciiTheme="majorHAnsi" w:hAnsiTheme="majorHAnsi" w:cs="Arial"/>
          <w:sz w:val="24"/>
          <w:szCs w:val="24"/>
        </w:rPr>
        <w:t xml:space="preserve"> _______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300438EC" w14:textId="77777777" w:rsidR="00BB63B7" w:rsidRPr="00166439" w:rsidRDefault="00BB63B7" w:rsidP="00BE23BD">
      <w:pPr>
        <w:pStyle w:val="NoSpacing"/>
        <w:ind w:left="0"/>
        <w:rPr>
          <w:rFonts w:asciiTheme="majorHAnsi" w:hAnsiTheme="majorHAnsi" w:cs="Helvetica"/>
          <w:color w:val="242424"/>
          <w:spacing w:val="-3"/>
          <w:sz w:val="24"/>
          <w:szCs w:val="24"/>
        </w:rPr>
      </w:pPr>
    </w:p>
    <w:p w14:paraId="6923EC13" w14:textId="391A72DF" w:rsidR="00BE23BD" w:rsidRPr="00166439" w:rsidRDefault="002902D2" w:rsidP="00BE23BD">
      <w:pPr>
        <w:pStyle w:val="NoSpacing"/>
        <w:ind w:left="0"/>
        <w:rPr>
          <w:rFonts w:asciiTheme="majorHAnsi" w:hAnsiTheme="majorHAnsi"/>
          <w:color w:val="000000"/>
          <w:sz w:val="24"/>
          <w:szCs w:val="24"/>
        </w:rPr>
      </w:pPr>
      <w:r w:rsidRPr="00166439">
        <w:rPr>
          <w:rFonts w:asciiTheme="majorHAnsi" w:hAnsiTheme="majorHAnsi"/>
          <w:b/>
          <w:bCs/>
          <w:sz w:val="24"/>
          <w:szCs w:val="24"/>
        </w:rPr>
        <w:t>Inverse ETFs</w:t>
      </w:r>
      <w:r w:rsidRPr="00166439">
        <w:rPr>
          <w:rFonts w:asciiTheme="majorHAnsi" w:hAnsiTheme="majorHAnsi"/>
          <w:sz w:val="24"/>
          <w:szCs w:val="24"/>
        </w:rPr>
        <w:t xml:space="preserve"> </w:t>
      </w:r>
      <w:r w:rsidRPr="00166439">
        <w:rPr>
          <w:rFonts w:asciiTheme="majorHAnsi" w:hAnsiTheme="majorHAnsi"/>
          <w:color w:val="000000"/>
          <w:sz w:val="24"/>
          <w:szCs w:val="24"/>
        </w:rPr>
        <w:t>are designed to produce positive returns when a benchmark index declines. Inverse leveraged ETFs are thus designed to have a 2x or 3x move in the opposite, or "inverse", direction as the benchmark index. For example, if the benchmark index falls in price by -1% in a day, the 2x inverse leveraged ETF would theoretically produce a price increase of 2%</w:t>
      </w:r>
      <w:r w:rsidR="00BE23BD" w:rsidRPr="00166439">
        <w:rPr>
          <w:rFonts w:asciiTheme="majorHAnsi" w:hAnsiTheme="majorHAnsi"/>
          <w:color w:val="000000"/>
          <w:sz w:val="24"/>
          <w:szCs w:val="24"/>
        </w:rPr>
        <w:t xml:space="preserve">.   </w:t>
      </w:r>
    </w:p>
    <w:p w14:paraId="2622A347" w14:textId="36294AB6" w:rsidR="00BE23BD" w:rsidRPr="00166439" w:rsidRDefault="00BE23BD" w:rsidP="00BE23BD">
      <w:pPr>
        <w:pStyle w:val="NoSpacing"/>
        <w:ind w:left="0"/>
        <w:rPr>
          <w:rFonts w:asciiTheme="majorHAnsi" w:hAnsiTheme="majorHAnsi" w:cs="Arial"/>
          <w:sz w:val="24"/>
          <w:szCs w:val="24"/>
        </w:rPr>
      </w:pPr>
      <w:r w:rsidRPr="00166439">
        <w:rPr>
          <w:rFonts w:asciiTheme="majorHAnsi" w:hAnsiTheme="majorHAnsi" w:cs="Arial"/>
          <w:sz w:val="24"/>
          <w:szCs w:val="24"/>
        </w:rPr>
        <w:t xml:space="preserve">_____ </w:t>
      </w:r>
      <w:r w:rsidRPr="00166439">
        <w:rPr>
          <w:rFonts w:asciiTheme="majorHAnsi" w:hAnsiTheme="majorHAnsi" w:cs="Arial"/>
          <w:b/>
          <w:color w:val="FF0000"/>
          <w:sz w:val="24"/>
          <w:szCs w:val="24"/>
        </w:rPr>
        <w:t xml:space="preserve">(Client’s initials) </w:t>
      </w:r>
      <w:r w:rsidRPr="00166439">
        <w:rPr>
          <w:rFonts w:asciiTheme="majorHAnsi" w:hAnsiTheme="majorHAnsi" w:cs="Arial"/>
          <w:bCs/>
          <w:sz w:val="24"/>
          <w:szCs w:val="24"/>
        </w:rPr>
        <w:t>if joint account</w:t>
      </w:r>
      <w:r w:rsidRPr="00166439">
        <w:rPr>
          <w:rFonts w:asciiTheme="majorHAnsi" w:hAnsiTheme="majorHAnsi" w:cs="Arial"/>
          <w:b/>
          <w:color w:val="FF0000"/>
          <w:sz w:val="24"/>
          <w:szCs w:val="24"/>
        </w:rPr>
        <w:t xml:space="preserve"> _____ (Client’s initials)</w:t>
      </w:r>
    </w:p>
    <w:p w14:paraId="23BABD3A" w14:textId="77777777" w:rsidR="005818B3" w:rsidRDefault="005818B3" w:rsidP="00BE23BD">
      <w:pPr>
        <w:pStyle w:val="NoSpacing"/>
        <w:ind w:left="0"/>
        <w:rPr>
          <w:rFonts w:asciiTheme="majorHAnsi" w:hAnsiTheme="majorHAnsi"/>
          <w:b/>
          <w:bCs/>
          <w:color w:val="000000"/>
          <w:sz w:val="24"/>
          <w:szCs w:val="24"/>
        </w:rPr>
      </w:pPr>
    </w:p>
    <w:p w14:paraId="13EE835B" w14:textId="73E14255" w:rsidR="00BE23BD" w:rsidRPr="00166439" w:rsidRDefault="00BB63B7" w:rsidP="00BE23BD">
      <w:pPr>
        <w:pStyle w:val="NoSpacing"/>
        <w:ind w:left="0"/>
        <w:rPr>
          <w:rFonts w:asciiTheme="majorHAnsi" w:hAnsiTheme="majorHAnsi" w:cs="Arial"/>
          <w:sz w:val="24"/>
          <w:szCs w:val="24"/>
        </w:rPr>
      </w:pPr>
      <w:r w:rsidRPr="00166439">
        <w:rPr>
          <w:rFonts w:asciiTheme="majorHAnsi" w:hAnsiTheme="majorHAnsi"/>
          <w:b/>
          <w:bCs/>
          <w:color w:val="000000"/>
          <w:sz w:val="24"/>
          <w:szCs w:val="24"/>
        </w:rPr>
        <w:t>I</w:t>
      </w:r>
      <w:r w:rsidR="002902D2" w:rsidRPr="00166439">
        <w:rPr>
          <w:rFonts w:asciiTheme="majorHAnsi" w:hAnsiTheme="majorHAnsi"/>
          <w:b/>
          <w:bCs/>
          <w:color w:val="000000"/>
          <w:sz w:val="24"/>
          <w:szCs w:val="24"/>
        </w:rPr>
        <w:t>nverse leveraged ETFs</w:t>
      </w:r>
      <w:r w:rsidR="002902D2" w:rsidRPr="00166439">
        <w:rPr>
          <w:rFonts w:asciiTheme="majorHAnsi" w:hAnsiTheme="majorHAnsi"/>
          <w:color w:val="000000"/>
          <w:sz w:val="24"/>
          <w:szCs w:val="24"/>
        </w:rPr>
        <w:t xml:space="preserve"> have a similar effect as </w:t>
      </w:r>
      <w:hyperlink r:id="rId5" w:history="1">
        <w:r w:rsidR="002902D2" w:rsidRPr="00166439">
          <w:rPr>
            <w:rFonts w:asciiTheme="majorHAnsi" w:hAnsiTheme="majorHAnsi"/>
            <w:color w:val="0000FF"/>
            <w:sz w:val="24"/>
            <w:szCs w:val="24"/>
            <w:u w:val="single"/>
          </w:rPr>
          <w:t>Short Selling</w:t>
        </w:r>
      </w:hyperlink>
      <w:r w:rsidR="002902D2" w:rsidRPr="00166439">
        <w:rPr>
          <w:rFonts w:asciiTheme="majorHAnsi" w:hAnsiTheme="majorHAnsi"/>
          <w:color w:val="000000"/>
          <w:sz w:val="24"/>
          <w:szCs w:val="24"/>
        </w:rPr>
        <w:t>, although would still suffer from value erosion over time due to their leveraged nature</w:t>
      </w:r>
      <w:r w:rsidR="00BE23BD" w:rsidRPr="00166439">
        <w:rPr>
          <w:rFonts w:asciiTheme="majorHAnsi" w:hAnsiTheme="majorHAnsi"/>
          <w:color w:val="000000"/>
          <w:sz w:val="24"/>
          <w:szCs w:val="24"/>
        </w:rPr>
        <w:t xml:space="preserve">.   </w:t>
      </w:r>
      <w:r w:rsidR="00BE23BD" w:rsidRPr="00166439">
        <w:rPr>
          <w:rFonts w:asciiTheme="majorHAnsi" w:hAnsiTheme="majorHAnsi" w:cs="Arial"/>
          <w:sz w:val="24"/>
          <w:szCs w:val="24"/>
        </w:rPr>
        <w:t xml:space="preserve">_____ </w:t>
      </w:r>
      <w:r w:rsidR="00BE23BD" w:rsidRPr="00166439">
        <w:rPr>
          <w:rFonts w:asciiTheme="majorHAnsi" w:hAnsiTheme="majorHAnsi" w:cs="Arial"/>
          <w:b/>
          <w:color w:val="FF0000"/>
          <w:sz w:val="24"/>
          <w:szCs w:val="24"/>
        </w:rPr>
        <w:t xml:space="preserve">(Client’s initials) </w:t>
      </w:r>
      <w:r w:rsidR="00BE23BD" w:rsidRPr="00166439">
        <w:rPr>
          <w:rFonts w:asciiTheme="majorHAnsi" w:hAnsiTheme="majorHAnsi" w:cs="Arial"/>
          <w:bCs/>
          <w:sz w:val="24"/>
          <w:szCs w:val="24"/>
        </w:rPr>
        <w:t>if joint account</w:t>
      </w:r>
      <w:r w:rsidR="00BE23BD" w:rsidRPr="00166439">
        <w:rPr>
          <w:rFonts w:asciiTheme="majorHAnsi" w:hAnsiTheme="majorHAnsi" w:cs="Arial"/>
          <w:b/>
          <w:color w:val="FF0000"/>
          <w:sz w:val="24"/>
          <w:szCs w:val="24"/>
        </w:rPr>
        <w:t xml:space="preserve"> _____ (Client’s initials)</w:t>
      </w:r>
    </w:p>
    <w:p w14:paraId="7461F658" w14:textId="77777777" w:rsidR="00BE23BD" w:rsidRPr="00166439" w:rsidRDefault="00BE23BD" w:rsidP="002902D2">
      <w:pPr>
        <w:pStyle w:val="NormalWeb"/>
        <w:shd w:val="clear" w:color="auto" w:fill="FFFFFF"/>
        <w:spacing w:before="0" w:beforeAutospacing="0" w:after="135" w:afterAutospacing="0"/>
        <w:rPr>
          <w:rFonts w:asciiTheme="majorHAnsi" w:hAnsiTheme="majorHAnsi" w:cs="Helvetica"/>
          <w:color w:val="242424"/>
          <w:spacing w:val="-3"/>
        </w:rPr>
      </w:pPr>
    </w:p>
    <w:p w14:paraId="75F02EE8" w14:textId="10D49845" w:rsidR="00BE23BD" w:rsidRPr="00166439" w:rsidRDefault="005818B3" w:rsidP="00BE23BD">
      <w:pPr>
        <w:rPr>
          <w:rFonts w:asciiTheme="majorHAnsi" w:hAnsiTheme="majorHAnsi" w:cs="Arial"/>
          <w:b/>
          <w:sz w:val="24"/>
          <w:szCs w:val="24"/>
        </w:rPr>
      </w:pPr>
      <w:r>
        <w:rPr>
          <w:rFonts w:asciiTheme="majorHAnsi" w:hAnsiTheme="majorHAnsi" w:cs="Arial"/>
          <w:b/>
          <w:sz w:val="24"/>
          <w:szCs w:val="24"/>
        </w:rPr>
        <w:t>C</w:t>
      </w:r>
      <w:r w:rsidR="00BE23BD" w:rsidRPr="00166439">
        <w:rPr>
          <w:rFonts w:asciiTheme="majorHAnsi" w:hAnsiTheme="majorHAnsi" w:cs="Arial"/>
          <w:b/>
          <w:sz w:val="24"/>
          <w:szCs w:val="24"/>
        </w:rPr>
        <w:t>lient’s Signature__________________________________________________________</w:t>
      </w:r>
    </w:p>
    <w:p w14:paraId="1A446E1F" w14:textId="77777777" w:rsidR="00BE23BD" w:rsidRPr="00166439" w:rsidRDefault="00BE23BD" w:rsidP="00BE23BD">
      <w:pPr>
        <w:rPr>
          <w:rFonts w:asciiTheme="majorHAnsi" w:hAnsiTheme="majorHAnsi" w:cs="Arial"/>
          <w:b/>
          <w:sz w:val="24"/>
          <w:szCs w:val="24"/>
        </w:rPr>
      </w:pPr>
      <w:r w:rsidRPr="00166439">
        <w:rPr>
          <w:rFonts w:asciiTheme="majorHAnsi" w:hAnsiTheme="majorHAnsi" w:cs="Arial"/>
          <w:b/>
          <w:sz w:val="24"/>
          <w:szCs w:val="24"/>
        </w:rPr>
        <w:t>Date_____________________________________________________________________</w:t>
      </w:r>
    </w:p>
    <w:p w14:paraId="4E416E35" w14:textId="0E8B8CCB" w:rsidR="00BE23BD" w:rsidRPr="00166439" w:rsidRDefault="00BE23BD" w:rsidP="00BE23BD">
      <w:pPr>
        <w:rPr>
          <w:rFonts w:asciiTheme="majorHAnsi" w:hAnsiTheme="majorHAnsi" w:cs="Arial"/>
          <w:b/>
          <w:sz w:val="24"/>
          <w:szCs w:val="24"/>
        </w:rPr>
      </w:pPr>
      <w:bookmarkStart w:id="0" w:name="_Hlk112852364"/>
      <w:r w:rsidRPr="00166439">
        <w:rPr>
          <w:rFonts w:asciiTheme="majorHAnsi" w:hAnsiTheme="majorHAnsi" w:cs="Arial"/>
          <w:b/>
          <w:sz w:val="24"/>
          <w:szCs w:val="24"/>
        </w:rPr>
        <w:t xml:space="preserve">Client’s Signature (Jt. </w:t>
      </w:r>
      <w:r w:rsidR="00180603" w:rsidRPr="00166439">
        <w:rPr>
          <w:rFonts w:asciiTheme="majorHAnsi" w:hAnsiTheme="majorHAnsi" w:cs="Arial"/>
          <w:b/>
          <w:sz w:val="24"/>
          <w:szCs w:val="24"/>
        </w:rPr>
        <w:t>Owner) _</w:t>
      </w:r>
      <w:r w:rsidRPr="00166439">
        <w:rPr>
          <w:rFonts w:asciiTheme="majorHAnsi" w:hAnsiTheme="majorHAnsi" w:cs="Arial"/>
          <w:b/>
          <w:sz w:val="24"/>
          <w:szCs w:val="24"/>
        </w:rPr>
        <w:t>_______________________________________________</w:t>
      </w:r>
    </w:p>
    <w:p w14:paraId="3F2DC404" w14:textId="77777777" w:rsidR="00BE23BD" w:rsidRPr="00166439" w:rsidRDefault="00BE23BD" w:rsidP="00BE23BD">
      <w:pPr>
        <w:rPr>
          <w:rFonts w:asciiTheme="majorHAnsi" w:hAnsiTheme="majorHAnsi" w:cs="Arial"/>
          <w:b/>
          <w:sz w:val="24"/>
          <w:szCs w:val="24"/>
        </w:rPr>
      </w:pPr>
      <w:r w:rsidRPr="00166439">
        <w:rPr>
          <w:rFonts w:asciiTheme="majorHAnsi" w:hAnsiTheme="majorHAnsi" w:cs="Arial"/>
          <w:b/>
          <w:sz w:val="24"/>
          <w:szCs w:val="24"/>
        </w:rPr>
        <w:t>Date_____________________________________________________________________</w:t>
      </w:r>
    </w:p>
    <w:p w14:paraId="59C5A258" w14:textId="77777777" w:rsidR="00BE23BD" w:rsidRPr="00166439" w:rsidRDefault="00BE23BD" w:rsidP="00BE23BD">
      <w:pPr>
        <w:rPr>
          <w:rFonts w:asciiTheme="majorHAnsi" w:hAnsiTheme="majorHAnsi" w:cs="Arial"/>
          <w:b/>
          <w:sz w:val="24"/>
          <w:szCs w:val="24"/>
        </w:rPr>
      </w:pPr>
      <w:r w:rsidRPr="00166439">
        <w:rPr>
          <w:rFonts w:asciiTheme="majorHAnsi" w:hAnsiTheme="majorHAnsi" w:cs="Arial"/>
          <w:b/>
          <w:sz w:val="24"/>
          <w:szCs w:val="24"/>
        </w:rPr>
        <w:t>Registered Representative Signature___________________________________________</w:t>
      </w:r>
    </w:p>
    <w:p w14:paraId="0DF20275" w14:textId="77777777" w:rsidR="00BE23BD" w:rsidRPr="00166439" w:rsidRDefault="00BE23BD" w:rsidP="00BE23BD">
      <w:pPr>
        <w:rPr>
          <w:rFonts w:asciiTheme="majorHAnsi" w:hAnsiTheme="majorHAnsi" w:cs="Arial"/>
          <w:b/>
          <w:sz w:val="24"/>
          <w:szCs w:val="24"/>
        </w:rPr>
      </w:pPr>
      <w:r w:rsidRPr="00166439">
        <w:rPr>
          <w:rFonts w:asciiTheme="majorHAnsi" w:hAnsiTheme="majorHAnsi" w:cs="Arial"/>
          <w:b/>
          <w:sz w:val="24"/>
          <w:szCs w:val="24"/>
        </w:rPr>
        <w:t>Date_____________________________________________________________________</w:t>
      </w:r>
      <w:bookmarkEnd w:id="0"/>
    </w:p>
    <w:p w14:paraId="1854F8FB" w14:textId="77777777" w:rsidR="00BE23BD" w:rsidRPr="00166439" w:rsidRDefault="00BE23BD" w:rsidP="00BE23BD">
      <w:pPr>
        <w:rPr>
          <w:rFonts w:asciiTheme="majorHAnsi" w:hAnsiTheme="majorHAnsi" w:cs="Arial"/>
          <w:b/>
          <w:sz w:val="24"/>
          <w:szCs w:val="24"/>
        </w:rPr>
      </w:pPr>
      <w:r w:rsidRPr="00166439">
        <w:rPr>
          <w:rFonts w:asciiTheme="majorHAnsi" w:hAnsiTheme="majorHAnsi" w:cs="Arial"/>
          <w:b/>
          <w:sz w:val="24"/>
          <w:szCs w:val="24"/>
        </w:rPr>
        <w:t>Compliance Officer Signature_________________________________________________</w:t>
      </w:r>
    </w:p>
    <w:p w14:paraId="483B2146" w14:textId="0EE06AB0" w:rsidR="00D272F9" w:rsidRPr="00166439" w:rsidRDefault="00BE23BD" w:rsidP="00BE23BD">
      <w:pPr>
        <w:pStyle w:val="NoSpacing"/>
        <w:ind w:left="0"/>
        <w:rPr>
          <w:rFonts w:asciiTheme="majorHAnsi" w:hAnsiTheme="majorHAnsi" w:cs="Arial"/>
          <w:sz w:val="24"/>
          <w:szCs w:val="24"/>
        </w:rPr>
      </w:pPr>
      <w:r w:rsidRPr="00166439">
        <w:rPr>
          <w:rFonts w:asciiTheme="majorHAnsi" w:hAnsiTheme="majorHAnsi" w:cs="Arial"/>
          <w:b/>
          <w:sz w:val="24"/>
          <w:szCs w:val="24"/>
        </w:rPr>
        <w:t>Date______________________________________________________________________</w:t>
      </w:r>
    </w:p>
    <w:p w14:paraId="672319C8" w14:textId="48A0F9ED" w:rsidR="00D272F9" w:rsidRDefault="00D272F9" w:rsidP="00F529C3">
      <w:pPr>
        <w:pStyle w:val="NoSpacing"/>
        <w:ind w:left="0"/>
        <w:rPr>
          <w:rFonts w:cs="Arial"/>
        </w:rPr>
      </w:pPr>
    </w:p>
    <w:p w14:paraId="62A0E4FE" w14:textId="517DD3B1" w:rsidR="00D272F9" w:rsidRDefault="00D272F9" w:rsidP="00F529C3">
      <w:pPr>
        <w:pStyle w:val="NoSpacing"/>
        <w:ind w:left="0"/>
        <w:rPr>
          <w:rFonts w:cs="Arial"/>
        </w:rPr>
      </w:pPr>
    </w:p>
    <w:p w14:paraId="77E544D6" w14:textId="735E864D" w:rsidR="006000DB" w:rsidRPr="005D2956" w:rsidRDefault="005818B3" w:rsidP="006000DB">
      <w:pPr>
        <w:shd w:val="clear" w:color="auto" w:fill="FFFFFF"/>
        <w:spacing w:before="300" w:after="100" w:afterAutospacing="1" w:line="240" w:lineRule="auto"/>
        <w:outlineLvl w:val="1"/>
        <w:rPr>
          <w:rFonts w:ascii="Open Sans" w:eastAsia="Times New Roman" w:hAnsi="Open Sans" w:cs="Open Sans"/>
          <w:color w:val="212529"/>
          <w:sz w:val="36"/>
          <w:szCs w:val="36"/>
        </w:rPr>
      </w:pPr>
      <w:r w:rsidRPr="005D2956">
        <w:rPr>
          <w:rFonts w:ascii="Open Sans" w:eastAsia="Times New Roman" w:hAnsi="Open Sans" w:cs="Open Sans"/>
          <w:color w:val="212529"/>
          <w:sz w:val="36"/>
          <w:szCs w:val="36"/>
        </w:rPr>
        <w:t>T</w:t>
      </w:r>
      <w:r w:rsidR="006000DB" w:rsidRPr="005D2956">
        <w:rPr>
          <w:rFonts w:ascii="Open Sans" w:eastAsia="Times New Roman" w:hAnsi="Open Sans" w:cs="Open Sans"/>
          <w:color w:val="212529"/>
          <w:sz w:val="36"/>
          <w:szCs w:val="36"/>
        </w:rPr>
        <w:t>hings to Consider</w:t>
      </w:r>
    </w:p>
    <w:p w14:paraId="318EC186" w14:textId="4ADF872C" w:rsidR="006000DB" w:rsidRPr="005D2956" w:rsidRDefault="006000DB" w:rsidP="006000DB">
      <w:pPr>
        <w:shd w:val="clear" w:color="auto" w:fill="FFFFFF"/>
        <w:spacing w:after="100" w:afterAutospacing="1" w:line="360" w:lineRule="atLeast"/>
        <w:rPr>
          <w:rFonts w:ascii="Open Sans" w:eastAsia="Times New Roman" w:hAnsi="Open Sans" w:cs="Open Sans"/>
          <w:color w:val="212529"/>
          <w:sz w:val="24"/>
          <w:szCs w:val="24"/>
        </w:rPr>
      </w:pPr>
      <w:r w:rsidRPr="005D2956">
        <w:rPr>
          <w:rFonts w:ascii="Open Sans" w:eastAsia="Times New Roman" w:hAnsi="Open Sans" w:cs="Open Sans"/>
          <w:color w:val="212529"/>
          <w:sz w:val="24"/>
          <w:szCs w:val="24"/>
        </w:rPr>
        <w:t xml:space="preserve">Some </w:t>
      </w:r>
      <w:r w:rsidR="002F43A8" w:rsidRPr="005D2956">
        <w:rPr>
          <w:rFonts w:ascii="Open Sans" w:eastAsia="Times New Roman" w:hAnsi="Open Sans" w:cs="Open Sans"/>
          <w:color w:val="212529"/>
          <w:sz w:val="24"/>
          <w:szCs w:val="24"/>
        </w:rPr>
        <w:t>Exchange Traded Products</w:t>
      </w:r>
      <w:r w:rsidRPr="005D2956">
        <w:rPr>
          <w:rFonts w:ascii="Open Sans" w:eastAsia="Times New Roman" w:hAnsi="Open Sans" w:cs="Open Sans"/>
          <w:color w:val="212529"/>
          <w:sz w:val="24"/>
          <w:szCs w:val="24"/>
        </w:rPr>
        <w:t xml:space="preserve">, such as </w:t>
      </w:r>
      <w:r w:rsidR="002F43A8" w:rsidRPr="005D2956">
        <w:rPr>
          <w:rFonts w:ascii="Open Sans" w:eastAsia="Times New Roman" w:hAnsi="Open Sans" w:cs="Open Sans"/>
          <w:color w:val="212529"/>
          <w:sz w:val="24"/>
          <w:szCs w:val="24"/>
        </w:rPr>
        <w:t>Leveraged and/or Inverse Excha</w:t>
      </w:r>
      <w:r w:rsidR="000D7160" w:rsidRPr="005D2956">
        <w:rPr>
          <w:rFonts w:ascii="Open Sans" w:eastAsia="Times New Roman" w:hAnsi="Open Sans" w:cs="Open Sans"/>
          <w:color w:val="212529"/>
          <w:sz w:val="24"/>
          <w:szCs w:val="24"/>
        </w:rPr>
        <w:t>n</w:t>
      </w:r>
      <w:r w:rsidR="002F43A8" w:rsidRPr="005D2956">
        <w:rPr>
          <w:rFonts w:ascii="Open Sans" w:eastAsia="Times New Roman" w:hAnsi="Open Sans" w:cs="Open Sans"/>
          <w:color w:val="212529"/>
          <w:sz w:val="24"/>
          <w:szCs w:val="24"/>
        </w:rPr>
        <w:t xml:space="preserve">ge Traded </w:t>
      </w:r>
      <w:r w:rsidR="000D7160" w:rsidRPr="005D2956">
        <w:rPr>
          <w:rFonts w:ascii="Open Sans" w:eastAsia="Times New Roman" w:hAnsi="Open Sans" w:cs="Open Sans"/>
          <w:color w:val="212529"/>
          <w:sz w:val="24"/>
          <w:szCs w:val="24"/>
        </w:rPr>
        <w:t>Products, can</w:t>
      </w:r>
      <w:r w:rsidRPr="005D2956">
        <w:rPr>
          <w:rFonts w:ascii="Open Sans" w:eastAsia="Times New Roman" w:hAnsi="Open Sans" w:cs="Open Sans"/>
          <w:color w:val="212529"/>
          <w:sz w:val="24"/>
          <w:szCs w:val="24"/>
        </w:rPr>
        <w:t xml:space="preserve"> be complicated. Before investing, be sure to ask:</w:t>
      </w:r>
    </w:p>
    <w:p w14:paraId="4CA30E37" w14:textId="262E2DCA" w:rsidR="006000DB" w:rsidRPr="005D2956" w:rsidRDefault="006000DB" w:rsidP="006000DB">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rPr>
      </w:pPr>
      <w:r w:rsidRPr="005D2956">
        <w:rPr>
          <w:rFonts w:ascii="Open Sans" w:eastAsia="Times New Roman" w:hAnsi="Open Sans" w:cs="Open Sans"/>
          <w:b/>
          <w:bCs/>
          <w:color w:val="212529"/>
          <w:sz w:val="24"/>
          <w:szCs w:val="24"/>
        </w:rPr>
        <w:t>How does the E</w:t>
      </w:r>
      <w:r w:rsidR="002F43A8" w:rsidRPr="005D2956">
        <w:rPr>
          <w:rFonts w:ascii="Open Sans" w:eastAsia="Times New Roman" w:hAnsi="Open Sans" w:cs="Open Sans"/>
          <w:b/>
          <w:bCs/>
          <w:color w:val="212529"/>
          <w:sz w:val="24"/>
          <w:szCs w:val="24"/>
        </w:rPr>
        <w:t xml:space="preserve">xchange Traded Product </w:t>
      </w:r>
      <w:r w:rsidRPr="005D2956">
        <w:rPr>
          <w:rFonts w:ascii="Open Sans" w:eastAsia="Times New Roman" w:hAnsi="Open Sans" w:cs="Open Sans"/>
          <w:b/>
          <w:bCs/>
          <w:color w:val="212529"/>
          <w:sz w:val="24"/>
          <w:szCs w:val="24"/>
        </w:rPr>
        <w:t>achieve its stated objectives? </w:t>
      </w:r>
      <w:r w:rsidRPr="005D2956">
        <w:rPr>
          <w:rFonts w:ascii="Open Sans" w:eastAsia="Times New Roman" w:hAnsi="Open Sans" w:cs="Open Sans"/>
          <w:color w:val="212529"/>
          <w:sz w:val="24"/>
          <w:szCs w:val="24"/>
        </w:rPr>
        <w:t>And what are the risks? Ask about—and be sure you understand—what the products are designed to do and how they may behave in different market environments (for example, in a volatile market), as well as the techniques the ETP uses to achieve its goals and the risks they involve.</w:t>
      </w:r>
    </w:p>
    <w:p w14:paraId="26653A56" w14:textId="46EBDA26" w:rsidR="006000DB" w:rsidRPr="005D2956" w:rsidRDefault="006000DB" w:rsidP="006000DB">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rPr>
      </w:pPr>
      <w:r w:rsidRPr="005D2956">
        <w:rPr>
          <w:rFonts w:ascii="Open Sans" w:eastAsia="Times New Roman" w:hAnsi="Open Sans" w:cs="Open Sans"/>
          <w:b/>
          <w:bCs/>
          <w:color w:val="212529"/>
          <w:sz w:val="24"/>
          <w:szCs w:val="24"/>
        </w:rPr>
        <w:t xml:space="preserve">What happens if I hold a </w:t>
      </w:r>
      <w:r w:rsidR="002F43A8" w:rsidRPr="005D2956">
        <w:rPr>
          <w:rFonts w:ascii="Open Sans" w:eastAsia="Times New Roman" w:hAnsi="Open Sans" w:cs="Open Sans"/>
          <w:b/>
          <w:bCs/>
          <w:color w:val="212529"/>
          <w:sz w:val="24"/>
          <w:szCs w:val="24"/>
        </w:rPr>
        <w:t xml:space="preserve">Leveraged and/or Inverse Exchange Traded Product </w:t>
      </w:r>
      <w:r w:rsidRPr="005D2956">
        <w:rPr>
          <w:rFonts w:ascii="Open Sans" w:eastAsia="Times New Roman" w:hAnsi="Open Sans" w:cs="Open Sans"/>
          <w:b/>
          <w:bCs/>
          <w:color w:val="212529"/>
          <w:sz w:val="24"/>
          <w:szCs w:val="24"/>
        </w:rPr>
        <w:t>longer than one trading day?</w:t>
      </w:r>
      <w:r w:rsidRPr="005D2956">
        <w:rPr>
          <w:rFonts w:ascii="Open Sans" w:eastAsia="Times New Roman" w:hAnsi="Open Sans" w:cs="Open Sans"/>
          <w:color w:val="212529"/>
          <w:sz w:val="24"/>
          <w:szCs w:val="24"/>
        </w:rPr>
        <w:t> While there may be trading and hedging strategies that justify holding leveraged and inverse ETPs longer than a day, investors with an intermediate or long-term time horizon should carefully consider whether these products are appropriate for their portfolio. You could suffer losses even if the longer-term performance of the underlying index is up for a leveraged ETP or down for an inverse ETP.</w:t>
      </w:r>
    </w:p>
    <w:p w14:paraId="147BAD5E" w14:textId="4901C3DC" w:rsidR="006000DB" w:rsidRPr="005D2956" w:rsidRDefault="006000DB" w:rsidP="006000DB">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rPr>
      </w:pPr>
      <w:r w:rsidRPr="005D2956">
        <w:rPr>
          <w:rFonts w:ascii="Open Sans" w:eastAsia="Times New Roman" w:hAnsi="Open Sans" w:cs="Open Sans"/>
          <w:b/>
          <w:bCs/>
          <w:color w:val="212529"/>
          <w:sz w:val="24"/>
          <w:szCs w:val="24"/>
        </w:rPr>
        <w:t xml:space="preserve">Is there a risk that a </w:t>
      </w:r>
      <w:r w:rsidR="002F43A8" w:rsidRPr="005D2956">
        <w:rPr>
          <w:rFonts w:ascii="Open Sans" w:eastAsia="Times New Roman" w:hAnsi="Open Sans" w:cs="Open Sans"/>
          <w:b/>
          <w:bCs/>
          <w:color w:val="212529"/>
          <w:sz w:val="24"/>
          <w:szCs w:val="24"/>
        </w:rPr>
        <w:t xml:space="preserve">Leveraged and/or Inverse </w:t>
      </w:r>
      <w:r w:rsidRPr="005D2956">
        <w:rPr>
          <w:rFonts w:ascii="Open Sans" w:eastAsia="Times New Roman" w:hAnsi="Open Sans" w:cs="Open Sans"/>
          <w:b/>
          <w:bCs/>
          <w:color w:val="212529"/>
          <w:sz w:val="24"/>
          <w:szCs w:val="24"/>
        </w:rPr>
        <w:t>E</w:t>
      </w:r>
      <w:r w:rsidR="002F43A8" w:rsidRPr="005D2956">
        <w:rPr>
          <w:rFonts w:ascii="Open Sans" w:eastAsia="Times New Roman" w:hAnsi="Open Sans" w:cs="Open Sans"/>
          <w:b/>
          <w:bCs/>
          <w:color w:val="212529"/>
          <w:sz w:val="24"/>
          <w:szCs w:val="24"/>
        </w:rPr>
        <w:t xml:space="preserve">xchange Traded Product </w:t>
      </w:r>
      <w:r w:rsidRPr="005D2956">
        <w:rPr>
          <w:rFonts w:ascii="Open Sans" w:eastAsia="Times New Roman" w:hAnsi="Open Sans" w:cs="Open Sans"/>
          <w:b/>
          <w:bCs/>
          <w:color w:val="212529"/>
          <w:sz w:val="24"/>
          <w:szCs w:val="24"/>
        </w:rPr>
        <w:t>will not meet its stated daily objective?</w:t>
      </w:r>
      <w:r w:rsidRPr="005D2956">
        <w:rPr>
          <w:rFonts w:ascii="Open Sans" w:eastAsia="Times New Roman" w:hAnsi="Open Sans" w:cs="Open Sans"/>
          <w:color w:val="212529"/>
          <w:sz w:val="24"/>
          <w:szCs w:val="24"/>
        </w:rPr>
        <w:t> There is always a risk that not every leveraged or inverse ETP will meet its stated objective on any given trading day. Be sure you understand the impact this could have on the performance of your portfolio, taking into consideration your goals and your risk tolerance.</w:t>
      </w:r>
    </w:p>
    <w:p w14:paraId="67B6A47F" w14:textId="69C41661" w:rsidR="006000DB" w:rsidRPr="005D2956" w:rsidRDefault="006000DB" w:rsidP="006000DB">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rPr>
      </w:pPr>
      <w:r w:rsidRPr="005D2956">
        <w:rPr>
          <w:rFonts w:ascii="Open Sans" w:eastAsia="Times New Roman" w:hAnsi="Open Sans" w:cs="Open Sans"/>
          <w:b/>
          <w:bCs/>
          <w:color w:val="212529"/>
          <w:sz w:val="24"/>
          <w:szCs w:val="24"/>
        </w:rPr>
        <w:t>What are the fees and expenses?</w:t>
      </w:r>
      <w:r w:rsidRPr="005D2956">
        <w:rPr>
          <w:rFonts w:ascii="Open Sans" w:eastAsia="Times New Roman" w:hAnsi="Open Sans" w:cs="Open Sans"/>
          <w:color w:val="212529"/>
          <w:sz w:val="24"/>
          <w:szCs w:val="24"/>
        </w:rPr>
        <w:t> Leveraged or inverse E</w:t>
      </w:r>
      <w:r w:rsidR="002F43A8" w:rsidRPr="005D2956">
        <w:rPr>
          <w:rFonts w:ascii="Open Sans" w:eastAsia="Times New Roman" w:hAnsi="Open Sans" w:cs="Open Sans"/>
          <w:color w:val="212529"/>
          <w:sz w:val="24"/>
          <w:szCs w:val="24"/>
        </w:rPr>
        <w:t xml:space="preserve">xchange Traded Products </w:t>
      </w:r>
      <w:r w:rsidRPr="005D2956">
        <w:rPr>
          <w:rFonts w:ascii="Open Sans" w:eastAsia="Times New Roman" w:hAnsi="Open Sans" w:cs="Open Sans"/>
          <w:color w:val="212529"/>
          <w:sz w:val="24"/>
          <w:szCs w:val="24"/>
        </w:rPr>
        <w:t>may be more costly than traditional ETPs. Use FINRA’s </w:t>
      </w:r>
      <w:hyperlink r:id="rId6" w:history="1">
        <w:r w:rsidRPr="005D2956">
          <w:rPr>
            <w:rFonts w:ascii="Open Sans" w:eastAsia="Times New Roman" w:hAnsi="Open Sans" w:cs="Open Sans"/>
            <w:color w:val="0079C0"/>
            <w:sz w:val="24"/>
            <w:szCs w:val="24"/>
            <w:u w:val="single"/>
          </w:rPr>
          <w:t>Fund Analyzer</w:t>
        </w:r>
      </w:hyperlink>
      <w:r w:rsidRPr="005D2956">
        <w:rPr>
          <w:rFonts w:ascii="Open Sans" w:eastAsia="Times New Roman" w:hAnsi="Open Sans" w:cs="Open Sans"/>
          <w:color w:val="212529"/>
          <w:sz w:val="24"/>
          <w:szCs w:val="24"/>
        </w:rPr>
        <w:t> to estimate the impact of fees and expenses on your investment.</w:t>
      </w:r>
    </w:p>
    <w:p w14:paraId="64D18290" w14:textId="531FFFD5" w:rsidR="006000DB" w:rsidRPr="005D2956" w:rsidRDefault="006000DB" w:rsidP="006000DB">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rPr>
      </w:pPr>
      <w:r w:rsidRPr="005D2956">
        <w:rPr>
          <w:rFonts w:ascii="Open Sans" w:eastAsia="Times New Roman" w:hAnsi="Open Sans" w:cs="Open Sans"/>
          <w:b/>
          <w:bCs/>
          <w:color w:val="212529"/>
          <w:sz w:val="24"/>
          <w:szCs w:val="24"/>
        </w:rPr>
        <w:t>What are the tax consequences?</w:t>
      </w:r>
      <w:r w:rsidRPr="005D2956">
        <w:rPr>
          <w:rFonts w:ascii="Open Sans" w:eastAsia="Times New Roman" w:hAnsi="Open Sans" w:cs="Open Sans"/>
          <w:color w:val="212529"/>
          <w:sz w:val="24"/>
          <w:szCs w:val="24"/>
        </w:rPr>
        <w:t> Leveraged or inverse E</w:t>
      </w:r>
      <w:r w:rsidR="002F43A8" w:rsidRPr="005D2956">
        <w:rPr>
          <w:rFonts w:ascii="Open Sans" w:eastAsia="Times New Roman" w:hAnsi="Open Sans" w:cs="Open Sans"/>
          <w:color w:val="212529"/>
          <w:sz w:val="24"/>
          <w:szCs w:val="24"/>
        </w:rPr>
        <w:t xml:space="preserve">xchange Traded Products </w:t>
      </w:r>
      <w:r w:rsidRPr="005D2956">
        <w:rPr>
          <w:rFonts w:ascii="Open Sans" w:eastAsia="Times New Roman" w:hAnsi="Open Sans" w:cs="Open Sans"/>
          <w:color w:val="212529"/>
          <w:sz w:val="24"/>
          <w:szCs w:val="24"/>
        </w:rPr>
        <w:t>may be less tax-efficient than traditional E</w:t>
      </w:r>
      <w:r w:rsidR="002F43A8" w:rsidRPr="005D2956">
        <w:rPr>
          <w:rFonts w:ascii="Open Sans" w:eastAsia="Times New Roman" w:hAnsi="Open Sans" w:cs="Open Sans"/>
          <w:color w:val="212529"/>
          <w:sz w:val="24"/>
          <w:szCs w:val="24"/>
        </w:rPr>
        <w:t>xchange Traded Funds</w:t>
      </w:r>
      <w:r w:rsidRPr="005D2956">
        <w:rPr>
          <w:rFonts w:ascii="Open Sans" w:eastAsia="Times New Roman" w:hAnsi="Open Sans" w:cs="Open Sans"/>
          <w:color w:val="212529"/>
          <w:sz w:val="24"/>
          <w:szCs w:val="24"/>
        </w:rPr>
        <w:t>, in part because daily resets can cause the ETP to realize significant short-term capital gains that may not be offset by a loss. There may be additional tax-related issues, so it is important to check with your tax advisor about the consequences of investing in these products.</w:t>
      </w:r>
    </w:p>
    <w:p w14:paraId="7B102AD9" w14:textId="77777777" w:rsidR="009E4CDE" w:rsidRDefault="009E4CDE" w:rsidP="006000DB">
      <w:pPr>
        <w:shd w:val="clear" w:color="auto" w:fill="FFFFFF"/>
        <w:spacing w:after="240" w:line="240" w:lineRule="auto"/>
        <w:outlineLvl w:val="2"/>
        <w:rPr>
          <w:rFonts w:ascii="Roboto" w:eastAsia="Times New Roman" w:hAnsi="Roboto" w:cs="Times New Roman"/>
          <w:b/>
          <w:bCs/>
          <w:color w:val="000000"/>
          <w:sz w:val="27"/>
          <w:szCs w:val="27"/>
        </w:rPr>
      </w:pPr>
    </w:p>
    <w:p w14:paraId="2002E1B6" w14:textId="77777777" w:rsidR="009E4CDE" w:rsidRDefault="009E4CDE" w:rsidP="006000DB">
      <w:pPr>
        <w:shd w:val="clear" w:color="auto" w:fill="FFFFFF"/>
        <w:spacing w:after="240" w:line="240" w:lineRule="auto"/>
        <w:outlineLvl w:val="2"/>
        <w:rPr>
          <w:rFonts w:ascii="Roboto" w:eastAsia="Times New Roman" w:hAnsi="Roboto" w:cs="Times New Roman"/>
          <w:b/>
          <w:bCs/>
          <w:color w:val="000000"/>
          <w:sz w:val="27"/>
          <w:szCs w:val="27"/>
        </w:rPr>
      </w:pPr>
    </w:p>
    <w:p w14:paraId="0D62A454" w14:textId="77777777" w:rsidR="009E4CDE" w:rsidRDefault="009E4CDE" w:rsidP="006000DB">
      <w:pPr>
        <w:shd w:val="clear" w:color="auto" w:fill="FFFFFF"/>
        <w:spacing w:after="240" w:line="240" w:lineRule="auto"/>
        <w:outlineLvl w:val="2"/>
        <w:rPr>
          <w:rFonts w:ascii="Roboto" w:eastAsia="Times New Roman" w:hAnsi="Roboto" w:cs="Times New Roman"/>
          <w:b/>
          <w:bCs/>
          <w:color w:val="000000"/>
          <w:sz w:val="27"/>
          <w:szCs w:val="27"/>
        </w:rPr>
      </w:pPr>
    </w:p>
    <w:p w14:paraId="65AB0BD9" w14:textId="77777777" w:rsidR="009E4CDE" w:rsidRDefault="009E4CDE" w:rsidP="006000DB">
      <w:pPr>
        <w:shd w:val="clear" w:color="auto" w:fill="FFFFFF"/>
        <w:spacing w:after="240" w:line="240" w:lineRule="auto"/>
        <w:outlineLvl w:val="2"/>
        <w:rPr>
          <w:rFonts w:ascii="Roboto" w:eastAsia="Times New Roman" w:hAnsi="Roboto" w:cs="Times New Roman"/>
          <w:b/>
          <w:bCs/>
          <w:color w:val="000000"/>
          <w:sz w:val="27"/>
          <w:szCs w:val="27"/>
        </w:rPr>
      </w:pPr>
    </w:p>
    <w:p w14:paraId="0A41D025" w14:textId="77777777" w:rsidR="009E4CDE" w:rsidRDefault="009E4CDE" w:rsidP="006000DB">
      <w:pPr>
        <w:shd w:val="clear" w:color="auto" w:fill="FFFFFF"/>
        <w:spacing w:after="240" w:line="240" w:lineRule="auto"/>
        <w:outlineLvl w:val="2"/>
        <w:rPr>
          <w:rFonts w:ascii="Roboto" w:eastAsia="Times New Roman" w:hAnsi="Roboto" w:cs="Times New Roman"/>
          <w:b/>
          <w:bCs/>
          <w:color w:val="000000"/>
          <w:sz w:val="27"/>
          <w:szCs w:val="27"/>
        </w:rPr>
      </w:pPr>
    </w:p>
    <w:p w14:paraId="2B1B3C9E" w14:textId="6DF27A11" w:rsidR="006000DB" w:rsidRPr="00F60598" w:rsidRDefault="006000DB" w:rsidP="006000DB">
      <w:pPr>
        <w:shd w:val="clear" w:color="auto" w:fill="FFFFFF"/>
        <w:spacing w:after="240" w:line="240" w:lineRule="auto"/>
        <w:outlineLvl w:val="2"/>
        <w:rPr>
          <w:rFonts w:ascii="Roboto" w:eastAsia="Times New Roman" w:hAnsi="Roboto" w:cs="Times New Roman"/>
          <w:b/>
          <w:bCs/>
          <w:color w:val="000000"/>
          <w:sz w:val="27"/>
          <w:szCs w:val="27"/>
        </w:rPr>
      </w:pPr>
      <w:r w:rsidRPr="00F60598">
        <w:rPr>
          <w:rFonts w:ascii="Roboto" w:eastAsia="Times New Roman" w:hAnsi="Roboto" w:cs="Times New Roman"/>
          <w:b/>
          <w:bCs/>
          <w:color w:val="000000"/>
          <w:sz w:val="27"/>
          <w:szCs w:val="27"/>
        </w:rPr>
        <w:t>Pros of Leveraged ETFs</w:t>
      </w:r>
    </w:p>
    <w:p w14:paraId="4EF146B9" w14:textId="77777777" w:rsidR="006000DB" w:rsidRPr="00F60598" w:rsidRDefault="006000DB" w:rsidP="006000DB">
      <w:pPr>
        <w:numPr>
          <w:ilvl w:val="0"/>
          <w:numId w:val="2"/>
        </w:numPr>
        <w:shd w:val="clear" w:color="auto" w:fill="FFFFFF"/>
        <w:spacing w:before="100" w:beforeAutospacing="1" w:after="300" w:line="420" w:lineRule="atLeast"/>
        <w:rPr>
          <w:rFonts w:ascii="Roboto" w:eastAsia="Times New Roman" w:hAnsi="Roboto" w:cs="Times New Roman"/>
          <w:color w:val="000000"/>
          <w:sz w:val="27"/>
          <w:szCs w:val="27"/>
        </w:rPr>
      </w:pPr>
      <w:r w:rsidRPr="00F60598">
        <w:rPr>
          <w:rFonts w:ascii="Roboto" w:eastAsia="Times New Roman" w:hAnsi="Roboto" w:cs="Times New Roman"/>
          <w:b/>
          <w:bCs/>
          <w:color w:val="000000"/>
          <w:sz w:val="27"/>
          <w:szCs w:val="27"/>
        </w:rPr>
        <w:t>Access to derivatives:</w:t>
      </w:r>
      <w:r w:rsidRPr="00F60598">
        <w:rPr>
          <w:rFonts w:ascii="Roboto" w:eastAsia="Times New Roman" w:hAnsi="Roboto" w:cs="Times New Roman"/>
          <w:color w:val="000000"/>
          <w:sz w:val="27"/>
          <w:szCs w:val="27"/>
        </w:rPr>
        <w:t> Leveraged ETFs offer indirect access to financial derivatives, such as options and futures contracts, that may otherwise be inaccessible to everyday investors, or more expensive to trade.</w:t>
      </w:r>
    </w:p>
    <w:p w14:paraId="1933126F" w14:textId="77777777" w:rsidR="006000DB" w:rsidRPr="00F60598" w:rsidRDefault="006000DB" w:rsidP="006000DB">
      <w:pPr>
        <w:numPr>
          <w:ilvl w:val="0"/>
          <w:numId w:val="2"/>
        </w:numPr>
        <w:shd w:val="clear" w:color="auto" w:fill="FFFFFF"/>
        <w:spacing w:before="100" w:beforeAutospacing="1" w:after="300" w:line="420" w:lineRule="atLeast"/>
        <w:rPr>
          <w:rFonts w:ascii="Roboto" w:eastAsia="Times New Roman" w:hAnsi="Roboto" w:cs="Times New Roman"/>
          <w:color w:val="000000"/>
          <w:sz w:val="27"/>
          <w:szCs w:val="27"/>
        </w:rPr>
      </w:pPr>
      <w:r w:rsidRPr="00F60598">
        <w:rPr>
          <w:rFonts w:ascii="Roboto" w:eastAsia="Times New Roman" w:hAnsi="Roboto" w:cs="Times New Roman"/>
          <w:b/>
          <w:bCs/>
          <w:color w:val="000000"/>
          <w:sz w:val="27"/>
          <w:szCs w:val="27"/>
        </w:rPr>
        <w:t>Easily tradeable:</w:t>
      </w:r>
      <w:r w:rsidRPr="00F60598">
        <w:rPr>
          <w:rFonts w:ascii="Roboto" w:eastAsia="Times New Roman" w:hAnsi="Roboto" w:cs="Times New Roman"/>
          <w:color w:val="000000"/>
          <w:sz w:val="27"/>
          <w:szCs w:val="27"/>
        </w:rPr>
        <w:t> Like traditional ETFs, shares of leveraged ETFs trade in the open market like stocks.</w:t>
      </w:r>
    </w:p>
    <w:p w14:paraId="5756DD07" w14:textId="77777777" w:rsidR="006000DB" w:rsidRPr="00F60598" w:rsidRDefault="006000DB" w:rsidP="006000DB">
      <w:pPr>
        <w:numPr>
          <w:ilvl w:val="0"/>
          <w:numId w:val="2"/>
        </w:numPr>
        <w:shd w:val="clear" w:color="auto" w:fill="FFFFFF"/>
        <w:spacing w:before="100" w:beforeAutospacing="1" w:after="0" w:line="420" w:lineRule="atLeast"/>
        <w:rPr>
          <w:rFonts w:ascii="Roboto" w:eastAsia="Times New Roman" w:hAnsi="Roboto" w:cs="Times New Roman"/>
          <w:color w:val="000000"/>
          <w:sz w:val="27"/>
          <w:szCs w:val="27"/>
        </w:rPr>
      </w:pPr>
      <w:r w:rsidRPr="00F60598">
        <w:rPr>
          <w:rFonts w:ascii="Roboto" w:eastAsia="Times New Roman" w:hAnsi="Roboto" w:cs="Times New Roman"/>
          <w:b/>
          <w:bCs/>
          <w:color w:val="000000"/>
          <w:sz w:val="27"/>
          <w:szCs w:val="27"/>
        </w:rPr>
        <w:t>Potential for outsized returns:</w:t>
      </w:r>
      <w:r w:rsidRPr="00F60598">
        <w:rPr>
          <w:rFonts w:ascii="Roboto" w:eastAsia="Times New Roman" w:hAnsi="Roboto" w:cs="Times New Roman"/>
          <w:color w:val="000000"/>
          <w:sz w:val="27"/>
          <w:szCs w:val="27"/>
        </w:rPr>
        <w:t> Leveraged ETFs amplify the daily returns of an underlying benchmark index, providing the potential for larger gains than traditional ETFs.</w:t>
      </w:r>
    </w:p>
    <w:p w14:paraId="7BD90CAD" w14:textId="77777777" w:rsidR="009E4CDE" w:rsidRDefault="009E4CDE" w:rsidP="006000DB">
      <w:pPr>
        <w:shd w:val="clear" w:color="auto" w:fill="FFFFFF"/>
        <w:spacing w:after="240" w:line="240" w:lineRule="auto"/>
        <w:outlineLvl w:val="2"/>
        <w:rPr>
          <w:rFonts w:ascii="Roboto" w:eastAsia="Times New Roman" w:hAnsi="Roboto" w:cs="Times New Roman"/>
          <w:b/>
          <w:bCs/>
          <w:color w:val="000000"/>
          <w:sz w:val="27"/>
          <w:szCs w:val="27"/>
        </w:rPr>
      </w:pPr>
    </w:p>
    <w:p w14:paraId="170A4FE1" w14:textId="19DAD98F" w:rsidR="006000DB" w:rsidRPr="00F60598" w:rsidRDefault="006000DB" w:rsidP="006000DB">
      <w:pPr>
        <w:shd w:val="clear" w:color="auto" w:fill="FFFFFF"/>
        <w:spacing w:after="240" w:line="240" w:lineRule="auto"/>
        <w:outlineLvl w:val="2"/>
        <w:rPr>
          <w:rFonts w:ascii="Roboto" w:eastAsia="Times New Roman" w:hAnsi="Roboto" w:cs="Times New Roman"/>
          <w:b/>
          <w:bCs/>
          <w:color w:val="000000"/>
          <w:sz w:val="27"/>
          <w:szCs w:val="27"/>
        </w:rPr>
      </w:pPr>
      <w:r w:rsidRPr="00F60598">
        <w:rPr>
          <w:rFonts w:ascii="Roboto" w:eastAsia="Times New Roman" w:hAnsi="Roboto" w:cs="Times New Roman"/>
          <w:b/>
          <w:bCs/>
          <w:color w:val="000000"/>
          <w:sz w:val="27"/>
          <w:szCs w:val="27"/>
        </w:rPr>
        <w:t>Cons of Leveraged ETFs</w:t>
      </w:r>
    </w:p>
    <w:p w14:paraId="01A72B1B" w14:textId="77777777" w:rsidR="006000DB" w:rsidRPr="00F60598" w:rsidRDefault="006000DB" w:rsidP="006000DB">
      <w:pPr>
        <w:numPr>
          <w:ilvl w:val="0"/>
          <w:numId w:val="3"/>
        </w:numPr>
        <w:shd w:val="clear" w:color="auto" w:fill="FFFFFF"/>
        <w:spacing w:before="100" w:beforeAutospacing="1" w:after="300" w:line="420" w:lineRule="atLeast"/>
        <w:rPr>
          <w:rFonts w:ascii="Roboto" w:eastAsia="Times New Roman" w:hAnsi="Roboto" w:cs="Times New Roman"/>
          <w:color w:val="000000"/>
          <w:sz w:val="27"/>
          <w:szCs w:val="27"/>
        </w:rPr>
      </w:pPr>
      <w:r w:rsidRPr="00F60598">
        <w:rPr>
          <w:rFonts w:ascii="Roboto" w:eastAsia="Times New Roman" w:hAnsi="Roboto" w:cs="Times New Roman"/>
          <w:b/>
          <w:bCs/>
          <w:color w:val="000000"/>
          <w:sz w:val="27"/>
          <w:szCs w:val="27"/>
        </w:rPr>
        <w:t>Excessive market risk:</w:t>
      </w:r>
      <w:r w:rsidRPr="00F60598">
        <w:rPr>
          <w:rFonts w:ascii="Roboto" w:eastAsia="Times New Roman" w:hAnsi="Roboto" w:cs="Times New Roman"/>
          <w:color w:val="000000"/>
          <w:sz w:val="27"/>
          <w:szCs w:val="27"/>
        </w:rPr>
        <w:t> The potential for outsized gains brings with it the potential for outsized declines in value. Unless the market is constantly moving in the same direction, which is not typical, leveraged ETFs will generally see value erosion over time.</w:t>
      </w:r>
    </w:p>
    <w:p w14:paraId="052D5F6A" w14:textId="77777777" w:rsidR="006000DB" w:rsidRPr="00F60598" w:rsidRDefault="006000DB" w:rsidP="006000DB">
      <w:pPr>
        <w:numPr>
          <w:ilvl w:val="0"/>
          <w:numId w:val="3"/>
        </w:numPr>
        <w:shd w:val="clear" w:color="auto" w:fill="FFFFFF"/>
        <w:spacing w:before="100" w:beforeAutospacing="1" w:after="300" w:line="420" w:lineRule="atLeast"/>
        <w:rPr>
          <w:rFonts w:ascii="Roboto" w:eastAsia="Times New Roman" w:hAnsi="Roboto" w:cs="Times New Roman"/>
          <w:color w:val="000000"/>
          <w:sz w:val="27"/>
          <w:szCs w:val="27"/>
        </w:rPr>
      </w:pPr>
      <w:r w:rsidRPr="00F60598">
        <w:rPr>
          <w:rFonts w:ascii="Roboto" w:eastAsia="Times New Roman" w:hAnsi="Roboto" w:cs="Times New Roman"/>
          <w:b/>
          <w:bCs/>
          <w:color w:val="000000"/>
          <w:sz w:val="27"/>
          <w:szCs w:val="27"/>
        </w:rPr>
        <w:t>High fees:</w:t>
      </w:r>
      <w:r w:rsidRPr="00F60598">
        <w:rPr>
          <w:rFonts w:ascii="Roboto" w:eastAsia="Times New Roman" w:hAnsi="Roboto" w:cs="Times New Roman"/>
          <w:color w:val="000000"/>
          <w:sz w:val="27"/>
          <w:szCs w:val="27"/>
        </w:rPr>
        <w:t> Leveraged ETFs cost more to manage than traditional ETFs because of the additional expenses associated with trading financial derivatives.</w:t>
      </w:r>
    </w:p>
    <w:p w14:paraId="38B20641" w14:textId="77777777" w:rsidR="006000DB" w:rsidRPr="00F60598" w:rsidRDefault="006000DB" w:rsidP="006000DB">
      <w:pPr>
        <w:numPr>
          <w:ilvl w:val="0"/>
          <w:numId w:val="3"/>
        </w:numPr>
        <w:shd w:val="clear" w:color="auto" w:fill="FFFFFF"/>
        <w:spacing w:before="100" w:beforeAutospacing="1" w:after="0" w:line="420" w:lineRule="atLeast"/>
        <w:rPr>
          <w:rFonts w:ascii="Roboto" w:eastAsia="Times New Roman" w:hAnsi="Roboto" w:cs="Times New Roman"/>
          <w:color w:val="000000"/>
          <w:sz w:val="27"/>
          <w:szCs w:val="27"/>
        </w:rPr>
      </w:pPr>
      <w:r w:rsidRPr="00F60598">
        <w:rPr>
          <w:rFonts w:ascii="Roboto" w:eastAsia="Times New Roman" w:hAnsi="Roboto" w:cs="Times New Roman"/>
          <w:b/>
          <w:bCs/>
          <w:color w:val="000000"/>
          <w:sz w:val="27"/>
          <w:szCs w:val="27"/>
        </w:rPr>
        <w:t>Poor long-term holdings:</w:t>
      </w:r>
      <w:r w:rsidRPr="00F60598">
        <w:rPr>
          <w:rFonts w:ascii="Roboto" w:eastAsia="Times New Roman" w:hAnsi="Roboto" w:cs="Times New Roman"/>
          <w:color w:val="000000"/>
          <w:sz w:val="27"/>
          <w:szCs w:val="27"/>
        </w:rPr>
        <w:t> Since leveraged ETFs are intended to amplify the daily returns of a benchmark index, they should only be used as short-term holdings. Leveraged ETFs see long-term returns that do not track the index, generally experience value erosion over time, and do not amplify returns in equal measure.</w:t>
      </w:r>
    </w:p>
    <w:p w14:paraId="1132F176" w14:textId="6A65E7C6" w:rsidR="00892423" w:rsidRDefault="00892423" w:rsidP="002902D2">
      <w:pPr>
        <w:pStyle w:val="NoSpacing"/>
        <w:ind w:left="0"/>
        <w:rPr>
          <w:rFonts w:cs="Arial"/>
        </w:rPr>
      </w:pPr>
    </w:p>
    <w:p w14:paraId="00C672DA" w14:textId="5C4C067F" w:rsidR="002902D2" w:rsidRPr="0035442E" w:rsidRDefault="002902D2" w:rsidP="002902D2">
      <w:pPr>
        <w:ind w:left="720"/>
        <w:rPr>
          <w:i/>
          <w:iCs/>
          <w:sz w:val="24"/>
          <w:szCs w:val="24"/>
        </w:rPr>
      </w:pPr>
      <w:r w:rsidRPr="0035442E">
        <w:rPr>
          <w:b/>
          <w:bCs/>
          <w:i/>
          <w:iCs/>
          <w:sz w:val="24"/>
          <w:szCs w:val="24"/>
        </w:rPr>
        <w:t>FINRA Regulatory Notice 09-31:</w:t>
      </w:r>
      <w:r w:rsidRPr="0035442E">
        <w:rPr>
          <w:i/>
          <w:iCs/>
          <w:sz w:val="24"/>
          <w:szCs w:val="24"/>
        </w:rPr>
        <w:t xml:space="preserve"> “Exchange-traded funds (ETFs) that offer leverage or that are designed to perform inversely to the index or benchmark they track—or both—are growing in number and popularity. While such products may be useful in some sophisticated trading strategies, they are highly complex financial instruments that are typically designed to achieve their stated objectives </w:t>
      </w:r>
      <w:proofErr w:type="gramStart"/>
      <w:r w:rsidRPr="0035442E">
        <w:rPr>
          <w:i/>
          <w:iCs/>
          <w:sz w:val="24"/>
          <w:szCs w:val="24"/>
        </w:rPr>
        <w:t>on a daily basis</w:t>
      </w:r>
      <w:proofErr w:type="gramEnd"/>
      <w:r w:rsidRPr="0035442E">
        <w:rPr>
          <w:i/>
          <w:iCs/>
          <w:sz w:val="24"/>
          <w:szCs w:val="24"/>
        </w:rPr>
        <w:t xml:space="preserve">. </w:t>
      </w:r>
      <w:proofErr w:type="gramStart"/>
      <w:r w:rsidRPr="0035442E">
        <w:rPr>
          <w:i/>
          <w:iCs/>
          <w:sz w:val="24"/>
          <w:szCs w:val="24"/>
        </w:rPr>
        <w:t>Due to the effects</w:t>
      </w:r>
      <w:proofErr w:type="gramEnd"/>
      <w:r w:rsidRPr="0035442E">
        <w:rPr>
          <w:i/>
          <w:iCs/>
          <w:sz w:val="24"/>
          <w:szCs w:val="24"/>
        </w:rPr>
        <w:t xml:space="preserve"> of compounding, their performance over longer periods of time can differ significantly from their stated daily objective. Therefore, inverse and leveraged ETFs that are reset daily typically are unsuitable for retail investors who plan to hold them for longer than one trading session, particularly in volatile markets. </w:t>
      </w:r>
    </w:p>
    <w:sectPr w:rsidR="002902D2" w:rsidRPr="0035442E" w:rsidSect="008C5B71">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30D41"/>
    <w:multiLevelType w:val="multilevel"/>
    <w:tmpl w:val="528A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73A22"/>
    <w:multiLevelType w:val="multilevel"/>
    <w:tmpl w:val="D420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D3E9E"/>
    <w:multiLevelType w:val="multilevel"/>
    <w:tmpl w:val="05AE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7426A"/>
    <w:multiLevelType w:val="multilevel"/>
    <w:tmpl w:val="416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359874">
    <w:abstractNumId w:val="3"/>
  </w:num>
  <w:num w:numId="2" w16cid:durableId="1286816766">
    <w:abstractNumId w:val="0"/>
  </w:num>
  <w:num w:numId="3" w16cid:durableId="646668077">
    <w:abstractNumId w:val="2"/>
  </w:num>
  <w:num w:numId="4" w16cid:durableId="2062555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529C3"/>
    <w:rsid w:val="000327F9"/>
    <w:rsid w:val="0003301B"/>
    <w:rsid w:val="000D7160"/>
    <w:rsid w:val="00111408"/>
    <w:rsid w:val="00166439"/>
    <w:rsid w:val="00180603"/>
    <w:rsid w:val="0022110D"/>
    <w:rsid w:val="00250BFD"/>
    <w:rsid w:val="00274B7E"/>
    <w:rsid w:val="002902D2"/>
    <w:rsid w:val="0029283F"/>
    <w:rsid w:val="002E14C1"/>
    <w:rsid w:val="002E2889"/>
    <w:rsid w:val="002F43A8"/>
    <w:rsid w:val="00300E11"/>
    <w:rsid w:val="00327433"/>
    <w:rsid w:val="00374334"/>
    <w:rsid w:val="003A740F"/>
    <w:rsid w:val="004432AF"/>
    <w:rsid w:val="00482F53"/>
    <w:rsid w:val="004D2FA2"/>
    <w:rsid w:val="004E47BA"/>
    <w:rsid w:val="004F0F37"/>
    <w:rsid w:val="004F3A2C"/>
    <w:rsid w:val="005112FC"/>
    <w:rsid w:val="0051629A"/>
    <w:rsid w:val="0054134B"/>
    <w:rsid w:val="005818B3"/>
    <w:rsid w:val="005D2956"/>
    <w:rsid w:val="006000DB"/>
    <w:rsid w:val="006171EC"/>
    <w:rsid w:val="00681D30"/>
    <w:rsid w:val="00892423"/>
    <w:rsid w:val="0094037E"/>
    <w:rsid w:val="009545C1"/>
    <w:rsid w:val="009B5590"/>
    <w:rsid w:val="009E4CDE"/>
    <w:rsid w:val="009E5240"/>
    <w:rsid w:val="009E6AFC"/>
    <w:rsid w:val="009F77CC"/>
    <w:rsid w:val="00A1431E"/>
    <w:rsid w:val="00BB63B7"/>
    <w:rsid w:val="00BE23BD"/>
    <w:rsid w:val="00BF3212"/>
    <w:rsid w:val="00BF7120"/>
    <w:rsid w:val="00C239E2"/>
    <w:rsid w:val="00D272F9"/>
    <w:rsid w:val="00D30BA3"/>
    <w:rsid w:val="00D41740"/>
    <w:rsid w:val="00D75618"/>
    <w:rsid w:val="00DE5613"/>
    <w:rsid w:val="00E36F63"/>
    <w:rsid w:val="00F529C3"/>
    <w:rsid w:val="00F55794"/>
    <w:rsid w:val="00F60598"/>
    <w:rsid w:val="00F62B55"/>
    <w:rsid w:val="00F723B6"/>
    <w:rsid w:val="00FB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0B62"/>
  <w15:chartTrackingRefBased/>
  <w15:docId w15:val="{C2C82E71-CCE8-4128-BE61-F631533B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9C3"/>
    <w:pPr>
      <w:spacing w:after="0" w:line="240" w:lineRule="auto"/>
      <w:ind w:left="835"/>
    </w:pPr>
    <w:rPr>
      <w:rFonts w:ascii="Arial" w:eastAsia="Times New Roman" w:hAnsi="Arial" w:cs="Times New Roman"/>
      <w:spacing w:val="-5"/>
      <w:sz w:val="20"/>
      <w:szCs w:val="20"/>
    </w:rPr>
  </w:style>
  <w:style w:type="paragraph" w:customStyle="1" w:styleId="vertical-offset-base">
    <w:name w:val="vertical-offset-base"/>
    <w:basedOn w:val="Normal"/>
    <w:rsid w:val="002E14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14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20906">
      <w:bodyDiv w:val="1"/>
      <w:marLeft w:val="0"/>
      <w:marRight w:val="0"/>
      <w:marTop w:val="0"/>
      <w:marBottom w:val="0"/>
      <w:divBdr>
        <w:top w:val="none" w:sz="0" w:space="0" w:color="auto"/>
        <w:left w:val="none" w:sz="0" w:space="0" w:color="auto"/>
        <w:bottom w:val="none" w:sz="0" w:space="0" w:color="auto"/>
        <w:right w:val="none" w:sz="0" w:space="0" w:color="auto"/>
      </w:divBdr>
      <w:divsChild>
        <w:div w:id="1558082866">
          <w:marLeft w:val="0"/>
          <w:marRight w:val="0"/>
          <w:marTop w:val="0"/>
          <w:marBottom w:val="0"/>
          <w:divBdr>
            <w:top w:val="none" w:sz="0" w:space="0" w:color="auto"/>
            <w:left w:val="none" w:sz="0" w:space="0" w:color="auto"/>
            <w:bottom w:val="none" w:sz="0" w:space="0" w:color="auto"/>
            <w:right w:val="none" w:sz="0" w:space="0" w:color="auto"/>
          </w:divBdr>
          <w:divsChild>
            <w:div w:id="1556313906">
              <w:marLeft w:val="0"/>
              <w:marRight w:val="0"/>
              <w:marTop w:val="180"/>
              <w:marBottom w:val="180"/>
              <w:divBdr>
                <w:top w:val="none" w:sz="0" w:space="0" w:color="auto"/>
                <w:left w:val="none" w:sz="0" w:space="0" w:color="auto"/>
                <w:bottom w:val="none" w:sz="0" w:space="0" w:color="auto"/>
                <w:right w:val="none" w:sz="0" w:space="0" w:color="auto"/>
              </w:divBdr>
            </w:div>
          </w:divsChild>
        </w:div>
        <w:div w:id="1229531753">
          <w:marLeft w:val="0"/>
          <w:marRight w:val="0"/>
          <w:marTop w:val="0"/>
          <w:marBottom w:val="0"/>
          <w:divBdr>
            <w:top w:val="none" w:sz="0" w:space="0" w:color="auto"/>
            <w:left w:val="none" w:sz="0" w:space="0" w:color="auto"/>
            <w:bottom w:val="none" w:sz="0" w:space="0" w:color="auto"/>
            <w:right w:val="none" w:sz="0" w:space="0" w:color="auto"/>
          </w:divBdr>
          <w:divsChild>
            <w:div w:id="1389307124">
              <w:marLeft w:val="0"/>
              <w:marRight w:val="0"/>
              <w:marTop w:val="0"/>
              <w:marBottom w:val="0"/>
              <w:divBdr>
                <w:top w:val="none" w:sz="0" w:space="0" w:color="auto"/>
                <w:left w:val="none" w:sz="0" w:space="0" w:color="auto"/>
                <w:bottom w:val="none" w:sz="0" w:space="0" w:color="auto"/>
                <w:right w:val="none" w:sz="0" w:space="0" w:color="auto"/>
              </w:divBdr>
              <w:divsChild>
                <w:div w:id="1147819540">
                  <w:marLeft w:val="0"/>
                  <w:marRight w:val="0"/>
                  <w:marTop w:val="0"/>
                  <w:marBottom w:val="0"/>
                  <w:divBdr>
                    <w:top w:val="none" w:sz="0" w:space="0" w:color="auto"/>
                    <w:left w:val="none" w:sz="0" w:space="0" w:color="auto"/>
                    <w:bottom w:val="none" w:sz="0" w:space="0" w:color="auto"/>
                    <w:right w:val="none" w:sz="0" w:space="0" w:color="auto"/>
                  </w:divBdr>
                  <w:divsChild>
                    <w:div w:id="1831746658">
                      <w:marLeft w:val="0"/>
                      <w:marRight w:val="0"/>
                      <w:marTop w:val="0"/>
                      <w:marBottom w:val="0"/>
                      <w:divBdr>
                        <w:top w:val="none" w:sz="0" w:space="0" w:color="auto"/>
                        <w:left w:val="none" w:sz="0" w:space="0" w:color="auto"/>
                        <w:bottom w:val="none" w:sz="0" w:space="0" w:color="auto"/>
                        <w:right w:val="none" w:sz="0" w:space="0" w:color="auto"/>
                      </w:divBdr>
                      <w:divsChild>
                        <w:div w:id="1772967464">
                          <w:marLeft w:val="0"/>
                          <w:marRight w:val="0"/>
                          <w:marTop w:val="0"/>
                          <w:marBottom w:val="0"/>
                          <w:divBdr>
                            <w:top w:val="none" w:sz="0" w:space="0" w:color="auto"/>
                            <w:left w:val="none" w:sz="0" w:space="0" w:color="auto"/>
                            <w:bottom w:val="none" w:sz="0" w:space="0" w:color="auto"/>
                            <w:right w:val="none" w:sz="0" w:space="0" w:color="auto"/>
                          </w:divBdr>
                          <w:divsChild>
                            <w:div w:id="9493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864383">
      <w:bodyDiv w:val="1"/>
      <w:marLeft w:val="0"/>
      <w:marRight w:val="0"/>
      <w:marTop w:val="0"/>
      <w:marBottom w:val="0"/>
      <w:divBdr>
        <w:top w:val="none" w:sz="0" w:space="0" w:color="auto"/>
        <w:left w:val="none" w:sz="0" w:space="0" w:color="auto"/>
        <w:bottom w:val="none" w:sz="0" w:space="0" w:color="auto"/>
        <w:right w:val="none" w:sz="0" w:space="0" w:color="auto"/>
      </w:divBdr>
    </w:div>
    <w:div w:id="827133617">
      <w:bodyDiv w:val="1"/>
      <w:marLeft w:val="0"/>
      <w:marRight w:val="0"/>
      <w:marTop w:val="0"/>
      <w:marBottom w:val="0"/>
      <w:divBdr>
        <w:top w:val="none" w:sz="0" w:space="0" w:color="auto"/>
        <w:left w:val="none" w:sz="0" w:space="0" w:color="auto"/>
        <w:bottom w:val="none" w:sz="0" w:space="0" w:color="auto"/>
        <w:right w:val="none" w:sz="0" w:space="0" w:color="auto"/>
      </w:divBdr>
    </w:div>
    <w:div w:id="934050869">
      <w:bodyDiv w:val="1"/>
      <w:marLeft w:val="0"/>
      <w:marRight w:val="0"/>
      <w:marTop w:val="0"/>
      <w:marBottom w:val="0"/>
      <w:divBdr>
        <w:top w:val="none" w:sz="0" w:space="0" w:color="auto"/>
        <w:left w:val="none" w:sz="0" w:space="0" w:color="auto"/>
        <w:bottom w:val="none" w:sz="0" w:space="0" w:color="auto"/>
        <w:right w:val="none" w:sz="0" w:space="0" w:color="auto"/>
      </w:divBdr>
    </w:div>
    <w:div w:id="1179083342">
      <w:bodyDiv w:val="1"/>
      <w:marLeft w:val="0"/>
      <w:marRight w:val="0"/>
      <w:marTop w:val="0"/>
      <w:marBottom w:val="0"/>
      <w:divBdr>
        <w:top w:val="none" w:sz="0" w:space="0" w:color="auto"/>
        <w:left w:val="none" w:sz="0" w:space="0" w:color="auto"/>
        <w:bottom w:val="none" w:sz="0" w:space="0" w:color="auto"/>
        <w:right w:val="none" w:sz="0" w:space="0" w:color="auto"/>
      </w:divBdr>
      <w:divsChild>
        <w:div w:id="1114639144">
          <w:marLeft w:val="0"/>
          <w:marRight w:val="0"/>
          <w:marTop w:val="0"/>
          <w:marBottom w:val="0"/>
          <w:divBdr>
            <w:top w:val="none" w:sz="0" w:space="0" w:color="auto"/>
            <w:left w:val="none" w:sz="0" w:space="0" w:color="auto"/>
            <w:bottom w:val="none" w:sz="0" w:space="0" w:color="auto"/>
            <w:right w:val="none" w:sz="0" w:space="0" w:color="auto"/>
          </w:divBdr>
          <w:divsChild>
            <w:div w:id="154079131">
              <w:marLeft w:val="0"/>
              <w:marRight w:val="0"/>
              <w:marTop w:val="180"/>
              <w:marBottom w:val="180"/>
              <w:divBdr>
                <w:top w:val="none" w:sz="0" w:space="0" w:color="auto"/>
                <w:left w:val="none" w:sz="0" w:space="0" w:color="auto"/>
                <w:bottom w:val="none" w:sz="0" w:space="0" w:color="auto"/>
                <w:right w:val="none" w:sz="0" w:space="0" w:color="auto"/>
              </w:divBdr>
            </w:div>
          </w:divsChild>
        </w:div>
        <w:div w:id="518205302">
          <w:marLeft w:val="0"/>
          <w:marRight w:val="0"/>
          <w:marTop w:val="0"/>
          <w:marBottom w:val="0"/>
          <w:divBdr>
            <w:top w:val="none" w:sz="0" w:space="0" w:color="auto"/>
            <w:left w:val="none" w:sz="0" w:space="0" w:color="auto"/>
            <w:bottom w:val="none" w:sz="0" w:space="0" w:color="auto"/>
            <w:right w:val="none" w:sz="0" w:space="0" w:color="auto"/>
          </w:divBdr>
          <w:divsChild>
            <w:div w:id="728186665">
              <w:marLeft w:val="0"/>
              <w:marRight w:val="0"/>
              <w:marTop w:val="0"/>
              <w:marBottom w:val="0"/>
              <w:divBdr>
                <w:top w:val="none" w:sz="0" w:space="0" w:color="auto"/>
                <w:left w:val="none" w:sz="0" w:space="0" w:color="auto"/>
                <w:bottom w:val="none" w:sz="0" w:space="0" w:color="auto"/>
                <w:right w:val="none" w:sz="0" w:space="0" w:color="auto"/>
              </w:divBdr>
              <w:divsChild>
                <w:div w:id="1004354585">
                  <w:marLeft w:val="0"/>
                  <w:marRight w:val="0"/>
                  <w:marTop w:val="0"/>
                  <w:marBottom w:val="0"/>
                  <w:divBdr>
                    <w:top w:val="none" w:sz="0" w:space="0" w:color="auto"/>
                    <w:left w:val="none" w:sz="0" w:space="0" w:color="auto"/>
                    <w:bottom w:val="none" w:sz="0" w:space="0" w:color="auto"/>
                    <w:right w:val="none" w:sz="0" w:space="0" w:color="auto"/>
                  </w:divBdr>
                  <w:divsChild>
                    <w:div w:id="1129467991">
                      <w:marLeft w:val="0"/>
                      <w:marRight w:val="0"/>
                      <w:marTop w:val="0"/>
                      <w:marBottom w:val="0"/>
                      <w:divBdr>
                        <w:top w:val="none" w:sz="0" w:space="0" w:color="auto"/>
                        <w:left w:val="none" w:sz="0" w:space="0" w:color="auto"/>
                        <w:bottom w:val="none" w:sz="0" w:space="0" w:color="auto"/>
                        <w:right w:val="none" w:sz="0" w:space="0" w:color="auto"/>
                      </w:divBdr>
                      <w:divsChild>
                        <w:div w:id="1633244014">
                          <w:marLeft w:val="0"/>
                          <w:marRight w:val="0"/>
                          <w:marTop w:val="0"/>
                          <w:marBottom w:val="0"/>
                          <w:divBdr>
                            <w:top w:val="none" w:sz="0" w:space="0" w:color="auto"/>
                            <w:left w:val="none" w:sz="0" w:space="0" w:color="auto"/>
                            <w:bottom w:val="none" w:sz="0" w:space="0" w:color="auto"/>
                            <w:right w:val="none" w:sz="0" w:space="0" w:color="auto"/>
                          </w:divBdr>
                          <w:divsChild>
                            <w:div w:id="2054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847545">
      <w:bodyDiv w:val="1"/>
      <w:marLeft w:val="0"/>
      <w:marRight w:val="0"/>
      <w:marTop w:val="0"/>
      <w:marBottom w:val="0"/>
      <w:divBdr>
        <w:top w:val="none" w:sz="0" w:space="0" w:color="auto"/>
        <w:left w:val="none" w:sz="0" w:space="0" w:color="auto"/>
        <w:bottom w:val="none" w:sz="0" w:space="0" w:color="auto"/>
        <w:right w:val="none" w:sz="0" w:space="0" w:color="auto"/>
      </w:divBdr>
    </w:div>
    <w:div w:id="2072846652">
      <w:bodyDiv w:val="1"/>
      <w:marLeft w:val="0"/>
      <w:marRight w:val="0"/>
      <w:marTop w:val="0"/>
      <w:marBottom w:val="0"/>
      <w:divBdr>
        <w:top w:val="none" w:sz="0" w:space="0" w:color="auto"/>
        <w:left w:val="none" w:sz="0" w:space="0" w:color="auto"/>
        <w:bottom w:val="none" w:sz="0" w:space="0" w:color="auto"/>
        <w:right w:val="none" w:sz="0" w:space="0" w:color="auto"/>
      </w:divBdr>
    </w:div>
    <w:div w:id="2133667543">
      <w:bodyDiv w:val="1"/>
      <w:marLeft w:val="0"/>
      <w:marRight w:val="0"/>
      <w:marTop w:val="0"/>
      <w:marBottom w:val="0"/>
      <w:divBdr>
        <w:top w:val="none" w:sz="0" w:space="0" w:color="auto"/>
        <w:left w:val="none" w:sz="0" w:space="0" w:color="auto"/>
        <w:bottom w:val="none" w:sz="0" w:space="0" w:color="auto"/>
        <w:right w:val="none" w:sz="0" w:space="0" w:color="auto"/>
      </w:divBdr>
      <w:divsChild>
        <w:div w:id="1796679587">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ra.org/fundanalyzer" TargetMode="External"/><Relationship Id="rId5" Type="http://schemas.openxmlformats.org/officeDocument/2006/relationships/hyperlink" Target="https://seekingalpha.com/article/4451904-how-to-short-stock?source=content_type%3Areact%7Csection%3Amain_content%7Cbutton%3Abody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781</TotalTime>
  <Pages>5</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Richter</dc:creator>
  <cp:keywords/>
  <dc:description/>
  <cp:lastModifiedBy>Nancy Richter</cp:lastModifiedBy>
  <cp:revision>35</cp:revision>
  <dcterms:created xsi:type="dcterms:W3CDTF">2022-08-31T20:22:00Z</dcterms:created>
  <dcterms:modified xsi:type="dcterms:W3CDTF">2023-01-05T18:10:00Z</dcterms:modified>
</cp:coreProperties>
</file>