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E642" w14:textId="6A8DAEA0" w:rsidR="00512E56" w:rsidRPr="00482198" w:rsidRDefault="002D2D37" w:rsidP="00A608F6">
      <w:pPr>
        <w:pStyle w:val="Heading1"/>
        <w:jc w:val="center"/>
        <w:rPr>
          <w:w w:val="102"/>
        </w:rPr>
      </w:pPr>
      <w:r>
        <w:rPr>
          <w:color w:val="4C76C5"/>
          <w:w w:val="102"/>
        </w:rPr>
        <w:t xml:space="preserve">Dosage Probation </w:t>
      </w:r>
      <w:r w:rsidR="0000771C" w:rsidRPr="00547112">
        <w:rPr>
          <w:color w:val="4C76C5"/>
          <w:w w:val="102"/>
        </w:rPr>
        <w:t>Readiness</w:t>
      </w:r>
      <w:r w:rsidR="0000771C">
        <w:rPr>
          <w:w w:val="102"/>
        </w:rPr>
        <w:t xml:space="preserve"> Assessment</w:t>
      </w:r>
      <w:r w:rsidR="00A9685D">
        <w:rPr>
          <w:w w:val="102"/>
        </w:rPr>
        <w:t>:</w:t>
      </w:r>
      <w:r w:rsidR="00A608F6">
        <w:rPr>
          <w:w w:val="102"/>
        </w:rPr>
        <w:t xml:space="preserve"> </w:t>
      </w:r>
      <w:r>
        <w:rPr>
          <w:w w:val="102"/>
        </w:rPr>
        <w:t xml:space="preserve">Jurisdiction </w:t>
      </w:r>
      <w:r w:rsidR="00512E56">
        <w:rPr>
          <w:w w:val="102"/>
        </w:rPr>
        <w:t>Rating</w:t>
      </w:r>
      <w:r w:rsidR="00547112">
        <w:rPr>
          <w:w w:val="102"/>
        </w:rPr>
        <w:t xml:space="preserve"> Form</w:t>
      </w:r>
    </w:p>
    <w:p w14:paraId="26633D6E" w14:textId="77777777" w:rsidR="00512E56" w:rsidRDefault="00B66689" w:rsidP="00A608F6">
      <w:pPr>
        <w:pStyle w:val="Heading2"/>
        <w:spacing w:before="240"/>
      </w:pPr>
      <w:r w:rsidRPr="00547112">
        <w:t>Introduction</w:t>
      </w:r>
    </w:p>
    <w:p w14:paraId="48387B6E" w14:textId="1D2F3087" w:rsidR="00285159" w:rsidRDefault="00512E56" w:rsidP="00B66689">
      <w:r>
        <w:t xml:space="preserve">The </w:t>
      </w:r>
      <w:r w:rsidR="00A9685D">
        <w:t xml:space="preserve">Dosage Probation </w:t>
      </w:r>
      <w:r>
        <w:t>Readiness Assessment</w:t>
      </w:r>
      <w:r w:rsidR="00A9685D">
        <w:t>: Jurisdiction</w:t>
      </w:r>
      <w:r>
        <w:t xml:space="preserve"> Rating Form</w:t>
      </w:r>
      <w:r w:rsidR="00285159">
        <w:t xml:space="preserve"> assists local authorities in assessing the preparedness of their jurisdiction to implement the dosage probation model.</w:t>
      </w:r>
    </w:p>
    <w:p w14:paraId="39E3F5F7" w14:textId="77777777" w:rsidR="00285159" w:rsidRDefault="00285159" w:rsidP="00B66689"/>
    <w:p w14:paraId="1E020905" w14:textId="4B8E014A" w:rsidR="00C34078" w:rsidRDefault="00285159" w:rsidP="00C34078">
      <w:r>
        <w:t xml:space="preserve">The rating form </w:t>
      </w:r>
      <w:r w:rsidR="00512E56">
        <w:t xml:space="preserve">consists of </w:t>
      </w:r>
      <w:r>
        <w:t xml:space="preserve">three </w:t>
      </w:r>
      <w:r w:rsidR="00512E56">
        <w:t>parts: (1) Legal/Statutory Authority to Grant Early Termination, (</w:t>
      </w:r>
      <w:r>
        <w:t>2</w:t>
      </w:r>
      <w:r w:rsidR="00512E56">
        <w:t>) Stakeholder Interest in the Dosage Probation Model, and (</w:t>
      </w:r>
      <w:r>
        <w:t>3</w:t>
      </w:r>
      <w:r w:rsidR="00512E56">
        <w:t>) Community Service Provider Capacity to Deliver Evidence-Based Dosage Hours.</w:t>
      </w:r>
      <w:r w:rsidR="008479BE">
        <w:t xml:space="preserve"> </w:t>
      </w:r>
      <w:r w:rsidR="00547112">
        <w:t>Each part corresponds with a</w:t>
      </w:r>
      <w:r w:rsidR="00397022">
        <w:t xml:space="preserve"> readiness assessment</w:t>
      </w:r>
      <w:r w:rsidR="00547112">
        <w:t xml:space="preserve"> step and activities described in the </w:t>
      </w:r>
      <w:r w:rsidR="00547112">
        <w:rPr>
          <w:i/>
        </w:rPr>
        <w:t>Dosage Probation Toolkit</w:t>
      </w:r>
      <w:r w:rsidR="00547112">
        <w:t xml:space="preserve">. </w:t>
      </w:r>
      <w:r w:rsidR="008479BE">
        <w:t xml:space="preserve">Complete this rating form as you complete </w:t>
      </w:r>
      <w:r w:rsidR="00B56DFD">
        <w:t>each step</w:t>
      </w:r>
      <w:r w:rsidR="00A608F6">
        <w:t xml:space="preserve"> </w:t>
      </w:r>
      <w:r w:rsidR="00BB31E8">
        <w:t>to</w:t>
      </w:r>
      <w:r w:rsidR="00C34078">
        <w:t xml:space="preserve"> </w:t>
      </w:r>
      <w:r w:rsidR="008479BE">
        <w:t>identify your jurisdiction</w:t>
      </w:r>
      <w:r w:rsidR="009B4938">
        <w:t>'</w:t>
      </w:r>
      <w:r w:rsidR="008479BE">
        <w:t>s areas of strength, opportunities for improvement, and significant challenge</w:t>
      </w:r>
      <w:r w:rsidR="009B4938">
        <w:t>s, if any,</w:t>
      </w:r>
      <w:r w:rsidR="008479BE">
        <w:t xml:space="preserve"> regarding </w:t>
      </w:r>
      <w:r w:rsidR="009B4938">
        <w:t>implementing</w:t>
      </w:r>
      <w:r w:rsidR="008479BE">
        <w:t xml:space="preserve"> the dosage probation model. </w:t>
      </w:r>
      <w:r w:rsidR="00A608F6">
        <w:t>Use the</w:t>
      </w:r>
      <w:r w:rsidR="00C34078">
        <w:t xml:space="preserve"> Dosage Probation Implementation Checklist in the </w:t>
      </w:r>
      <w:r w:rsidR="00C34078">
        <w:rPr>
          <w:i/>
        </w:rPr>
        <w:t xml:space="preserve">Dosage Probation </w:t>
      </w:r>
      <w:r w:rsidR="00C34078" w:rsidRPr="00F61A92">
        <w:rPr>
          <w:i/>
        </w:rPr>
        <w:t>Toolkit</w:t>
      </w:r>
      <w:r w:rsidR="00C34078">
        <w:t xml:space="preserve"> </w:t>
      </w:r>
      <w:r w:rsidR="00A608F6">
        <w:t xml:space="preserve">to </w:t>
      </w:r>
      <w:r w:rsidR="00C34078">
        <w:t>identify the minimum requirements for implementation.</w:t>
      </w:r>
    </w:p>
    <w:p w14:paraId="3EF713B5" w14:textId="77777777" w:rsidR="00C34078" w:rsidRDefault="00C34078" w:rsidP="00C34078"/>
    <w:p w14:paraId="1F527389" w14:textId="168BEF4A" w:rsidR="009B4938" w:rsidRDefault="009B4938" w:rsidP="00C34078">
      <w:r>
        <w:t xml:space="preserve">The ratings </w:t>
      </w:r>
      <w:r w:rsidR="00C34078">
        <w:t xml:space="preserve">in this rating form </w:t>
      </w:r>
      <w:r>
        <w:t>are defined as follows:</w:t>
      </w:r>
    </w:p>
    <w:p w14:paraId="392701F2" w14:textId="77777777" w:rsidR="009B4938" w:rsidRDefault="009B4938" w:rsidP="00B66689"/>
    <w:p w14:paraId="28827D14" w14:textId="6BDEE138" w:rsidR="009B4938" w:rsidRPr="007E73E0" w:rsidRDefault="009B4938" w:rsidP="009B4938">
      <w:pPr>
        <w:pStyle w:val="ListParagraph"/>
        <w:numPr>
          <w:ilvl w:val="0"/>
          <w:numId w:val="20"/>
        </w:numPr>
        <w:spacing w:after="120"/>
      </w:pPr>
      <w:r w:rsidRPr="008C4884">
        <w:rPr>
          <w:color w:val="2C4D8B" w:themeColor="accent1" w:themeShade="80"/>
        </w:rPr>
        <w:t xml:space="preserve">Area of Strength – </w:t>
      </w:r>
      <w:r w:rsidR="007E73E0" w:rsidRPr="007E73E0">
        <w:t>The current quality</w:t>
      </w:r>
      <w:r w:rsidR="00666C4A">
        <w:t xml:space="preserve"> or state of affairs surrounding </w:t>
      </w:r>
      <w:r w:rsidR="007E73E0" w:rsidRPr="007E73E0">
        <w:t xml:space="preserve">the item supports implementation. </w:t>
      </w:r>
      <w:r w:rsidR="00A608F6">
        <w:t>N</w:t>
      </w:r>
      <w:r w:rsidR="007E73E0" w:rsidRPr="007E73E0">
        <w:t>o issues</w:t>
      </w:r>
      <w:r w:rsidR="00F61A92">
        <w:t>,</w:t>
      </w:r>
      <w:r w:rsidR="007E73E0" w:rsidRPr="007E73E0">
        <w:t xml:space="preserve"> or </w:t>
      </w:r>
      <w:r w:rsidR="00AF3E12">
        <w:t xml:space="preserve">a </w:t>
      </w:r>
      <w:r w:rsidR="007E73E0" w:rsidRPr="007E73E0">
        <w:t>few relatively minor issues</w:t>
      </w:r>
      <w:r w:rsidR="00AF3E12">
        <w:t>,</w:t>
      </w:r>
      <w:r w:rsidR="00666C4A">
        <w:t xml:space="preserve"> </w:t>
      </w:r>
      <w:r w:rsidR="00A608F6">
        <w:t xml:space="preserve">are </w:t>
      </w:r>
      <w:r w:rsidR="007E73E0" w:rsidRPr="007E73E0">
        <w:t>noted for improvement.</w:t>
      </w:r>
      <w:r w:rsidR="00B56DFD">
        <w:t xml:space="preserve"> For example, your jurisdiction has the express legal/statutory authority to permit early termination from probation</w:t>
      </w:r>
      <w:r w:rsidR="00AF3E12">
        <w:t>,</w:t>
      </w:r>
      <w:r w:rsidR="00500BAA">
        <w:t xml:space="preserve"> and any stipulations pose little or no </w:t>
      </w:r>
      <w:r w:rsidR="00AF3E12">
        <w:t xml:space="preserve">foreseeable </w:t>
      </w:r>
      <w:r w:rsidR="00A608F6">
        <w:t>barrier</w:t>
      </w:r>
      <w:r w:rsidR="00500BAA">
        <w:t xml:space="preserve"> to implementation</w:t>
      </w:r>
      <w:r w:rsidR="00B56DFD">
        <w:t>.</w:t>
      </w:r>
    </w:p>
    <w:p w14:paraId="31052BC7" w14:textId="77777777" w:rsidR="009B4938" w:rsidRPr="007E73E0" w:rsidRDefault="009B4938" w:rsidP="009B4938">
      <w:pPr>
        <w:pStyle w:val="ListParagraph"/>
        <w:numPr>
          <w:ilvl w:val="0"/>
          <w:numId w:val="20"/>
        </w:numPr>
        <w:spacing w:after="120"/>
      </w:pPr>
      <w:r w:rsidRPr="008C4884">
        <w:rPr>
          <w:color w:val="2C4D8B" w:themeColor="accent1" w:themeShade="80"/>
        </w:rPr>
        <w:t xml:space="preserve">Opportunity for Improvement – </w:t>
      </w:r>
      <w:r w:rsidR="00666C4A">
        <w:t>The current quality or state of affairs surrounding the item generally support</w:t>
      </w:r>
      <w:r w:rsidR="00B236A1">
        <w:t>s</w:t>
      </w:r>
      <w:r w:rsidR="00666C4A">
        <w:t xml:space="preserve"> implementation</w:t>
      </w:r>
      <w:r w:rsidR="00B236A1">
        <w:t xml:space="preserve">; however, </w:t>
      </w:r>
      <w:r w:rsidR="00666C4A">
        <w:t>a</w:t>
      </w:r>
      <w:r w:rsidRPr="007E73E0">
        <w:t xml:space="preserve">ction(s) </w:t>
      </w:r>
      <w:r w:rsidR="008677DA">
        <w:t>should be</w:t>
      </w:r>
      <w:r w:rsidRPr="007E73E0">
        <w:t xml:space="preserve"> taken</w:t>
      </w:r>
      <w:r w:rsidR="00666C4A">
        <w:t xml:space="preserve"> during</w:t>
      </w:r>
      <w:r w:rsidR="00F61A92">
        <w:t xml:space="preserve"> the phases of</w:t>
      </w:r>
      <w:r w:rsidR="00666C4A">
        <w:t xml:space="preserve"> implementation to ensure the </w:t>
      </w:r>
      <w:r w:rsidR="00B236A1">
        <w:t xml:space="preserve">item's essential elements are in </w:t>
      </w:r>
      <w:r w:rsidR="00666C4A">
        <w:t>place. For example, community service providers</w:t>
      </w:r>
      <w:r w:rsidR="00F61A92">
        <w:t xml:space="preserve"> are</w:t>
      </w:r>
      <w:r w:rsidR="00666C4A">
        <w:t xml:space="preserve"> interested in a dosage probation partnership but </w:t>
      </w:r>
      <w:r w:rsidR="007B5389">
        <w:t>lack</w:t>
      </w:r>
      <w:r w:rsidR="00666C4A">
        <w:t xml:space="preserve"> </w:t>
      </w:r>
      <w:r w:rsidR="00F61A92">
        <w:t xml:space="preserve">the </w:t>
      </w:r>
      <w:r w:rsidR="00666C4A">
        <w:t>resources to deliver evidence-based dosage hours. The probation agency</w:t>
      </w:r>
      <w:r w:rsidR="00926C89">
        <w:t>—assuming it has the resources—</w:t>
      </w:r>
      <w:r w:rsidR="00666C4A">
        <w:t xml:space="preserve">could assist </w:t>
      </w:r>
      <w:r w:rsidR="00EE69F9">
        <w:t xml:space="preserve">the </w:t>
      </w:r>
      <w:r w:rsidR="00B236A1">
        <w:t>providers in building their capacity</w:t>
      </w:r>
      <w:r w:rsidR="00666C4A">
        <w:t xml:space="preserve"> by</w:t>
      </w:r>
      <w:r w:rsidR="00E0377C">
        <w:t xml:space="preserve"> consulting with or</w:t>
      </w:r>
      <w:r w:rsidR="00666C4A">
        <w:t xml:space="preserve"> training them on evidence-based curricula, helping to secure funding</w:t>
      </w:r>
      <w:r w:rsidR="00B236A1">
        <w:t xml:space="preserve"> for programs</w:t>
      </w:r>
      <w:r w:rsidR="00666C4A">
        <w:t xml:space="preserve">, etc. </w:t>
      </w:r>
    </w:p>
    <w:p w14:paraId="2E6D3E05" w14:textId="464DBBE3" w:rsidR="009B4938" w:rsidRPr="007E73E0" w:rsidRDefault="009B4938" w:rsidP="009B4938">
      <w:pPr>
        <w:pStyle w:val="ListParagraph"/>
        <w:numPr>
          <w:ilvl w:val="0"/>
          <w:numId w:val="20"/>
        </w:numPr>
      </w:pPr>
      <w:r w:rsidRPr="008C4884">
        <w:rPr>
          <w:color w:val="2C4D8B" w:themeColor="accent1" w:themeShade="80"/>
        </w:rPr>
        <w:t xml:space="preserve">Significant Challenges Noted – </w:t>
      </w:r>
      <w:r w:rsidR="007E73E0" w:rsidRPr="007E73E0">
        <w:t xml:space="preserve">The current quality or </w:t>
      </w:r>
      <w:r w:rsidR="00666C4A">
        <w:t>state of affairs surrounding</w:t>
      </w:r>
      <w:r w:rsidR="007E73E0" w:rsidRPr="007E73E0">
        <w:t xml:space="preserve"> the item </w:t>
      </w:r>
      <w:r w:rsidR="00666C4A">
        <w:t>impedes</w:t>
      </w:r>
      <w:r w:rsidR="007E73E0" w:rsidRPr="007E73E0">
        <w:t xml:space="preserve"> implementation. </w:t>
      </w:r>
      <w:r w:rsidR="007E73E0">
        <w:t>Further action is required</w:t>
      </w:r>
      <w:r w:rsidR="00666C4A">
        <w:t xml:space="preserve"> before </w:t>
      </w:r>
      <w:r w:rsidR="007E73E0">
        <w:t xml:space="preserve">implementation </w:t>
      </w:r>
      <w:r w:rsidR="00F61A92">
        <w:t xml:space="preserve">should </w:t>
      </w:r>
      <w:r w:rsidR="00500BAA">
        <w:t>occur</w:t>
      </w:r>
      <w:r w:rsidR="007E73E0">
        <w:t>.</w:t>
      </w:r>
      <w:r w:rsidR="00B236A1">
        <w:t xml:space="preserve"> </w:t>
      </w:r>
      <w:r w:rsidR="00B236A1" w:rsidRPr="00F61A92">
        <w:t>For</w:t>
      </w:r>
      <w:r w:rsidR="00B236A1">
        <w:t xml:space="preserve"> example, </w:t>
      </w:r>
      <w:r w:rsidR="00F61A92">
        <w:t xml:space="preserve">a </w:t>
      </w:r>
      <w:r w:rsidR="00B236A1">
        <w:t>critical system stakeholder (</w:t>
      </w:r>
      <w:r w:rsidR="00A9685D">
        <w:t>e.g</w:t>
      </w:r>
      <w:r w:rsidR="00B236A1">
        <w:t xml:space="preserve">., chief judge, elected district attorney, etc.) </w:t>
      </w:r>
      <w:r w:rsidR="00A608F6">
        <w:t>opposes implementation or is unwilling</w:t>
      </w:r>
      <w:r w:rsidR="00B236A1">
        <w:t xml:space="preserve"> to serve on the Dosage Probation Policy Team</w:t>
      </w:r>
      <w:r w:rsidR="00377A51">
        <w:t xml:space="preserve">. </w:t>
      </w:r>
      <w:r w:rsidR="00F61A92">
        <w:t>Additional</w:t>
      </w:r>
      <w:r w:rsidR="00B236A1">
        <w:t xml:space="preserve"> efforts must be made to secure their </w:t>
      </w:r>
      <w:r w:rsidR="00F51A7E">
        <w:t xml:space="preserve">support </w:t>
      </w:r>
      <w:r w:rsidR="00B236A1">
        <w:t>before implementation begin</w:t>
      </w:r>
      <w:r w:rsidR="00F61A92">
        <w:t>s</w:t>
      </w:r>
      <w:r w:rsidR="00B236A1">
        <w:t xml:space="preserve">. </w:t>
      </w:r>
      <w:r w:rsidR="00377A51">
        <w:br/>
      </w:r>
    </w:p>
    <w:p w14:paraId="2FF11FA8" w14:textId="63F89A17" w:rsidR="009B4938" w:rsidRDefault="00811C4C" w:rsidP="00B66689">
      <w:r w:rsidRPr="00811C4C">
        <w:t>Be as objective and thorough as possible to ensure your jurisdiction’s strengths</w:t>
      </w:r>
      <w:r>
        <w:t>,</w:t>
      </w:r>
      <w:r w:rsidRPr="00811C4C">
        <w:t xml:space="preserve"> opportunities for improvement</w:t>
      </w:r>
      <w:r>
        <w:t>, and significant challenges (if any)</w:t>
      </w:r>
      <w:r w:rsidRPr="00811C4C">
        <w:t xml:space="preserve"> are </w:t>
      </w:r>
      <w:r>
        <w:t>accurately represented</w:t>
      </w:r>
      <w:r w:rsidRPr="00811C4C">
        <w:t xml:space="preserve">. </w:t>
      </w:r>
      <w:r w:rsidR="003A026D">
        <w:t xml:space="preserve">The </w:t>
      </w:r>
      <w:r>
        <w:t>ratings and comments regarding your jurisdiction’s strengths and opportunities for improvement can be used to frame future policy discussions and drive other implementation activities.</w:t>
      </w:r>
    </w:p>
    <w:p w14:paraId="505841B4" w14:textId="77777777" w:rsidR="00A46A65" w:rsidRDefault="00A46A65" w:rsidP="00B66689">
      <w:pPr>
        <w:sectPr w:rsidR="00A46A65" w:rsidSect="00547112">
          <w:headerReference w:type="default" r:id="rId8"/>
          <w:footerReference w:type="even" r:id="rId9"/>
          <w:footerReference w:type="default" r:id="rId10"/>
          <w:pgSz w:w="15840" w:h="12240" w:orient="landscape"/>
          <w:pgMar w:top="1440" w:right="1080" w:bottom="1584" w:left="1800" w:header="288" w:footer="288" w:gutter="0"/>
          <w:cols w:space="720"/>
          <w:docGrid w:linePitch="304"/>
        </w:sectPr>
      </w:pPr>
    </w:p>
    <w:p w14:paraId="64DD6FC7" w14:textId="68D69E40" w:rsidR="00262073" w:rsidRPr="0091117E" w:rsidRDefault="00512E56" w:rsidP="00A74A93">
      <w:pPr>
        <w:pStyle w:val="Heading2"/>
        <w:spacing w:before="320"/>
      </w:pPr>
      <w:r>
        <w:lastRenderedPageBreak/>
        <w:t>Part 1: Legal/Statutory Authority to Grant Early Termination</w:t>
      </w:r>
    </w:p>
    <w:p w14:paraId="1E1619E2" w14:textId="129FB16C" w:rsidR="008479BE" w:rsidRDefault="00512E56" w:rsidP="008479BE">
      <w:pPr>
        <w:pStyle w:val="BL-Blue-NoIndent"/>
        <w:numPr>
          <w:ilvl w:val="0"/>
          <w:numId w:val="0"/>
        </w:numPr>
        <w:spacing w:after="0"/>
      </w:pPr>
      <w:r w:rsidRPr="00512E56">
        <w:t>The dosage probation model is predicated on people's ability to earn early termination from supervision through earnest engagement in interventions that reduce their likelihood of recidivism.</w:t>
      </w:r>
      <w:r>
        <w:t xml:space="preserve"> </w:t>
      </w:r>
      <w:r w:rsidR="00547112">
        <w:t xml:space="preserve">Part 1 of the assessment determines whether statutory and/or local legal provisions allow the probation agency, court, and/or another entity </w:t>
      </w:r>
      <w:r w:rsidR="00A9685D">
        <w:t xml:space="preserve">the </w:t>
      </w:r>
      <w:r w:rsidR="00547112">
        <w:t xml:space="preserve">authority to grant early discharge from probation. </w:t>
      </w:r>
    </w:p>
    <w:p w14:paraId="50EBBEDA" w14:textId="77777777" w:rsidR="008479BE" w:rsidRDefault="008479BE" w:rsidP="008479BE">
      <w:pPr>
        <w:pStyle w:val="BL-Blue-NoIndent"/>
        <w:numPr>
          <w:ilvl w:val="0"/>
          <w:numId w:val="0"/>
        </w:numPr>
        <w:spacing w:after="0"/>
      </w:pPr>
    </w:p>
    <w:p w14:paraId="7F05A388" w14:textId="198032EB" w:rsidR="00512E56" w:rsidRDefault="00547112" w:rsidP="008479BE">
      <w:pPr>
        <w:pStyle w:val="BL-Blue-NoIndent"/>
        <w:numPr>
          <w:ilvl w:val="0"/>
          <w:numId w:val="0"/>
        </w:numPr>
        <w:spacing w:after="0"/>
      </w:pPr>
      <w:r>
        <w:t>Record your comments and</w:t>
      </w:r>
      <w:r w:rsidR="008479BE">
        <w:t xml:space="preserve"> overall</w:t>
      </w:r>
      <w:r>
        <w:t xml:space="preserve"> rating below based on </w:t>
      </w:r>
      <w:r w:rsidR="001E418D">
        <w:t xml:space="preserve">the guidance </w:t>
      </w:r>
      <w:r>
        <w:t xml:space="preserve">in the </w:t>
      </w:r>
      <w:r w:rsidRPr="00547112">
        <w:rPr>
          <w:i/>
        </w:rPr>
        <w:t>Dosage Probation Toolkit</w:t>
      </w:r>
      <w:r>
        <w:t>.</w:t>
      </w:r>
      <w:r w:rsidR="00EC7D9D">
        <w:t xml:space="preserve"> Use the Dosage Probation Implementation Checklist in the </w:t>
      </w:r>
      <w:r w:rsidR="00EC7D9D">
        <w:rPr>
          <w:i/>
        </w:rPr>
        <w:t xml:space="preserve">Dosage Probation </w:t>
      </w:r>
      <w:r w:rsidR="00EC7D9D" w:rsidRPr="00F61A92">
        <w:rPr>
          <w:i/>
        </w:rPr>
        <w:t>Toolkit</w:t>
      </w:r>
      <w:r w:rsidR="00EC7D9D">
        <w:t xml:space="preserve"> to identify the minimum requirements for implementation.</w:t>
      </w:r>
    </w:p>
    <w:p w14:paraId="165F9FA8" w14:textId="77777777" w:rsidR="008479BE" w:rsidRDefault="008479BE" w:rsidP="008479BE">
      <w:pPr>
        <w:pStyle w:val="BL-Blue-NoIndent"/>
        <w:numPr>
          <w:ilvl w:val="0"/>
          <w:numId w:val="0"/>
        </w:numPr>
        <w:spacing w:after="0"/>
      </w:pPr>
    </w:p>
    <w:tbl>
      <w:tblPr>
        <w:tblStyle w:val="TableGrid"/>
        <w:tblW w:w="0" w:type="auto"/>
        <w:tblLook w:val="04A0" w:firstRow="1" w:lastRow="0" w:firstColumn="1" w:lastColumn="0" w:noHBand="0" w:noVBand="1"/>
      </w:tblPr>
      <w:tblGrid>
        <w:gridCol w:w="7555"/>
        <w:gridCol w:w="1625"/>
        <w:gridCol w:w="1795"/>
        <w:gridCol w:w="1975"/>
      </w:tblGrid>
      <w:tr w:rsidR="008C4884" w:rsidRPr="008C4884" w14:paraId="3A243600" w14:textId="77777777" w:rsidTr="00547112">
        <w:tc>
          <w:tcPr>
            <w:tcW w:w="7555" w:type="dxa"/>
            <w:tcBorders>
              <w:top w:val="nil"/>
              <w:left w:val="nil"/>
              <w:bottom w:val="single" w:sz="4" w:space="0" w:color="4C76C5"/>
              <w:right w:val="single" w:sz="4" w:space="0" w:color="4C76C5"/>
            </w:tcBorders>
            <w:vAlign w:val="center"/>
          </w:tcPr>
          <w:p w14:paraId="6D7C9E42" w14:textId="77777777" w:rsidR="00547112" w:rsidRPr="008C4884" w:rsidRDefault="00547112" w:rsidP="00547112">
            <w:pPr>
              <w:pStyle w:val="BL-Blue-NoIndent"/>
              <w:numPr>
                <w:ilvl w:val="0"/>
                <w:numId w:val="0"/>
              </w:numPr>
              <w:spacing w:after="120"/>
              <w:jc w:val="center"/>
              <w:rPr>
                <w:color w:val="2C4D8B" w:themeColor="accent1" w:themeShade="80"/>
              </w:rPr>
            </w:pPr>
          </w:p>
        </w:tc>
        <w:tc>
          <w:tcPr>
            <w:tcW w:w="1625" w:type="dxa"/>
            <w:tcBorders>
              <w:top w:val="single" w:sz="4" w:space="0" w:color="4C76C5"/>
              <w:left w:val="single" w:sz="4" w:space="0" w:color="4C76C5"/>
              <w:bottom w:val="single" w:sz="4" w:space="0" w:color="4C76C5"/>
              <w:right w:val="single" w:sz="4" w:space="0" w:color="4C76C5"/>
            </w:tcBorders>
            <w:vAlign w:val="center"/>
          </w:tcPr>
          <w:p w14:paraId="60D04CF3"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Area of Strength</w:t>
            </w:r>
          </w:p>
        </w:tc>
        <w:tc>
          <w:tcPr>
            <w:tcW w:w="1795" w:type="dxa"/>
            <w:tcBorders>
              <w:top w:val="single" w:sz="4" w:space="0" w:color="4C76C5"/>
              <w:left w:val="single" w:sz="4" w:space="0" w:color="4C76C5"/>
              <w:bottom w:val="single" w:sz="4" w:space="0" w:color="4C76C5"/>
              <w:right w:val="single" w:sz="4" w:space="0" w:color="4C76C5"/>
            </w:tcBorders>
            <w:vAlign w:val="center"/>
          </w:tcPr>
          <w:p w14:paraId="3224F399"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Opportunity for Improvement</w:t>
            </w:r>
          </w:p>
        </w:tc>
        <w:tc>
          <w:tcPr>
            <w:tcW w:w="1975" w:type="dxa"/>
            <w:tcBorders>
              <w:top w:val="single" w:sz="4" w:space="0" w:color="4C76C5"/>
              <w:left w:val="single" w:sz="4" w:space="0" w:color="4C76C5"/>
              <w:bottom w:val="single" w:sz="4" w:space="0" w:color="4C76C5"/>
              <w:right w:val="single" w:sz="4" w:space="0" w:color="4C76C5"/>
            </w:tcBorders>
            <w:vAlign w:val="center"/>
          </w:tcPr>
          <w:p w14:paraId="4EA20EF2"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Significant Challenges Noted</w:t>
            </w:r>
          </w:p>
        </w:tc>
      </w:tr>
      <w:tr w:rsidR="008C4884" w:rsidRPr="008C4884" w14:paraId="5F1C6ABA" w14:textId="77777777" w:rsidTr="008479BE">
        <w:trPr>
          <w:trHeight w:val="20"/>
        </w:trPr>
        <w:tc>
          <w:tcPr>
            <w:tcW w:w="7555" w:type="dxa"/>
            <w:tcBorders>
              <w:top w:val="single" w:sz="4" w:space="0" w:color="4C76C5"/>
              <w:left w:val="single" w:sz="4" w:space="0" w:color="4C76C5"/>
              <w:bottom w:val="single" w:sz="4" w:space="0" w:color="4C76C5"/>
              <w:right w:val="single" w:sz="4" w:space="0" w:color="4C76C5"/>
            </w:tcBorders>
            <w:vAlign w:val="center"/>
          </w:tcPr>
          <w:p w14:paraId="04B61522" w14:textId="2BB05302" w:rsidR="00CC4CCC" w:rsidRPr="008C4884" w:rsidRDefault="00547112" w:rsidP="00D91C13">
            <w:pPr>
              <w:pStyle w:val="BL-Blue-NoIndent"/>
              <w:numPr>
                <w:ilvl w:val="0"/>
                <w:numId w:val="0"/>
              </w:numPr>
              <w:spacing w:after="0"/>
              <w:rPr>
                <w:b/>
                <w:color w:val="2C4D8B" w:themeColor="accent1" w:themeShade="80"/>
              </w:rPr>
            </w:pPr>
            <w:r w:rsidRPr="008C4884">
              <w:rPr>
                <w:b/>
                <w:color w:val="2C4D8B" w:themeColor="accent1" w:themeShade="80"/>
              </w:rPr>
              <w:t>Legal</w:t>
            </w:r>
            <w:r w:rsidR="008479BE" w:rsidRPr="008C4884">
              <w:rPr>
                <w:b/>
                <w:color w:val="2C4D8B" w:themeColor="accent1" w:themeShade="80"/>
              </w:rPr>
              <w:t>/Statutory</w:t>
            </w:r>
            <w:r w:rsidRPr="008C4884">
              <w:rPr>
                <w:b/>
                <w:color w:val="2C4D8B" w:themeColor="accent1" w:themeShade="80"/>
              </w:rPr>
              <w:t xml:space="preserve"> Authority</w:t>
            </w:r>
          </w:p>
        </w:tc>
        <w:sdt>
          <w:sdtPr>
            <w:rPr>
              <w:color w:val="2C4D8B" w:themeColor="accent1" w:themeShade="80"/>
            </w:rPr>
            <w:id w:val="1456758341"/>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58556C74" w14:textId="77777777" w:rsidR="00547112" w:rsidRPr="008C4884" w:rsidRDefault="008479BE" w:rsidP="008479BE">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544324488"/>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602E7355" w14:textId="77777777" w:rsidR="00547112" w:rsidRPr="008C4884" w:rsidRDefault="00547112" w:rsidP="00547112">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2026431253"/>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710B71DF" w14:textId="77777777" w:rsidR="00547112" w:rsidRPr="008C4884" w:rsidRDefault="00547112" w:rsidP="00547112">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4278F69C" w14:textId="77777777" w:rsidTr="009C0A49">
        <w:trPr>
          <w:trHeight w:val="2160"/>
        </w:trPr>
        <w:tc>
          <w:tcPr>
            <w:tcW w:w="12950" w:type="dxa"/>
            <w:gridSpan w:val="4"/>
            <w:tcBorders>
              <w:top w:val="single" w:sz="4" w:space="0" w:color="4C76C5"/>
              <w:left w:val="single" w:sz="4" w:space="0" w:color="4C76C5"/>
              <w:bottom w:val="single" w:sz="4" w:space="0" w:color="4C76C5"/>
              <w:right w:val="single" w:sz="4" w:space="0" w:color="4C76C5"/>
            </w:tcBorders>
          </w:tcPr>
          <w:p w14:paraId="60373F01" w14:textId="77777777" w:rsidR="00547112" w:rsidRPr="008C4884" w:rsidRDefault="00547112" w:rsidP="00547112">
            <w:pPr>
              <w:pStyle w:val="BL-Blue-NoIndent"/>
              <w:numPr>
                <w:ilvl w:val="0"/>
                <w:numId w:val="0"/>
              </w:numPr>
              <w:spacing w:after="0"/>
              <w:rPr>
                <w:color w:val="2C4D8B" w:themeColor="accent1" w:themeShade="80"/>
              </w:rPr>
            </w:pPr>
          </w:p>
        </w:tc>
      </w:tr>
    </w:tbl>
    <w:p w14:paraId="35999211" w14:textId="77777777" w:rsidR="00547112" w:rsidRPr="0091117E" w:rsidRDefault="00547112" w:rsidP="00A46A65">
      <w:pPr>
        <w:pStyle w:val="Heading2"/>
        <w:spacing w:before="320"/>
      </w:pPr>
      <w:r>
        <w:t>Read Before Proceeding</w:t>
      </w:r>
    </w:p>
    <w:p w14:paraId="5F857662" w14:textId="0F806C65" w:rsidR="00547112" w:rsidRDefault="00547112" w:rsidP="008C4884">
      <w:pPr>
        <w:ind w:left="900" w:hanging="900"/>
        <w:jc w:val="both"/>
      </w:pPr>
      <w:r w:rsidRPr="00547112">
        <w:rPr>
          <w:noProof/>
          <w:color w:val="4A7CBA"/>
        </w:rPr>
        <w:drawing>
          <wp:anchor distT="0" distB="0" distL="114300" distR="114300" simplePos="0" relativeHeight="251658240" behindDoc="0" locked="0" layoutInCell="1" allowOverlap="1" wp14:anchorId="51D49C4E" wp14:editId="6AD4A603">
            <wp:simplePos x="0" y="0"/>
            <wp:positionH relativeFrom="column">
              <wp:posOffset>0</wp:posOffset>
            </wp:positionH>
            <wp:positionV relativeFrom="paragraph">
              <wp:posOffset>-5080</wp:posOffset>
            </wp:positionV>
            <wp:extent cx="504825" cy="504825"/>
            <wp:effectExtent l="0" t="0" r="3175" b="0"/>
            <wp:wrapSquare wrapText="bothSides"/>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Pr="00547112">
        <w:t xml:space="preserve">If your jurisdiction does not have the express </w:t>
      </w:r>
      <w:r>
        <w:t xml:space="preserve">legal </w:t>
      </w:r>
      <w:r w:rsidRPr="00547112">
        <w:t>authority to grant early termination</w:t>
      </w:r>
      <w:r>
        <w:t xml:space="preserve"> from probation</w:t>
      </w:r>
      <w:r w:rsidRPr="00547112">
        <w:t xml:space="preserve">, it is </w:t>
      </w:r>
      <w:r>
        <w:t xml:space="preserve">not </w:t>
      </w:r>
      <w:r w:rsidRPr="00547112">
        <w:t xml:space="preserve">recommended that you </w:t>
      </w:r>
      <w:r>
        <w:t>complete</w:t>
      </w:r>
      <w:r w:rsidRPr="00547112">
        <w:t xml:space="preserve"> the readiness assessment or implement dosage probation. See the </w:t>
      </w:r>
      <w:r w:rsidRPr="00547112">
        <w:rPr>
          <w:i/>
        </w:rPr>
        <w:t>Dosage Probation Toolkit</w:t>
      </w:r>
      <w:r w:rsidRPr="00547112">
        <w:t xml:space="preserve"> for additional guidance. If your jurisdiction has the express</w:t>
      </w:r>
      <w:r>
        <w:t xml:space="preserve"> legal</w:t>
      </w:r>
      <w:r w:rsidRPr="00547112">
        <w:t xml:space="preserve"> authority to grant early termination, proceed with the readiness assessment.</w:t>
      </w:r>
    </w:p>
    <w:p w14:paraId="5E21A3F4" w14:textId="77777777" w:rsidR="008C4884" w:rsidRDefault="008C4884" w:rsidP="008C4884">
      <w:pPr>
        <w:ind w:left="900" w:hanging="900"/>
        <w:jc w:val="both"/>
      </w:pPr>
    </w:p>
    <w:p w14:paraId="1E1B7022" w14:textId="77777777" w:rsidR="00A46A65" w:rsidRDefault="00A46A65" w:rsidP="00A46A65">
      <w:pPr>
        <w:jc w:val="both"/>
        <w:sectPr w:rsidR="00A46A65" w:rsidSect="00547112">
          <w:pgSz w:w="15840" w:h="12240" w:orient="landscape"/>
          <w:pgMar w:top="1440" w:right="1080" w:bottom="1584" w:left="1800" w:header="288" w:footer="288" w:gutter="0"/>
          <w:cols w:space="720"/>
          <w:docGrid w:linePitch="304"/>
        </w:sectPr>
      </w:pPr>
    </w:p>
    <w:p w14:paraId="1DA99CB9" w14:textId="77777777" w:rsidR="00547112" w:rsidRPr="0091117E" w:rsidRDefault="00547112" w:rsidP="00547112">
      <w:pPr>
        <w:pStyle w:val="Heading2"/>
        <w:spacing w:before="320"/>
      </w:pPr>
      <w:r>
        <w:lastRenderedPageBreak/>
        <w:t xml:space="preserve">Part </w:t>
      </w:r>
      <w:r w:rsidR="00285159">
        <w:t>2</w:t>
      </w:r>
      <w:r>
        <w:t xml:space="preserve">: </w:t>
      </w:r>
      <w:r w:rsidRPr="00547112">
        <w:t>Stakeholder Interest in the Dosage Probation Model</w:t>
      </w:r>
    </w:p>
    <w:p w14:paraId="0EEE2CEB" w14:textId="01F3C692" w:rsidR="008479BE" w:rsidRDefault="00547112" w:rsidP="008479BE">
      <w:pPr>
        <w:pStyle w:val="BL-Blue-NoIndent"/>
        <w:numPr>
          <w:ilvl w:val="0"/>
          <w:numId w:val="0"/>
        </w:numPr>
        <w:spacing w:after="0"/>
      </w:pPr>
      <w:r>
        <w:t xml:space="preserve">One of the purposes of dosage probation is to </w:t>
      </w:r>
      <w:proofErr w:type="gramStart"/>
      <w:r>
        <w:t>more closely align policymakers</w:t>
      </w:r>
      <w:r w:rsidR="008479BE">
        <w:t>'</w:t>
      </w:r>
      <w:r>
        <w:t xml:space="preserve"> decisions</w:t>
      </w:r>
      <w:proofErr w:type="gramEnd"/>
      <w:r>
        <w:t xml:space="preserve"> with the research on effective community supervision practices, recidivism reduction, and other successful outcomes. The </w:t>
      </w:r>
      <w:r w:rsidRPr="00547112">
        <w:t xml:space="preserve">dosage probation model </w:t>
      </w:r>
      <w:r>
        <w:t xml:space="preserve">can </w:t>
      </w:r>
      <w:r w:rsidRPr="00547112">
        <w:t>represent a significant shift away from often long-held policies, practices, and beliefs, such as how case settlements are negotiated</w:t>
      </w:r>
      <w:r w:rsidR="008479BE">
        <w:t>, how</w:t>
      </w:r>
      <w:r w:rsidRPr="00547112">
        <w:t xml:space="preserve"> probation sentences are comprised</w:t>
      </w:r>
      <w:r w:rsidR="008479BE">
        <w:t>,</w:t>
      </w:r>
      <w:r w:rsidRPr="00547112">
        <w:t xml:space="preserve"> or </w:t>
      </w:r>
      <w:r w:rsidR="008479BE">
        <w:t xml:space="preserve">what </w:t>
      </w:r>
      <w:r w:rsidRPr="00547112">
        <w:t xml:space="preserve">stakeholders' expectations </w:t>
      </w:r>
      <w:r w:rsidR="008479BE">
        <w:t xml:space="preserve">are </w:t>
      </w:r>
      <w:r w:rsidRPr="00547112">
        <w:t xml:space="preserve">regarding the goals and outcomes of probation supervision. Aligning stakeholders around such matters is crucial to implementing dosage probation and </w:t>
      </w:r>
      <w:r w:rsidR="008479BE">
        <w:t xml:space="preserve">to </w:t>
      </w:r>
      <w:r w:rsidRPr="00547112">
        <w:t>sustaining and strengthening the model's policies and practices.</w:t>
      </w:r>
      <w:r>
        <w:t xml:space="preserve"> Part </w:t>
      </w:r>
      <w:r w:rsidR="00377A51">
        <w:t>2</w:t>
      </w:r>
      <w:r>
        <w:t xml:space="preserve"> of the assessment determines whether system stakeholders are </w:t>
      </w:r>
      <w:r w:rsidR="00AF3E12">
        <w:t>well-positioned</w:t>
      </w:r>
      <w:r>
        <w:t xml:space="preserve"> to support the implementation of dosage probation. </w:t>
      </w:r>
    </w:p>
    <w:p w14:paraId="623DE054" w14:textId="77777777" w:rsidR="008479BE" w:rsidRDefault="008479BE" w:rsidP="008479BE">
      <w:pPr>
        <w:pStyle w:val="BL-Blue-NoIndent"/>
        <w:numPr>
          <w:ilvl w:val="0"/>
          <w:numId w:val="0"/>
        </w:numPr>
        <w:spacing w:after="0"/>
      </w:pPr>
    </w:p>
    <w:p w14:paraId="7AD3CFC1" w14:textId="78709EF8" w:rsidR="00547112" w:rsidRDefault="00547112" w:rsidP="008479BE">
      <w:pPr>
        <w:pStyle w:val="BL-Blue-NoIndent"/>
        <w:numPr>
          <w:ilvl w:val="0"/>
          <w:numId w:val="0"/>
        </w:numPr>
        <w:spacing w:after="0"/>
      </w:pPr>
      <w:r>
        <w:t xml:space="preserve">Record your comments and </w:t>
      </w:r>
      <w:r w:rsidR="008479BE">
        <w:t xml:space="preserve">overall </w:t>
      </w:r>
      <w:r>
        <w:t>rating</w:t>
      </w:r>
      <w:r w:rsidR="008479BE">
        <w:t>s</w:t>
      </w:r>
      <w:r>
        <w:t xml:space="preserve"> below based on the</w:t>
      </w:r>
      <w:r w:rsidR="008479BE">
        <w:t xml:space="preserve"> guidance</w:t>
      </w:r>
      <w:r>
        <w:t xml:space="preserve"> in the </w:t>
      </w:r>
      <w:r w:rsidRPr="00547112">
        <w:rPr>
          <w:i/>
        </w:rPr>
        <w:t>Dosage Probation Toolkit</w:t>
      </w:r>
      <w:r>
        <w:t>.</w:t>
      </w:r>
      <w:r w:rsidR="00EC7D9D">
        <w:t xml:space="preserve"> Use the Dosage Probation Implementation Checklist in the </w:t>
      </w:r>
      <w:r w:rsidR="00EC7D9D">
        <w:rPr>
          <w:i/>
        </w:rPr>
        <w:t xml:space="preserve">Dosage Probation </w:t>
      </w:r>
      <w:r w:rsidR="00EC7D9D" w:rsidRPr="00F61A92">
        <w:rPr>
          <w:i/>
        </w:rPr>
        <w:t>Toolkit</w:t>
      </w:r>
      <w:r w:rsidR="00EC7D9D">
        <w:t xml:space="preserve"> to identify the minimum requirements for implementation.</w:t>
      </w:r>
    </w:p>
    <w:p w14:paraId="2AD605C4" w14:textId="77777777" w:rsidR="008479BE" w:rsidRDefault="008479BE" w:rsidP="008479BE">
      <w:pPr>
        <w:pStyle w:val="BL-Blue-NoIndent"/>
        <w:numPr>
          <w:ilvl w:val="0"/>
          <w:numId w:val="0"/>
        </w:numPr>
        <w:spacing w:after="0"/>
      </w:pPr>
    </w:p>
    <w:tbl>
      <w:tblPr>
        <w:tblStyle w:val="TableGrid"/>
        <w:tblW w:w="0" w:type="auto"/>
        <w:tblLook w:val="04A0" w:firstRow="1" w:lastRow="0" w:firstColumn="1" w:lastColumn="0" w:noHBand="0" w:noVBand="1"/>
      </w:tblPr>
      <w:tblGrid>
        <w:gridCol w:w="7555"/>
        <w:gridCol w:w="1625"/>
        <w:gridCol w:w="1795"/>
        <w:gridCol w:w="1975"/>
      </w:tblGrid>
      <w:tr w:rsidR="008C4884" w:rsidRPr="008C4884" w14:paraId="183BD26B" w14:textId="77777777" w:rsidTr="00547112">
        <w:trPr>
          <w:tblHeader/>
        </w:trPr>
        <w:tc>
          <w:tcPr>
            <w:tcW w:w="7555" w:type="dxa"/>
            <w:tcBorders>
              <w:top w:val="nil"/>
              <w:left w:val="nil"/>
              <w:bottom w:val="single" w:sz="4" w:space="0" w:color="4C76C5"/>
              <w:right w:val="single" w:sz="4" w:space="0" w:color="4C76C5"/>
            </w:tcBorders>
            <w:vAlign w:val="center"/>
          </w:tcPr>
          <w:p w14:paraId="6FA80458" w14:textId="77777777" w:rsidR="00547112" w:rsidRPr="008C4884" w:rsidRDefault="00547112" w:rsidP="00547112">
            <w:pPr>
              <w:pStyle w:val="BL-Blue-NoIndent"/>
              <w:numPr>
                <w:ilvl w:val="0"/>
                <w:numId w:val="0"/>
              </w:numPr>
              <w:spacing w:after="120"/>
              <w:jc w:val="center"/>
              <w:rPr>
                <w:color w:val="2C4D8B" w:themeColor="accent1" w:themeShade="80"/>
              </w:rPr>
            </w:pPr>
          </w:p>
        </w:tc>
        <w:tc>
          <w:tcPr>
            <w:tcW w:w="1625" w:type="dxa"/>
            <w:tcBorders>
              <w:top w:val="single" w:sz="4" w:space="0" w:color="4C76C5"/>
              <w:left w:val="single" w:sz="4" w:space="0" w:color="4C76C5"/>
              <w:bottom w:val="single" w:sz="4" w:space="0" w:color="4C76C5"/>
              <w:right w:val="single" w:sz="4" w:space="0" w:color="4C76C5"/>
            </w:tcBorders>
            <w:vAlign w:val="center"/>
          </w:tcPr>
          <w:p w14:paraId="1BBBA380"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Area of Strength</w:t>
            </w:r>
          </w:p>
        </w:tc>
        <w:tc>
          <w:tcPr>
            <w:tcW w:w="1795" w:type="dxa"/>
            <w:tcBorders>
              <w:top w:val="single" w:sz="4" w:space="0" w:color="4C76C5"/>
              <w:left w:val="single" w:sz="4" w:space="0" w:color="4C76C5"/>
              <w:bottom w:val="single" w:sz="4" w:space="0" w:color="4C76C5"/>
              <w:right w:val="single" w:sz="4" w:space="0" w:color="4C76C5"/>
            </w:tcBorders>
            <w:vAlign w:val="center"/>
          </w:tcPr>
          <w:p w14:paraId="087C1EF9"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Opportunity for Improvement</w:t>
            </w:r>
          </w:p>
        </w:tc>
        <w:tc>
          <w:tcPr>
            <w:tcW w:w="1975" w:type="dxa"/>
            <w:tcBorders>
              <w:top w:val="single" w:sz="4" w:space="0" w:color="4C76C5"/>
              <w:left w:val="single" w:sz="4" w:space="0" w:color="4C76C5"/>
              <w:bottom w:val="single" w:sz="4" w:space="0" w:color="4C76C5"/>
              <w:right w:val="single" w:sz="4" w:space="0" w:color="4C76C5"/>
            </w:tcBorders>
            <w:vAlign w:val="center"/>
          </w:tcPr>
          <w:p w14:paraId="1CBCF626" w14:textId="77777777" w:rsidR="00547112" w:rsidRPr="008C4884" w:rsidRDefault="00547112" w:rsidP="00547112">
            <w:pPr>
              <w:pStyle w:val="BL-Blue-NoIndent"/>
              <w:numPr>
                <w:ilvl w:val="0"/>
                <w:numId w:val="0"/>
              </w:numPr>
              <w:spacing w:after="120"/>
              <w:jc w:val="center"/>
              <w:rPr>
                <w:b/>
                <w:color w:val="2C4D8B" w:themeColor="accent1" w:themeShade="80"/>
              </w:rPr>
            </w:pPr>
            <w:r w:rsidRPr="008C4884">
              <w:rPr>
                <w:b/>
                <w:color w:val="2C4D8B" w:themeColor="accent1" w:themeShade="80"/>
              </w:rPr>
              <w:t>Significant Challenges Noted</w:t>
            </w:r>
          </w:p>
        </w:tc>
      </w:tr>
      <w:tr w:rsidR="008C4884" w:rsidRPr="008C4884" w14:paraId="0B1E196D" w14:textId="77777777" w:rsidTr="00547112">
        <w:trPr>
          <w:trHeight w:val="144"/>
        </w:trPr>
        <w:tc>
          <w:tcPr>
            <w:tcW w:w="7555" w:type="dxa"/>
            <w:tcBorders>
              <w:top w:val="single" w:sz="4" w:space="0" w:color="4C76C5"/>
              <w:left w:val="single" w:sz="4" w:space="0" w:color="4C76C5"/>
              <w:bottom w:val="single" w:sz="4" w:space="0" w:color="4C76C5"/>
              <w:right w:val="single" w:sz="4" w:space="0" w:color="4C76C5"/>
            </w:tcBorders>
            <w:vAlign w:val="center"/>
          </w:tcPr>
          <w:p w14:paraId="1A349652" w14:textId="75276B97" w:rsidR="008479BE" w:rsidRPr="008C4884" w:rsidRDefault="008479BE" w:rsidP="00AF3E12">
            <w:pPr>
              <w:pStyle w:val="BL-Blue-NoIndent"/>
              <w:numPr>
                <w:ilvl w:val="0"/>
                <w:numId w:val="0"/>
              </w:numPr>
              <w:spacing w:after="0"/>
              <w:ind w:left="360" w:hanging="360"/>
              <w:rPr>
                <w:b/>
                <w:color w:val="2C4D8B" w:themeColor="accent1" w:themeShade="80"/>
              </w:rPr>
            </w:pPr>
            <w:r w:rsidRPr="008C4884">
              <w:rPr>
                <w:b/>
                <w:color w:val="2C4D8B" w:themeColor="accent1" w:themeShade="80"/>
              </w:rPr>
              <w:t xml:space="preserve">Stakeholder </w:t>
            </w:r>
            <w:r w:rsidR="008677DA" w:rsidRPr="008C4884">
              <w:rPr>
                <w:b/>
                <w:color w:val="2C4D8B" w:themeColor="accent1" w:themeShade="80"/>
              </w:rPr>
              <w:t>Support for the</w:t>
            </w:r>
            <w:r w:rsidR="00547112" w:rsidRPr="008C4884">
              <w:rPr>
                <w:b/>
                <w:color w:val="2C4D8B" w:themeColor="accent1" w:themeShade="80"/>
              </w:rPr>
              <w:t xml:space="preserve"> Dosage Probation Model</w:t>
            </w:r>
          </w:p>
        </w:tc>
        <w:sdt>
          <w:sdtPr>
            <w:rPr>
              <w:color w:val="2C4D8B" w:themeColor="accent1" w:themeShade="80"/>
            </w:rPr>
            <w:id w:val="-912471871"/>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6E7794F6"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8884384"/>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7C9AA503"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293902435"/>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53B969D6"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5F4D61F5" w14:textId="77777777" w:rsidTr="007C455A">
        <w:trPr>
          <w:trHeight w:val="1728"/>
        </w:trPr>
        <w:tc>
          <w:tcPr>
            <w:tcW w:w="12950" w:type="dxa"/>
            <w:gridSpan w:val="4"/>
            <w:tcBorders>
              <w:top w:val="single" w:sz="4" w:space="0" w:color="4C76C5"/>
              <w:left w:val="single" w:sz="4" w:space="0" w:color="4C76C5"/>
              <w:bottom w:val="single" w:sz="4" w:space="0" w:color="4C76C5"/>
              <w:right w:val="single" w:sz="4" w:space="0" w:color="4C76C5"/>
            </w:tcBorders>
          </w:tcPr>
          <w:p w14:paraId="1CC2268B" w14:textId="77777777" w:rsidR="00547112" w:rsidRPr="008C4884" w:rsidRDefault="00547112" w:rsidP="007C455A">
            <w:pPr>
              <w:pStyle w:val="BL-Blue-NoIndent"/>
              <w:numPr>
                <w:ilvl w:val="0"/>
                <w:numId w:val="0"/>
              </w:numPr>
              <w:spacing w:after="0"/>
              <w:rPr>
                <w:color w:val="2C4D8B" w:themeColor="accent1" w:themeShade="80"/>
              </w:rPr>
            </w:pPr>
          </w:p>
        </w:tc>
      </w:tr>
      <w:tr w:rsidR="008C4884" w:rsidRPr="008C4884" w14:paraId="4B3F398E" w14:textId="77777777" w:rsidTr="00547112">
        <w:trPr>
          <w:trHeight w:val="144"/>
        </w:trPr>
        <w:tc>
          <w:tcPr>
            <w:tcW w:w="7555" w:type="dxa"/>
            <w:tcBorders>
              <w:top w:val="single" w:sz="4" w:space="0" w:color="4C76C5"/>
              <w:left w:val="single" w:sz="4" w:space="0" w:color="4C76C5"/>
              <w:bottom w:val="single" w:sz="4" w:space="0" w:color="4C76C5"/>
              <w:right w:val="single" w:sz="4" w:space="0" w:color="4C76C5"/>
            </w:tcBorders>
            <w:vAlign w:val="center"/>
          </w:tcPr>
          <w:p w14:paraId="36B3EE70" w14:textId="77777777" w:rsidR="008479BE" w:rsidRPr="008C4884" w:rsidRDefault="008479BE" w:rsidP="00D91C13">
            <w:pPr>
              <w:pStyle w:val="BL-Blue-NoIndent"/>
              <w:numPr>
                <w:ilvl w:val="0"/>
                <w:numId w:val="0"/>
              </w:numPr>
              <w:spacing w:after="0"/>
              <w:ind w:left="360" w:hanging="360"/>
              <w:rPr>
                <w:b/>
                <w:color w:val="2C4D8B" w:themeColor="accent1" w:themeShade="80"/>
              </w:rPr>
            </w:pPr>
            <w:r w:rsidRPr="008C4884">
              <w:rPr>
                <w:b/>
                <w:color w:val="2C4D8B" w:themeColor="accent1" w:themeShade="80"/>
              </w:rPr>
              <w:t xml:space="preserve">Stakeholder </w:t>
            </w:r>
            <w:r w:rsidR="00547112" w:rsidRPr="008C4884">
              <w:rPr>
                <w:b/>
                <w:color w:val="2C4D8B" w:themeColor="accent1" w:themeShade="80"/>
              </w:rPr>
              <w:t>Experience with Collaborative Policymaking</w:t>
            </w:r>
          </w:p>
        </w:tc>
        <w:sdt>
          <w:sdtPr>
            <w:rPr>
              <w:color w:val="2C4D8B" w:themeColor="accent1" w:themeShade="80"/>
            </w:rPr>
            <w:id w:val="-103891233"/>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2FCF10E3"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941608763"/>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35C791E8"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337648591"/>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44354906" w14:textId="77777777" w:rsidR="00547112" w:rsidRPr="008C4884" w:rsidRDefault="00547112"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501C2587" w14:textId="77777777" w:rsidTr="007C455A">
        <w:trPr>
          <w:trHeight w:val="1728"/>
        </w:trPr>
        <w:tc>
          <w:tcPr>
            <w:tcW w:w="12950" w:type="dxa"/>
            <w:gridSpan w:val="4"/>
            <w:tcBorders>
              <w:top w:val="single" w:sz="4" w:space="0" w:color="4C76C5"/>
              <w:left w:val="single" w:sz="4" w:space="0" w:color="4C76C5"/>
              <w:bottom w:val="single" w:sz="4" w:space="0" w:color="4C76C5"/>
              <w:right w:val="single" w:sz="4" w:space="0" w:color="4C76C5"/>
            </w:tcBorders>
            <w:vAlign w:val="center"/>
          </w:tcPr>
          <w:p w14:paraId="538FD646" w14:textId="77777777" w:rsidR="00547112" w:rsidRPr="008C4884" w:rsidRDefault="00547112" w:rsidP="007C455A">
            <w:pPr>
              <w:pStyle w:val="BL-Blue-NoIndent"/>
              <w:numPr>
                <w:ilvl w:val="0"/>
                <w:numId w:val="0"/>
              </w:numPr>
              <w:spacing w:after="0"/>
              <w:rPr>
                <w:color w:val="2C4D8B" w:themeColor="accent1" w:themeShade="80"/>
              </w:rPr>
            </w:pPr>
          </w:p>
        </w:tc>
      </w:tr>
      <w:tr w:rsidR="008C4884" w:rsidRPr="008C4884" w14:paraId="2D490D81" w14:textId="77777777" w:rsidTr="00547112">
        <w:trPr>
          <w:trHeight w:val="144"/>
        </w:trPr>
        <w:tc>
          <w:tcPr>
            <w:tcW w:w="7555" w:type="dxa"/>
            <w:tcBorders>
              <w:top w:val="single" w:sz="4" w:space="0" w:color="4C76C5"/>
              <w:left w:val="single" w:sz="4" w:space="0" w:color="4C76C5"/>
              <w:bottom w:val="single" w:sz="4" w:space="0" w:color="4C76C5"/>
              <w:right w:val="single" w:sz="4" w:space="0" w:color="4C76C5"/>
            </w:tcBorders>
            <w:vAlign w:val="center"/>
          </w:tcPr>
          <w:p w14:paraId="28BFF353" w14:textId="4901CF17" w:rsidR="00CC4CCC" w:rsidRPr="008C4884" w:rsidRDefault="00547112" w:rsidP="008C4884">
            <w:pPr>
              <w:pStyle w:val="BL-Blue-NoIndent"/>
              <w:keepNext/>
              <w:numPr>
                <w:ilvl w:val="0"/>
                <w:numId w:val="0"/>
              </w:numPr>
              <w:spacing w:after="0"/>
              <w:ind w:left="360" w:hanging="360"/>
              <w:rPr>
                <w:b/>
                <w:color w:val="2C4D8B" w:themeColor="accent1" w:themeShade="80"/>
              </w:rPr>
            </w:pPr>
            <w:r w:rsidRPr="008C4884">
              <w:rPr>
                <w:b/>
                <w:color w:val="2C4D8B" w:themeColor="accent1" w:themeShade="80"/>
              </w:rPr>
              <w:lastRenderedPageBreak/>
              <w:t xml:space="preserve">Stakeholder Commitment </w:t>
            </w:r>
            <w:r w:rsidR="008479BE" w:rsidRPr="008C4884">
              <w:rPr>
                <w:b/>
                <w:color w:val="2C4D8B" w:themeColor="accent1" w:themeShade="80"/>
              </w:rPr>
              <w:t>to Dosage Probation Implementation</w:t>
            </w:r>
          </w:p>
        </w:tc>
        <w:sdt>
          <w:sdtPr>
            <w:rPr>
              <w:color w:val="2C4D8B" w:themeColor="accent1" w:themeShade="80"/>
            </w:rPr>
            <w:id w:val="-1350485286"/>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66E689F2" w14:textId="77777777" w:rsidR="00547112" w:rsidRPr="008C4884" w:rsidRDefault="00547112" w:rsidP="008C4884">
                <w:pPr>
                  <w:pStyle w:val="BL-Blue-NoIndent"/>
                  <w:keepNex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368121955"/>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3546FE1A" w14:textId="77777777" w:rsidR="00547112" w:rsidRPr="008C4884" w:rsidRDefault="00547112" w:rsidP="008C4884">
                <w:pPr>
                  <w:pStyle w:val="BL-Blue-NoIndent"/>
                  <w:keepNex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352032076"/>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7F8F0894" w14:textId="77777777" w:rsidR="00547112" w:rsidRPr="008C4884" w:rsidRDefault="00547112" w:rsidP="008C4884">
                <w:pPr>
                  <w:pStyle w:val="BL-Blue-NoIndent"/>
                  <w:keepNex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6867E6B0" w14:textId="77777777" w:rsidTr="007C455A">
        <w:trPr>
          <w:trHeight w:val="1584"/>
        </w:trPr>
        <w:tc>
          <w:tcPr>
            <w:tcW w:w="12950" w:type="dxa"/>
            <w:gridSpan w:val="4"/>
            <w:tcBorders>
              <w:top w:val="single" w:sz="4" w:space="0" w:color="4C76C5"/>
              <w:left w:val="single" w:sz="4" w:space="0" w:color="4C76C5"/>
              <w:bottom w:val="single" w:sz="4" w:space="0" w:color="4C76C5"/>
              <w:right w:val="single" w:sz="4" w:space="0" w:color="4C76C5"/>
            </w:tcBorders>
          </w:tcPr>
          <w:p w14:paraId="6697CB87" w14:textId="77777777" w:rsidR="00547112" w:rsidRPr="008C4884" w:rsidRDefault="00547112" w:rsidP="007C455A">
            <w:pPr>
              <w:pStyle w:val="BL-Blue-NoIndent"/>
              <w:numPr>
                <w:ilvl w:val="0"/>
                <w:numId w:val="0"/>
              </w:numPr>
              <w:spacing w:after="0"/>
              <w:rPr>
                <w:color w:val="2C4D8B" w:themeColor="accent1" w:themeShade="80"/>
              </w:rPr>
            </w:pPr>
          </w:p>
        </w:tc>
      </w:tr>
    </w:tbl>
    <w:p w14:paraId="7509D64F" w14:textId="77777777" w:rsidR="00A46A65" w:rsidRDefault="00A46A65" w:rsidP="00547112">
      <w:pPr>
        <w:pStyle w:val="Heading2"/>
        <w:spacing w:before="320"/>
        <w:sectPr w:rsidR="00A46A65" w:rsidSect="00547112">
          <w:pgSz w:w="15840" w:h="12240" w:orient="landscape"/>
          <w:pgMar w:top="1440" w:right="1080" w:bottom="1584" w:left="1800" w:header="288" w:footer="288" w:gutter="0"/>
          <w:cols w:space="720"/>
          <w:docGrid w:linePitch="304"/>
        </w:sectPr>
      </w:pPr>
    </w:p>
    <w:p w14:paraId="156F95E1" w14:textId="77777777" w:rsidR="00547112" w:rsidRPr="0091117E" w:rsidRDefault="00547112" w:rsidP="00547112">
      <w:pPr>
        <w:pStyle w:val="Heading2"/>
        <w:spacing w:before="320"/>
      </w:pPr>
      <w:r>
        <w:lastRenderedPageBreak/>
        <w:t xml:space="preserve">Part </w:t>
      </w:r>
      <w:r w:rsidR="00285159">
        <w:t>3</w:t>
      </w:r>
      <w:r>
        <w:t xml:space="preserve">: </w:t>
      </w:r>
      <w:r w:rsidRPr="00547112">
        <w:t>Community Service Provider Capacity to Deliver Evidence-Based Dosage Hours</w:t>
      </w:r>
    </w:p>
    <w:p w14:paraId="74D591E8" w14:textId="7A4A4071" w:rsidR="008479BE" w:rsidRDefault="00547112" w:rsidP="008479BE">
      <w:pPr>
        <w:pStyle w:val="BL-Blue-NoIndent"/>
        <w:numPr>
          <w:ilvl w:val="0"/>
          <w:numId w:val="0"/>
        </w:numPr>
        <w:spacing w:after="0"/>
      </w:pPr>
      <w:r>
        <w:t xml:space="preserve">People on probation accumulate dosage hours by participating in cognitive behavioral interventions that address their criminogenic needs and skill deficits. People can complete cognitive behavioral interventions in three ways: (1) during one-on-one interactions with their probation agent, (2) as take-home assignments, and (3) through programs delivered by the probation agency and/or community service providers. In most jurisdictions, community-based programming contributes the </w:t>
      </w:r>
      <w:r w:rsidR="00BB31E8">
        <w:t>largest</w:t>
      </w:r>
      <w:r>
        <w:t xml:space="preserve"> portion of people's dosage hours. </w:t>
      </w:r>
      <w:r w:rsidRPr="00547112">
        <w:t xml:space="preserve">For this reason, partnering with community service providers is considered essential to </w:t>
      </w:r>
      <w:r w:rsidR="00E72E21">
        <w:t xml:space="preserve">successfully </w:t>
      </w:r>
      <w:r w:rsidRPr="00547112">
        <w:t>implementing the dosage probation model.</w:t>
      </w:r>
      <w:r>
        <w:t xml:space="preserve"> Part </w:t>
      </w:r>
      <w:r w:rsidR="00377A51">
        <w:t>3</w:t>
      </w:r>
      <w:r>
        <w:t xml:space="preserve"> of the assessment determines whether community service providers are interested </w:t>
      </w:r>
      <w:r w:rsidR="00E72E21">
        <w:t xml:space="preserve">in partnering with the probation agency in dosage probation </w:t>
      </w:r>
      <w:r>
        <w:t xml:space="preserve">and </w:t>
      </w:r>
      <w:r w:rsidR="008B6FD6">
        <w:t xml:space="preserve">can deliver or build their </w:t>
      </w:r>
      <w:r>
        <w:t xml:space="preserve">capacity to deliver programming hours that qualify as dosage. </w:t>
      </w:r>
    </w:p>
    <w:p w14:paraId="404B61D3" w14:textId="77777777" w:rsidR="008479BE" w:rsidRDefault="008479BE" w:rsidP="008479BE">
      <w:pPr>
        <w:pStyle w:val="BL-Blue-NoIndent"/>
        <w:numPr>
          <w:ilvl w:val="0"/>
          <w:numId w:val="0"/>
        </w:numPr>
        <w:spacing w:after="0"/>
      </w:pPr>
    </w:p>
    <w:p w14:paraId="26F4AEE6" w14:textId="059F855C" w:rsidR="002D560E" w:rsidRDefault="00547112" w:rsidP="008479BE">
      <w:pPr>
        <w:pStyle w:val="BL-Blue-NoIndent"/>
        <w:numPr>
          <w:ilvl w:val="0"/>
          <w:numId w:val="0"/>
        </w:numPr>
        <w:spacing w:after="0"/>
      </w:pPr>
      <w:r>
        <w:t xml:space="preserve">Record your comments and </w:t>
      </w:r>
      <w:r w:rsidR="008479BE">
        <w:t xml:space="preserve">overall </w:t>
      </w:r>
      <w:r>
        <w:t xml:space="preserve">ratings below </w:t>
      </w:r>
      <w:r w:rsidRPr="00547112">
        <w:t xml:space="preserve">based on the </w:t>
      </w:r>
      <w:r w:rsidR="008479BE">
        <w:t>guidance</w:t>
      </w:r>
      <w:r w:rsidRPr="00547112">
        <w:t xml:space="preserve"> in the </w:t>
      </w:r>
      <w:r w:rsidRPr="00547112">
        <w:rPr>
          <w:i/>
        </w:rPr>
        <w:t>Dosage Probation Toolkit</w:t>
      </w:r>
      <w:r w:rsidRPr="00547112">
        <w:t>.</w:t>
      </w:r>
      <w:r w:rsidR="00EC7D9D">
        <w:t xml:space="preserve"> Use the Dosage Probation Implementation Checklist in the </w:t>
      </w:r>
      <w:r w:rsidR="00EC7D9D">
        <w:rPr>
          <w:i/>
        </w:rPr>
        <w:t xml:space="preserve">Dosage Probation </w:t>
      </w:r>
      <w:r w:rsidR="00EC7D9D" w:rsidRPr="00F61A92">
        <w:rPr>
          <w:i/>
        </w:rPr>
        <w:t>Toolkit</w:t>
      </w:r>
      <w:r w:rsidR="00EC7D9D">
        <w:t xml:space="preserve"> to identify the minimum requirements for implementation.</w:t>
      </w:r>
    </w:p>
    <w:p w14:paraId="13E67FD4" w14:textId="77777777" w:rsidR="008479BE" w:rsidRDefault="008479BE" w:rsidP="008479BE">
      <w:pPr>
        <w:pStyle w:val="BL-Blue-NoIndent"/>
        <w:numPr>
          <w:ilvl w:val="0"/>
          <w:numId w:val="0"/>
        </w:numPr>
        <w:spacing w:after="0"/>
      </w:pPr>
    </w:p>
    <w:tbl>
      <w:tblPr>
        <w:tblStyle w:val="TableGrid"/>
        <w:tblW w:w="0" w:type="auto"/>
        <w:tblLook w:val="04A0" w:firstRow="1" w:lastRow="0" w:firstColumn="1" w:lastColumn="0" w:noHBand="0" w:noVBand="1"/>
      </w:tblPr>
      <w:tblGrid>
        <w:gridCol w:w="7555"/>
        <w:gridCol w:w="1625"/>
        <w:gridCol w:w="1795"/>
        <w:gridCol w:w="1975"/>
      </w:tblGrid>
      <w:tr w:rsidR="008C4884" w:rsidRPr="008C4884" w14:paraId="308313F6" w14:textId="77777777" w:rsidTr="007C455A">
        <w:trPr>
          <w:tblHeader/>
        </w:trPr>
        <w:tc>
          <w:tcPr>
            <w:tcW w:w="7555" w:type="dxa"/>
            <w:tcBorders>
              <w:top w:val="nil"/>
              <w:left w:val="nil"/>
              <w:bottom w:val="single" w:sz="4" w:space="0" w:color="4C76C5"/>
              <w:right w:val="single" w:sz="4" w:space="0" w:color="4C76C5"/>
            </w:tcBorders>
            <w:vAlign w:val="center"/>
          </w:tcPr>
          <w:p w14:paraId="0CC2AC6E" w14:textId="77777777" w:rsidR="002D560E" w:rsidRPr="008C4884" w:rsidRDefault="002D560E" w:rsidP="007C455A">
            <w:pPr>
              <w:pStyle w:val="BL-Blue-NoIndent"/>
              <w:numPr>
                <w:ilvl w:val="0"/>
                <w:numId w:val="0"/>
              </w:numPr>
              <w:spacing w:after="120"/>
              <w:jc w:val="center"/>
              <w:rPr>
                <w:color w:val="2C4D8B" w:themeColor="accent1" w:themeShade="80"/>
              </w:rPr>
            </w:pPr>
          </w:p>
        </w:tc>
        <w:tc>
          <w:tcPr>
            <w:tcW w:w="1625" w:type="dxa"/>
            <w:tcBorders>
              <w:top w:val="single" w:sz="4" w:space="0" w:color="4C76C5"/>
              <w:left w:val="single" w:sz="4" w:space="0" w:color="4C76C5"/>
              <w:bottom w:val="single" w:sz="4" w:space="0" w:color="4C76C5"/>
              <w:right w:val="single" w:sz="4" w:space="0" w:color="4C76C5"/>
            </w:tcBorders>
            <w:vAlign w:val="center"/>
          </w:tcPr>
          <w:p w14:paraId="235DA538" w14:textId="77777777" w:rsidR="002D560E" w:rsidRPr="008C4884" w:rsidRDefault="002D560E" w:rsidP="007C455A">
            <w:pPr>
              <w:pStyle w:val="BL-Blue-NoIndent"/>
              <w:numPr>
                <w:ilvl w:val="0"/>
                <w:numId w:val="0"/>
              </w:numPr>
              <w:spacing w:after="120"/>
              <w:jc w:val="center"/>
              <w:rPr>
                <w:b/>
                <w:color w:val="2C4D8B" w:themeColor="accent1" w:themeShade="80"/>
              </w:rPr>
            </w:pPr>
            <w:r w:rsidRPr="008C4884">
              <w:rPr>
                <w:b/>
                <w:color w:val="2C4D8B" w:themeColor="accent1" w:themeShade="80"/>
              </w:rPr>
              <w:t>Area of Strength</w:t>
            </w:r>
          </w:p>
        </w:tc>
        <w:tc>
          <w:tcPr>
            <w:tcW w:w="1795" w:type="dxa"/>
            <w:tcBorders>
              <w:top w:val="single" w:sz="4" w:space="0" w:color="4C76C5"/>
              <w:left w:val="single" w:sz="4" w:space="0" w:color="4C76C5"/>
              <w:bottom w:val="single" w:sz="4" w:space="0" w:color="4C76C5"/>
              <w:right w:val="single" w:sz="4" w:space="0" w:color="4C76C5"/>
            </w:tcBorders>
            <w:vAlign w:val="center"/>
          </w:tcPr>
          <w:p w14:paraId="5A982418" w14:textId="77777777" w:rsidR="002D560E" w:rsidRPr="008C4884" w:rsidRDefault="002D560E" w:rsidP="007C455A">
            <w:pPr>
              <w:pStyle w:val="BL-Blue-NoIndent"/>
              <w:numPr>
                <w:ilvl w:val="0"/>
                <w:numId w:val="0"/>
              </w:numPr>
              <w:spacing w:after="120"/>
              <w:jc w:val="center"/>
              <w:rPr>
                <w:b/>
                <w:color w:val="2C4D8B" w:themeColor="accent1" w:themeShade="80"/>
              </w:rPr>
            </w:pPr>
            <w:r w:rsidRPr="008C4884">
              <w:rPr>
                <w:b/>
                <w:color w:val="2C4D8B" w:themeColor="accent1" w:themeShade="80"/>
              </w:rPr>
              <w:t>Opportunity for Improvement</w:t>
            </w:r>
          </w:p>
        </w:tc>
        <w:tc>
          <w:tcPr>
            <w:tcW w:w="1975" w:type="dxa"/>
            <w:tcBorders>
              <w:top w:val="single" w:sz="4" w:space="0" w:color="4C76C5"/>
              <w:left w:val="single" w:sz="4" w:space="0" w:color="4C76C5"/>
              <w:bottom w:val="single" w:sz="4" w:space="0" w:color="4C76C5"/>
              <w:right w:val="single" w:sz="4" w:space="0" w:color="4C76C5"/>
            </w:tcBorders>
            <w:vAlign w:val="center"/>
          </w:tcPr>
          <w:p w14:paraId="19AD82E4" w14:textId="77777777" w:rsidR="002D560E" w:rsidRPr="008C4884" w:rsidRDefault="002D560E" w:rsidP="007C455A">
            <w:pPr>
              <w:pStyle w:val="BL-Blue-NoIndent"/>
              <w:numPr>
                <w:ilvl w:val="0"/>
                <w:numId w:val="0"/>
              </w:numPr>
              <w:spacing w:after="120"/>
              <w:jc w:val="center"/>
              <w:rPr>
                <w:b/>
                <w:color w:val="2C4D8B" w:themeColor="accent1" w:themeShade="80"/>
              </w:rPr>
            </w:pPr>
            <w:r w:rsidRPr="008C4884">
              <w:rPr>
                <w:b/>
                <w:color w:val="2C4D8B" w:themeColor="accent1" w:themeShade="80"/>
              </w:rPr>
              <w:t>Significant Challenges Noted</w:t>
            </w:r>
          </w:p>
        </w:tc>
      </w:tr>
      <w:tr w:rsidR="008C4884" w:rsidRPr="008C4884" w14:paraId="786B94A4" w14:textId="77777777" w:rsidTr="007C455A">
        <w:trPr>
          <w:trHeight w:val="144"/>
        </w:trPr>
        <w:tc>
          <w:tcPr>
            <w:tcW w:w="7555" w:type="dxa"/>
            <w:tcBorders>
              <w:top w:val="single" w:sz="4" w:space="0" w:color="4C76C5"/>
              <w:left w:val="single" w:sz="4" w:space="0" w:color="4C76C5"/>
              <w:bottom w:val="single" w:sz="4" w:space="0" w:color="4C76C5"/>
              <w:right w:val="single" w:sz="4" w:space="0" w:color="4C76C5"/>
            </w:tcBorders>
            <w:vAlign w:val="center"/>
          </w:tcPr>
          <w:p w14:paraId="2FA18183" w14:textId="1556A1AE" w:rsidR="008479BE" w:rsidRPr="008C4884" w:rsidRDefault="002D560E" w:rsidP="00D91C13">
            <w:pPr>
              <w:pStyle w:val="BL-Blue-NoIndent"/>
              <w:numPr>
                <w:ilvl w:val="0"/>
                <w:numId w:val="0"/>
              </w:numPr>
              <w:spacing w:after="0"/>
              <w:ind w:left="360" w:hanging="360"/>
              <w:rPr>
                <w:b/>
                <w:color w:val="2C4D8B" w:themeColor="accent1" w:themeShade="80"/>
              </w:rPr>
            </w:pPr>
            <w:r w:rsidRPr="008C4884">
              <w:rPr>
                <w:b/>
                <w:color w:val="2C4D8B" w:themeColor="accent1" w:themeShade="80"/>
              </w:rPr>
              <w:t>Availability of</w:t>
            </w:r>
            <w:r w:rsidR="008479BE" w:rsidRPr="008C4884">
              <w:rPr>
                <w:b/>
                <w:color w:val="2C4D8B" w:themeColor="accent1" w:themeShade="80"/>
              </w:rPr>
              <w:t xml:space="preserve"> Community</w:t>
            </w:r>
            <w:r w:rsidRPr="008C4884">
              <w:rPr>
                <w:b/>
                <w:color w:val="2C4D8B" w:themeColor="accent1" w:themeShade="80"/>
              </w:rPr>
              <w:t xml:space="preserve"> Evidence-Based </w:t>
            </w:r>
            <w:r w:rsidR="00377A51" w:rsidRPr="008C4884">
              <w:rPr>
                <w:b/>
                <w:color w:val="2C4D8B" w:themeColor="accent1" w:themeShade="80"/>
              </w:rPr>
              <w:t>Programs</w:t>
            </w:r>
          </w:p>
        </w:tc>
        <w:sdt>
          <w:sdtPr>
            <w:rPr>
              <w:color w:val="2C4D8B" w:themeColor="accent1" w:themeShade="80"/>
            </w:rPr>
            <w:id w:val="712858691"/>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61F23A75"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835153427"/>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24B9795D"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895652597"/>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7A71BCF9"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6CA41056" w14:textId="77777777" w:rsidTr="007C455A">
        <w:trPr>
          <w:trHeight w:val="1728"/>
        </w:trPr>
        <w:tc>
          <w:tcPr>
            <w:tcW w:w="12950" w:type="dxa"/>
            <w:gridSpan w:val="4"/>
            <w:tcBorders>
              <w:top w:val="single" w:sz="4" w:space="0" w:color="4C76C5"/>
              <w:left w:val="single" w:sz="4" w:space="0" w:color="4C76C5"/>
              <w:bottom w:val="single" w:sz="4" w:space="0" w:color="4C76C5"/>
              <w:right w:val="single" w:sz="4" w:space="0" w:color="4C76C5"/>
            </w:tcBorders>
          </w:tcPr>
          <w:p w14:paraId="52323EE7" w14:textId="77777777" w:rsidR="002D560E" w:rsidRPr="008C4884" w:rsidRDefault="002D560E" w:rsidP="007C455A">
            <w:pPr>
              <w:pStyle w:val="BL-Blue-NoIndent"/>
              <w:numPr>
                <w:ilvl w:val="0"/>
                <w:numId w:val="0"/>
              </w:numPr>
              <w:spacing w:after="0"/>
              <w:rPr>
                <w:color w:val="2C4D8B" w:themeColor="accent1" w:themeShade="80"/>
              </w:rPr>
            </w:pPr>
          </w:p>
        </w:tc>
      </w:tr>
      <w:tr w:rsidR="008C4884" w:rsidRPr="008C4884" w14:paraId="335434B3" w14:textId="77777777" w:rsidTr="007C455A">
        <w:trPr>
          <w:trHeight w:val="144"/>
        </w:trPr>
        <w:tc>
          <w:tcPr>
            <w:tcW w:w="7555" w:type="dxa"/>
            <w:tcBorders>
              <w:top w:val="single" w:sz="4" w:space="0" w:color="4C76C5"/>
              <w:left w:val="single" w:sz="4" w:space="0" w:color="4C76C5"/>
              <w:bottom w:val="single" w:sz="4" w:space="0" w:color="4C76C5"/>
              <w:right w:val="single" w:sz="4" w:space="0" w:color="4C76C5"/>
            </w:tcBorders>
            <w:vAlign w:val="center"/>
          </w:tcPr>
          <w:p w14:paraId="6D13AD13" w14:textId="464F7DB3" w:rsidR="00377A51" w:rsidRPr="008C4884" w:rsidRDefault="00BB31E8" w:rsidP="00377A51">
            <w:pPr>
              <w:pStyle w:val="BL-Blue-NoIndent"/>
              <w:numPr>
                <w:ilvl w:val="0"/>
                <w:numId w:val="0"/>
              </w:numPr>
              <w:spacing w:after="0"/>
              <w:ind w:left="360" w:hanging="360"/>
              <w:rPr>
                <w:b/>
                <w:color w:val="2C4D8B" w:themeColor="accent1" w:themeShade="80"/>
              </w:rPr>
            </w:pPr>
            <w:r w:rsidRPr="008C4884">
              <w:rPr>
                <w:b/>
                <w:color w:val="2C4D8B" w:themeColor="accent1" w:themeShade="80"/>
              </w:rPr>
              <w:t>Willingness to Partner with the Probation Agency</w:t>
            </w:r>
            <w:r w:rsidR="008479BE" w:rsidRPr="008C4884">
              <w:rPr>
                <w:b/>
                <w:color w:val="2C4D8B" w:themeColor="accent1" w:themeShade="80"/>
              </w:rPr>
              <w:t xml:space="preserve"> </w:t>
            </w:r>
          </w:p>
        </w:tc>
        <w:sdt>
          <w:sdtPr>
            <w:rPr>
              <w:color w:val="2C4D8B" w:themeColor="accent1" w:themeShade="80"/>
            </w:rPr>
            <w:id w:val="1011034205"/>
            <w14:checkbox>
              <w14:checked w14:val="0"/>
              <w14:checkedState w14:val="2612" w14:font="MS Gothic"/>
              <w14:uncheckedState w14:val="2610" w14:font="MS Gothic"/>
            </w14:checkbox>
          </w:sdtPr>
          <w:sdtContent>
            <w:tc>
              <w:tcPr>
                <w:tcW w:w="1625" w:type="dxa"/>
                <w:tcBorders>
                  <w:top w:val="single" w:sz="4" w:space="0" w:color="4C76C5"/>
                  <w:left w:val="single" w:sz="4" w:space="0" w:color="4C76C5"/>
                  <w:bottom w:val="single" w:sz="4" w:space="0" w:color="4C76C5"/>
                  <w:right w:val="single" w:sz="4" w:space="0" w:color="4C76C5"/>
                </w:tcBorders>
                <w:vAlign w:val="center"/>
              </w:tcPr>
              <w:p w14:paraId="26E3993B"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100404021"/>
            <w14:checkbox>
              <w14:checked w14:val="0"/>
              <w14:checkedState w14:val="2612" w14:font="MS Gothic"/>
              <w14:uncheckedState w14:val="2610" w14:font="MS Gothic"/>
            </w14:checkbox>
          </w:sdtPr>
          <w:sdtContent>
            <w:tc>
              <w:tcPr>
                <w:tcW w:w="1795" w:type="dxa"/>
                <w:tcBorders>
                  <w:top w:val="single" w:sz="4" w:space="0" w:color="4C76C5"/>
                  <w:left w:val="single" w:sz="4" w:space="0" w:color="4C76C5"/>
                  <w:bottom w:val="single" w:sz="4" w:space="0" w:color="4C76C5"/>
                  <w:right w:val="single" w:sz="4" w:space="0" w:color="4C76C5"/>
                </w:tcBorders>
                <w:vAlign w:val="center"/>
              </w:tcPr>
              <w:p w14:paraId="047A327F"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sdt>
          <w:sdtPr>
            <w:rPr>
              <w:color w:val="2C4D8B" w:themeColor="accent1" w:themeShade="80"/>
            </w:rPr>
            <w:id w:val="-156148360"/>
            <w14:checkbox>
              <w14:checked w14:val="0"/>
              <w14:checkedState w14:val="2612" w14:font="MS Gothic"/>
              <w14:uncheckedState w14:val="2610" w14:font="MS Gothic"/>
            </w14:checkbox>
          </w:sdtPr>
          <w:sdtContent>
            <w:tc>
              <w:tcPr>
                <w:tcW w:w="1975" w:type="dxa"/>
                <w:tcBorders>
                  <w:top w:val="single" w:sz="4" w:space="0" w:color="4C76C5"/>
                  <w:left w:val="single" w:sz="4" w:space="0" w:color="4C76C5"/>
                  <w:bottom w:val="single" w:sz="4" w:space="0" w:color="4C76C5"/>
                  <w:right w:val="single" w:sz="4" w:space="0" w:color="4C76C5"/>
                </w:tcBorders>
                <w:vAlign w:val="center"/>
              </w:tcPr>
              <w:p w14:paraId="5EEFDF3E" w14:textId="77777777" w:rsidR="002D560E" w:rsidRPr="008C4884" w:rsidRDefault="002D560E" w:rsidP="007C455A">
                <w:pPr>
                  <w:pStyle w:val="BL-Blue-NoIndent"/>
                  <w:numPr>
                    <w:ilvl w:val="0"/>
                    <w:numId w:val="0"/>
                  </w:numPr>
                  <w:spacing w:after="120"/>
                  <w:jc w:val="center"/>
                  <w:rPr>
                    <w:color w:val="2C4D8B" w:themeColor="accent1" w:themeShade="80"/>
                  </w:rPr>
                </w:pPr>
                <w:r w:rsidRPr="008C4884">
                  <w:rPr>
                    <w:rFonts w:ascii="MS Gothic" w:eastAsia="MS Gothic" w:hAnsi="MS Gothic" w:hint="eastAsia"/>
                    <w:color w:val="2C4D8B" w:themeColor="accent1" w:themeShade="80"/>
                  </w:rPr>
                  <w:t>☐</w:t>
                </w:r>
              </w:p>
            </w:tc>
          </w:sdtContent>
        </w:sdt>
      </w:tr>
      <w:tr w:rsidR="008C4884" w:rsidRPr="008C4884" w14:paraId="204FBE6F" w14:textId="77777777" w:rsidTr="007C455A">
        <w:trPr>
          <w:trHeight w:val="1728"/>
        </w:trPr>
        <w:tc>
          <w:tcPr>
            <w:tcW w:w="12950" w:type="dxa"/>
            <w:gridSpan w:val="4"/>
            <w:tcBorders>
              <w:top w:val="single" w:sz="4" w:space="0" w:color="4C76C5"/>
              <w:left w:val="single" w:sz="4" w:space="0" w:color="4C76C5"/>
              <w:bottom w:val="single" w:sz="4" w:space="0" w:color="4C76C5"/>
              <w:right w:val="single" w:sz="4" w:space="0" w:color="4C76C5"/>
            </w:tcBorders>
            <w:vAlign w:val="center"/>
          </w:tcPr>
          <w:p w14:paraId="40769570" w14:textId="77777777" w:rsidR="002D560E" w:rsidRPr="008C4884" w:rsidRDefault="002D560E" w:rsidP="007C455A">
            <w:pPr>
              <w:pStyle w:val="BL-Blue-NoIndent"/>
              <w:numPr>
                <w:ilvl w:val="0"/>
                <w:numId w:val="0"/>
              </w:numPr>
              <w:spacing w:after="0"/>
              <w:rPr>
                <w:color w:val="2C4D8B" w:themeColor="accent1" w:themeShade="80"/>
              </w:rPr>
            </w:pPr>
          </w:p>
        </w:tc>
      </w:tr>
    </w:tbl>
    <w:p w14:paraId="2E496C83" w14:textId="77777777" w:rsidR="00547112" w:rsidRPr="005325C3" w:rsidRDefault="00547112" w:rsidP="005325C3"/>
    <w:sectPr w:rsidR="00547112" w:rsidRPr="005325C3" w:rsidSect="00547112">
      <w:pgSz w:w="15840" w:h="12240" w:orient="landscape"/>
      <w:pgMar w:top="1440" w:right="1080" w:bottom="1584" w:left="1800" w:header="288" w:footer="288" w:gutter="0"/>
      <w:cols w:space="720"/>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DCD1" w14:textId="77777777" w:rsidR="00457E99" w:rsidRDefault="00457E99" w:rsidP="00980C0F">
      <w:r>
        <w:separator/>
      </w:r>
    </w:p>
  </w:endnote>
  <w:endnote w:type="continuationSeparator" w:id="0">
    <w:p w14:paraId="1B1D0E77" w14:textId="77777777" w:rsidR="00457E99" w:rsidRDefault="00457E99" w:rsidP="0098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Body)">
    <w:altName w:val="Calibr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348592"/>
      <w:docPartObj>
        <w:docPartGallery w:val="Page Numbers (Bottom of Page)"/>
        <w:docPartUnique/>
      </w:docPartObj>
    </w:sdtPr>
    <w:sdtContent>
      <w:p w14:paraId="43E005FF" w14:textId="77777777" w:rsidR="0018747C" w:rsidRDefault="0018747C" w:rsidP="009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452E886" w14:textId="77777777" w:rsidR="0018747C" w:rsidRDefault="00187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295136"/>
      <w:docPartObj>
        <w:docPartGallery w:val="Page Numbers (Bottom of Page)"/>
        <w:docPartUnique/>
      </w:docPartObj>
    </w:sdtPr>
    <w:sdtContent>
      <w:p w14:paraId="67708077" w14:textId="77777777" w:rsidR="003D5590" w:rsidRPr="0018747C" w:rsidRDefault="003D5590" w:rsidP="003D5590">
        <w:pPr>
          <w:pStyle w:val="Footer"/>
          <w:framePr w:w="1042" w:wrap="none" w:vAnchor="text" w:hAnchor="page" w:x="11881" w:y="721"/>
          <w:rPr>
            <w:rStyle w:val="PageNumber"/>
          </w:rPr>
        </w:pPr>
        <w:r w:rsidRPr="0018747C">
          <w:rPr>
            <w:rStyle w:val="PageNumber"/>
          </w:rPr>
          <w:fldChar w:fldCharType="begin"/>
        </w:r>
        <w:r w:rsidRPr="0018747C">
          <w:rPr>
            <w:rStyle w:val="PageNumber"/>
          </w:rPr>
          <w:instrText xml:space="preserve"> PAGE </w:instrText>
        </w:r>
        <w:r w:rsidRPr="0018747C">
          <w:rPr>
            <w:rStyle w:val="PageNumber"/>
          </w:rPr>
          <w:fldChar w:fldCharType="separate"/>
        </w:r>
        <w:r>
          <w:rPr>
            <w:rStyle w:val="PageNumber"/>
          </w:rPr>
          <w:t>1</w:t>
        </w:r>
        <w:r w:rsidRPr="0018747C">
          <w:rPr>
            <w:rStyle w:val="PageNumber"/>
          </w:rPr>
          <w:fldChar w:fldCharType="end"/>
        </w:r>
      </w:p>
    </w:sdtContent>
  </w:sdt>
  <w:p w14:paraId="11116661" w14:textId="2753BDB2" w:rsidR="003D5590" w:rsidRPr="003D5590" w:rsidRDefault="003D5590" w:rsidP="003D5590">
    <w:pPr>
      <w:pStyle w:val="Footer"/>
      <w:ind w:left="2340" w:right="4230"/>
    </w:pPr>
    <w:r w:rsidRPr="0013408C">
      <w:rPr>
        <w:lang w:bidi="ar-SA"/>
      </w:rPr>
      <w:drawing>
        <wp:anchor distT="0" distB="0" distL="114300" distR="114300" simplePos="0" relativeHeight="251659264" behindDoc="1" locked="0" layoutInCell="1" allowOverlap="1" wp14:anchorId="49BB8EEF" wp14:editId="3B674502">
          <wp:simplePos x="0" y="0"/>
          <wp:positionH relativeFrom="column">
            <wp:posOffset>-48895</wp:posOffset>
          </wp:positionH>
          <wp:positionV relativeFrom="paragraph">
            <wp:posOffset>-49530</wp:posOffset>
          </wp:positionV>
          <wp:extent cx="7790815" cy="80185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0815" cy="801858"/>
                  </a:xfrm>
                  <a:prstGeom prst="rect">
                    <a:avLst/>
                  </a:prstGeom>
                </pic:spPr>
              </pic:pic>
            </a:graphicData>
          </a:graphic>
          <wp14:sizeRelH relativeFrom="page">
            <wp14:pctWidth>0</wp14:pctWidth>
          </wp14:sizeRelH>
          <wp14:sizeRelV relativeFrom="page">
            <wp14:pctHeight>0</wp14:pctHeight>
          </wp14:sizeRelV>
        </wp:anchor>
      </w:drawing>
    </w:r>
    <w:r w:rsidRPr="0013408C">
      <w:t>This document was funded by the National Institute of Corrections, U.S. Department of Justice under cooperative agreement #22CS15GLK9 with the Center for Effective Public Policy. Points of view or opinions stated in this document are those of the authors and do not necessarily represent the official position or policies of the U.S. Department of Justice. The National Institute of Corrections reserves the right to reproduce, publish, translate, or otherwise use and to authorize others to publish and use all or any part of the copyrighted material contained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4369" w14:textId="77777777" w:rsidR="00457E99" w:rsidRDefault="00457E99" w:rsidP="00980C0F">
      <w:r>
        <w:separator/>
      </w:r>
    </w:p>
  </w:footnote>
  <w:footnote w:type="continuationSeparator" w:id="0">
    <w:p w14:paraId="1B638E43" w14:textId="77777777" w:rsidR="00457E99" w:rsidRDefault="00457E99" w:rsidP="0098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008" w14:textId="77777777" w:rsidR="003D5590" w:rsidRDefault="003D5590" w:rsidP="003D5590">
    <w:pPr>
      <w:pStyle w:val="Header"/>
      <w:tabs>
        <w:tab w:val="clear" w:pos="9360"/>
      </w:tabs>
    </w:pPr>
    <w:r>
      <w:rPr>
        <w:noProof/>
        <w:lang w:bidi="ar-SA"/>
      </w:rPr>
      <w:drawing>
        <wp:inline distT="0" distB="0" distL="0" distR="0" wp14:anchorId="47658A15" wp14:editId="1D6F260A">
          <wp:extent cx="2815590" cy="409575"/>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559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CAA"/>
    <w:multiLevelType w:val="hybridMultilevel"/>
    <w:tmpl w:val="3220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930C3"/>
    <w:multiLevelType w:val="hybridMultilevel"/>
    <w:tmpl w:val="97C83E24"/>
    <w:lvl w:ilvl="0" w:tplc="511024B0">
      <w:start w:val="1"/>
      <w:numFmt w:val="upperLetter"/>
      <w:lvlText w:val="%1."/>
      <w:lvlJc w:val="left"/>
      <w:pPr>
        <w:ind w:left="720" w:hanging="360"/>
      </w:pPr>
      <w:rPr>
        <w:rFonts w:hint="default"/>
        <w:b/>
        <w:i w:val="0"/>
        <w:color w:val="DE5A3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91963"/>
    <w:multiLevelType w:val="hybridMultilevel"/>
    <w:tmpl w:val="3220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D1066"/>
    <w:multiLevelType w:val="hybridMultilevel"/>
    <w:tmpl w:val="EB26A0AE"/>
    <w:lvl w:ilvl="0" w:tplc="0409000F">
      <w:start w:val="1"/>
      <w:numFmt w:val="decimal"/>
      <w:lvlText w:val="%1."/>
      <w:lvlJc w:val="left"/>
      <w:pPr>
        <w:ind w:left="360" w:hanging="360"/>
      </w:pPr>
      <w:rPr>
        <w:rFonts w:hint="default"/>
        <w:b/>
        <w:i w:val="0"/>
        <w:color w:val="92ACDC" w:themeColor="accent1"/>
        <w:sz w:val="24"/>
      </w:rPr>
    </w:lvl>
    <w:lvl w:ilvl="1" w:tplc="FFFFFFFF">
      <w:start w:val="1"/>
      <w:numFmt w:val="lowerRoman"/>
      <w:lvlText w:val="%2."/>
      <w:lvlJc w:val="righ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7F793B"/>
    <w:multiLevelType w:val="multilevel"/>
    <w:tmpl w:val="0E08CCD0"/>
    <w:styleLink w:val="CurrentList2"/>
    <w:lvl w:ilvl="0">
      <w:start w:val="1"/>
      <w:numFmt w:val="bullet"/>
      <w:lvlText w:val=""/>
      <w:lvlJc w:val="left"/>
      <w:pPr>
        <w:ind w:left="1080" w:hanging="360"/>
      </w:pPr>
      <w:rPr>
        <w:rFonts w:ascii="Symbol" w:hAnsi="Symbol" w:hint="default"/>
        <w:b/>
        <w:i w:val="0"/>
        <w:color w:val="2C4D8B" w:themeColor="accent1" w:themeShade="8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C26DF7"/>
    <w:multiLevelType w:val="hybridMultilevel"/>
    <w:tmpl w:val="11F43584"/>
    <w:lvl w:ilvl="0" w:tplc="6288730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87F77"/>
    <w:multiLevelType w:val="hybridMultilevel"/>
    <w:tmpl w:val="3BC8EC56"/>
    <w:lvl w:ilvl="0" w:tplc="365CE0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97EC7"/>
    <w:multiLevelType w:val="hybridMultilevel"/>
    <w:tmpl w:val="1646C4DE"/>
    <w:lvl w:ilvl="0" w:tplc="0409000F">
      <w:start w:val="1"/>
      <w:numFmt w:val="decimal"/>
      <w:lvlText w:val="%1."/>
      <w:lvlJc w:val="left"/>
      <w:pPr>
        <w:ind w:left="360" w:hanging="360"/>
      </w:pPr>
      <w:rPr>
        <w:rFonts w:hint="default"/>
        <w:b/>
        <w:i w:val="0"/>
        <w:color w:val="92ACDC" w:themeColor="accen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F1D70"/>
    <w:multiLevelType w:val="hybridMultilevel"/>
    <w:tmpl w:val="5E16FB22"/>
    <w:lvl w:ilvl="0" w:tplc="DB307EB4">
      <w:start w:val="1"/>
      <w:numFmt w:val="bullet"/>
      <w:lvlText w:val=""/>
      <w:lvlJc w:val="left"/>
      <w:pPr>
        <w:ind w:left="1080" w:hanging="360"/>
      </w:pPr>
      <w:rPr>
        <w:rFonts w:ascii="Symbol" w:hAnsi="Symbol" w:hint="default"/>
        <w:b/>
        <w:i w:val="0"/>
        <w:color w:val="EE7768" w:themeColor="accent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26797"/>
    <w:multiLevelType w:val="hybridMultilevel"/>
    <w:tmpl w:val="6E7E5200"/>
    <w:lvl w:ilvl="0" w:tplc="A9D62B9C">
      <w:start w:val="1"/>
      <w:numFmt w:val="bullet"/>
      <w:lvlText w:val=""/>
      <w:lvlJc w:val="left"/>
      <w:pPr>
        <w:ind w:left="1080" w:hanging="360"/>
      </w:pPr>
      <w:rPr>
        <w:rFonts w:ascii="Symbol" w:hAnsi="Symbol" w:hint="default"/>
        <w:b w:val="0"/>
        <w:i w:val="0"/>
        <w:color w:val="EB685C"/>
        <w:sz w:val="22"/>
        <w:szCs w:val="22"/>
        <w:u w:color="EB685C"/>
      </w:rPr>
    </w:lvl>
    <w:lvl w:ilvl="1" w:tplc="0B04FC38">
      <w:start w:val="1"/>
      <w:numFmt w:val="bullet"/>
      <w:lvlText w:val=""/>
      <w:lvlJc w:val="left"/>
      <w:pPr>
        <w:ind w:left="1800" w:hanging="360"/>
      </w:pPr>
      <w:rPr>
        <w:rFonts w:ascii="Symbol" w:hAnsi="Symbol" w:hint="default"/>
        <w:b/>
        <w:i w:val="0"/>
        <w:color w:val="auto"/>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F21F3B"/>
    <w:multiLevelType w:val="multilevel"/>
    <w:tmpl w:val="5E16FB22"/>
    <w:styleLink w:val="CurrentList3"/>
    <w:lvl w:ilvl="0">
      <w:start w:val="1"/>
      <w:numFmt w:val="bullet"/>
      <w:lvlText w:val=""/>
      <w:lvlJc w:val="left"/>
      <w:pPr>
        <w:ind w:left="1080" w:hanging="360"/>
      </w:pPr>
      <w:rPr>
        <w:rFonts w:ascii="Symbol" w:hAnsi="Symbol" w:hint="default"/>
        <w:b/>
        <w:i w:val="0"/>
        <w:color w:val="EE7768" w:themeColor="accent4"/>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C45F58"/>
    <w:multiLevelType w:val="hybridMultilevel"/>
    <w:tmpl w:val="3220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A37FE"/>
    <w:multiLevelType w:val="hybridMultilevel"/>
    <w:tmpl w:val="FC7AA252"/>
    <w:lvl w:ilvl="0" w:tplc="A06CDBA0">
      <w:start w:val="1"/>
      <w:numFmt w:val="bullet"/>
      <w:lvlText w:val=""/>
      <w:lvlJc w:val="left"/>
      <w:pPr>
        <w:ind w:left="1080" w:hanging="360"/>
      </w:pPr>
      <w:rPr>
        <w:rFonts w:ascii="Symbol" w:hAnsi="Symbol" w:hint="default"/>
        <w:b/>
        <w:i w:val="0"/>
        <w:color w:val="F9A349" w:themeColor="accent3"/>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5D5329"/>
    <w:multiLevelType w:val="multilevel"/>
    <w:tmpl w:val="86644E96"/>
    <w:styleLink w:val="CurrentList1"/>
    <w:lvl w:ilvl="0">
      <w:start w:val="1"/>
      <w:numFmt w:val="bullet"/>
      <w:lvlText w:val=""/>
      <w:lvlJc w:val="left"/>
      <w:pPr>
        <w:ind w:left="1080" w:hanging="360"/>
      </w:pPr>
      <w:rPr>
        <w:rFonts w:ascii="Symbol" w:hAnsi="Symbol" w:hint="default"/>
        <w:b/>
        <w:i w:val="0"/>
        <w:color w:val="4A7CBA"/>
        <w:sz w:val="24"/>
      </w:rPr>
    </w:lvl>
    <w:lvl w:ilvl="1">
      <w:start w:val="1"/>
      <w:numFmt w:val="bullet"/>
      <w:lvlText w:val=""/>
      <w:lvlJc w:val="left"/>
      <w:pPr>
        <w:ind w:left="1800" w:hanging="360"/>
      </w:pPr>
      <w:rPr>
        <w:rFonts w:ascii="Symbol" w:hAnsi="Symbol" w:hint="default"/>
        <w:b/>
        <w:i w:val="0"/>
        <w:color w:val="EB685C"/>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39D4251"/>
    <w:multiLevelType w:val="hybridMultilevel"/>
    <w:tmpl w:val="F0E87420"/>
    <w:lvl w:ilvl="0" w:tplc="68F4E956">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E857E2"/>
    <w:multiLevelType w:val="multilevel"/>
    <w:tmpl w:val="6B3C5C18"/>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1E655AF"/>
    <w:multiLevelType w:val="hybridMultilevel"/>
    <w:tmpl w:val="9A3A438C"/>
    <w:lvl w:ilvl="0" w:tplc="C96CBFB8">
      <w:start w:val="1"/>
      <w:numFmt w:val="bullet"/>
      <w:pStyle w:val="BL-Blue-NoIndent"/>
      <w:lvlText w:val=""/>
      <w:lvlJc w:val="left"/>
      <w:pPr>
        <w:ind w:left="360" w:hanging="360"/>
      </w:pPr>
      <w:rPr>
        <w:rFonts w:ascii="Symbol" w:hAnsi="Symbol" w:hint="default"/>
        <w:b/>
        <w:i w:val="0"/>
        <w:color w:val="92ACDC" w:themeColor="accent1"/>
        <w:sz w:val="24"/>
      </w:rPr>
    </w:lvl>
    <w:lvl w:ilvl="1" w:tplc="0409001B">
      <w:start w:val="1"/>
      <w:numFmt w:val="lowerRoman"/>
      <w:lvlText w:val="%2."/>
      <w:lvlJc w:val="right"/>
      <w:pPr>
        <w:ind w:left="36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77283"/>
    <w:multiLevelType w:val="hybridMultilevel"/>
    <w:tmpl w:val="D846B73C"/>
    <w:lvl w:ilvl="0" w:tplc="2FFC2668">
      <w:start w:val="1"/>
      <w:numFmt w:val="bullet"/>
      <w:pStyle w:val="ListParagraph"/>
      <w:lvlText w:val=""/>
      <w:lvlJc w:val="left"/>
      <w:pPr>
        <w:ind w:left="1080" w:hanging="360"/>
      </w:pPr>
      <w:rPr>
        <w:rFonts w:ascii="Symbol" w:hAnsi="Symbol" w:hint="default"/>
        <w:b/>
        <w:i w:val="0"/>
        <w:color w:val="4A7CBA"/>
        <w:sz w:val="24"/>
      </w:rPr>
    </w:lvl>
    <w:lvl w:ilvl="1" w:tplc="04090001">
      <w:start w:val="1"/>
      <w:numFmt w:val="bullet"/>
      <w:lvlText w:val=""/>
      <w:lvlJc w:val="left"/>
      <w:pPr>
        <w:ind w:left="1800" w:hanging="360"/>
      </w:pPr>
      <w:rPr>
        <w:rFonts w:ascii="Symbol" w:hAnsi="Symbol" w:hint="default"/>
        <w:b/>
        <w:i w:val="0"/>
        <w:color w:val="EB685C"/>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05249F"/>
    <w:multiLevelType w:val="hybridMultilevel"/>
    <w:tmpl w:val="9F528314"/>
    <w:lvl w:ilvl="0" w:tplc="B2A6F970">
      <w:start w:val="1"/>
      <w:numFmt w:val="bullet"/>
      <w:lvlText w:val=""/>
      <w:lvlJc w:val="left"/>
      <w:pPr>
        <w:ind w:left="720" w:hanging="360"/>
      </w:pPr>
      <w:rPr>
        <w:rFonts w:ascii="Symbol" w:hAnsi="Symbol" w:hint="default"/>
        <w:color w:val="92ACD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07051"/>
    <w:multiLevelType w:val="hybridMultilevel"/>
    <w:tmpl w:val="32207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484805">
    <w:abstractNumId w:val="17"/>
  </w:num>
  <w:num w:numId="2" w16cid:durableId="1100376593">
    <w:abstractNumId w:val="13"/>
  </w:num>
  <w:num w:numId="3" w16cid:durableId="815028193">
    <w:abstractNumId w:val="8"/>
  </w:num>
  <w:num w:numId="4" w16cid:durableId="1808626344">
    <w:abstractNumId w:val="4"/>
  </w:num>
  <w:num w:numId="5" w16cid:durableId="1881356381">
    <w:abstractNumId w:val="10"/>
  </w:num>
  <w:num w:numId="6" w16cid:durableId="1581671920">
    <w:abstractNumId w:val="16"/>
  </w:num>
  <w:num w:numId="7" w16cid:durableId="580915454">
    <w:abstractNumId w:val="5"/>
  </w:num>
  <w:num w:numId="8" w16cid:durableId="1448543611">
    <w:abstractNumId w:val="12"/>
  </w:num>
  <w:num w:numId="9" w16cid:durableId="1907690125">
    <w:abstractNumId w:val="7"/>
  </w:num>
  <w:num w:numId="10" w16cid:durableId="2137409774">
    <w:abstractNumId w:val="3"/>
  </w:num>
  <w:num w:numId="11" w16cid:durableId="1256552096">
    <w:abstractNumId w:val="15"/>
  </w:num>
  <w:num w:numId="12" w16cid:durableId="712967776">
    <w:abstractNumId w:val="14"/>
  </w:num>
  <w:num w:numId="13" w16cid:durableId="1187407700">
    <w:abstractNumId w:val="6"/>
  </w:num>
  <w:num w:numId="14" w16cid:durableId="122693041">
    <w:abstractNumId w:val="1"/>
  </w:num>
  <w:num w:numId="15" w16cid:durableId="1140153244">
    <w:abstractNumId w:val="9"/>
  </w:num>
  <w:num w:numId="16" w16cid:durableId="673653307">
    <w:abstractNumId w:val="19"/>
  </w:num>
  <w:num w:numId="17" w16cid:durableId="161554516">
    <w:abstractNumId w:val="2"/>
  </w:num>
  <w:num w:numId="18" w16cid:durableId="785930988">
    <w:abstractNumId w:val="11"/>
  </w:num>
  <w:num w:numId="19" w16cid:durableId="1632663745">
    <w:abstractNumId w:val="0"/>
  </w:num>
  <w:num w:numId="20" w16cid:durableId="100670698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MDA2MzUxMDE0NDRW0lEKTi0uzszPAykwMawFAFMK95ItAAAA"/>
  </w:docVars>
  <w:rsids>
    <w:rsidRoot w:val="00A517DC"/>
    <w:rsid w:val="00005BE0"/>
    <w:rsid w:val="0000771C"/>
    <w:rsid w:val="00016F8E"/>
    <w:rsid w:val="0002160A"/>
    <w:rsid w:val="00022602"/>
    <w:rsid w:val="0002298E"/>
    <w:rsid w:val="000333EB"/>
    <w:rsid w:val="000461FD"/>
    <w:rsid w:val="000635CF"/>
    <w:rsid w:val="00071D71"/>
    <w:rsid w:val="00080A46"/>
    <w:rsid w:val="00086B07"/>
    <w:rsid w:val="000958F8"/>
    <w:rsid w:val="000B7745"/>
    <w:rsid w:val="000D0578"/>
    <w:rsid w:val="000E29B1"/>
    <w:rsid w:val="000E34A4"/>
    <w:rsid w:val="000E6C2A"/>
    <w:rsid w:val="001049E7"/>
    <w:rsid w:val="0011508F"/>
    <w:rsid w:val="0013408C"/>
    <w:rsid w:val="00141E36"/>
    <w:rsid w:val="00144DA6"/>
    <w:rsid w:val="00163761"/>
    <w:rsid w:val="00163970"/>
    <w:rsid w:val="00164625"/>
    <w:rsid w:val="00164C51"/>
    <w:rsid w:val="00167D03"/>
    <w:rsid w:val="00171761"/>
    <w:rsid w:val="00173819"/>
    <w:rsid w:val="00173871"/>
    <w:rsid w:val="0017540C"/>
    <w:rsid w:val="001806E7"/>
    <w:rsid w:val="00185C14"/>
    <w:rsid w:val="0018747C"/>
    <w:rsid w:val="00192D35"/>
    <w:rsid w:val="001A1ECD"/>
    <w:rsid w:val="001B3790"/>
    <w:rsid w:val="001D2D9E"/>
    <w:rsid w:val="001E418D"/>
    <w:rsid w:val="00203E6F"/>
    <w:rsid w:val="00236A66"/>
    <w:rsid w:val="00247756"/>
    <w:rsid w:val="00262073"/>
    <w:rsid w:val="00285159"/>
    <w:rsid w:val="00290F77"/>
    <w:rsid w:val="00293F39"/>
    <w:rsid w:val="00294D01"/>
    <w:rsid w:val="002D2D37"/>
    <w:rsid w:val="002D560E"/>
    <w:rsid w:val="002E3CDF"/>
    <w:rsid w:val="002E62D4"/>
    <w:rsid w:val="002F3960"/>
    <w:rsid w:val="002F45CE"/>
    <w:rsid w:val="00340675"/>
    <w:rsid w:val="003442E8"/>
    <w:rsid w:val="0035188C"/>
    <w:rsid w:val="00357119"/>
    <w:rsid w:val="00365285"/>
    <w:rsid w:val="003701CE"/>
    <w:rsid w:val="00374DDD"/>
    <w:rsid w:val="00377A51"/>
    <w:rsid w:val="00380A75"/>
    <w:rsid w:val="00386921"/>
    <w:rsid w:val="00397022"/>
    <w:rsid w:val="003A026D"/>
    <w:rsid w:val="003A5569"/>
    <w:rsid w:val="003B0CBD"/>
    <w:rsid w:val="003B2537"/>
    <w:rsid w:val="003B4AF7"/>
    <w:rsid w:val="003C5209"/>
    <w:rsid w:val="003C6E72"/>
    <w:rsid w:val="003D5590"/>
    <w:rsid w:val="003F46D8"/>
    <w:rsid w:val="003F6269"/>
    <w:rsid w:val="00412897"/>
    <w:rsid w:val="00435161"/>
    <w:rsid w:val="00440959"/>
    <w:rsid w:val="00451113"/>
    <w:rsid w:val="00456BC8"/>
    <w:rsid w:val="00457B22"/>
    <w:rsid w:val="00457E99"/>
    <w:rsid w:val="00473FFA"/>
    <w:rsid w:val="00491018"/>
    <w:rsid w:val="004922FB"/>
    <w:rsid w:val="004A0821"/>
    <w:rsid w:val="004A2E59"/>
    <w:rsid w:val="004B3AA7"/>
    <w:rsid w:val="004B431C"/>
    <w:rsid w:val="004C048B"/>
    <w:rsid w:val="004C2D4F"/>
    <w:rsid w:val="004E37B7"/>
    <w:rsid w:val="004E7C73"/>
    <w:rsid w:val="004F74DE"/>
    <w:rsid w:val="00500BAA"/>
    <w:rsid w:val="00501E4D"/>
    <w:rsid w:val="00506D66"/>
    <w:rsid w:val="00512E56"/>
    <w:rsid w:val="00512FF1"/>
    <w:rsid w:val="005325C3"/>
    <w:rsid w:val="00535E85"/>
    <w:rsid w:val="005368C7"/>
    <w:rsid w:val="005462B9"/>
    <w:rsid w:val="00547112"/>
    <w:rsid w:val="00556E09"/>
    <w:rsid w:val="00561AA4"/>
    <w:rsid w:val="00567D16"/>
    <w:rsid w:val="00572793"/>
    <w:rsid w:val="0057368D"/>
    <w:rsid w:val="0057434E"/>
    <w:rsid w:val="00576A41"/>
    <w:rsid w:val="00580C20"/>
    <w:rsid w:val="00581F95"/>
    <w:rsid w:val="005853AB"/>
    <w:rsid w:val="00585A68"/>
    <w:rsid w:val="0059273D"/>
    <w:rsid w:val="0059312B"/>
    <w:rsid w:val="005A3197"/>
    <w:rsid w:val="005B1CDC"/>
    <w:rsid w:val="005C50CB"/>
    <w:rsid w:val="005C5A78"/>
    <w:rsid w:val="005C75AC"/>
    <w:rsid w:val="005D2E99"/>
    <w:rsid w:val="005E62F4"/>
    <w:rsid w:val="005F773A"/>
    <w:rsid w:val="00615B8F"/>
    <w:rsid w:val="006313C3"/>
    <w:rsid w:val="006334CE"/>
    <w:rsid w:val="0066415C"/>
    <w:rsid w:val="00666C4A"/>
    <w:rsid w:val="00674D4E"/>
    <w:rsid w:val="0067793B"/>
    <w:rsid w:val="00687268"/>
    <w:rsid w:val="006918C2"/>
    <w:rsid w:val="006A13CD"/>
    <w:rsid w:val="006A4CD5"/>
    <w:rsid w:val="006A57F8"/>
    <w:rsid w:val="006B2D55"/>
    <w:rsid w:val="006B44FC"/>
    <w:rsid w:val="006C405A"/>
    <w:rsid w:val="006C5D80"/>
    <w:rsid w:val="00702973"/>
    <w:rsid w:val="007130DA"/>
    <w:rsid w:val="007517ED"/>
    <w:rsid w:val="00753E63"/>
    <w:rsid w:val="00762905"/>
    <w:rsid w:val="00764156"/>
    <w:rsid w:val="007665A4"/>
    <w:rsid w:val="00770BA7"/>
    <w:rsid w:val="00794077"/>
    <w:rsid w:val="0079636A"/>
    <w:rsid w:val="007A59B6"/>
    <w:rsid w:val="007B5389"/>
    <w:rsid w:val="007C2693"/>
    <w:rsid w:val="007D2D82"/>
    <w:rsid w:val="007D5756"/>
    <w:rsid w:val="007E3EC3"/>
    <w:rsid w:val="007E5571"/>
    <w:rsid w:val="007E73E0"/>
    <w:rsid w:val="007F668D"/>
    <w:rsid w:val="00800817"/>
    <w:rsid w:val="00804296"/>
    <w:rsid w:val="00807DF2"/>
    <w:rsid w:val="00811C4C"/>
    <w:rsid w:val="00812582"/>
    <w:rsid w:val="008127B5"/>
    <w:rsid w:val="00823161"/>
    <w:rsid w:val="00832311"/>
    <w:rsid w:val="008441EB"/>
    <w:rsid w:val="008473A6"/>
    <w:rsid w:val="008479BE"/>
    <w:rsid w:val="008538B0"/>
    <w:rsid w:val="0086356D"/>
    <w:rsid w:val="00863BBD"/>
    <w:rsid w:val="008677DA"/>
    <w:rsid w:val="008723D8"/>
    <w:rsid w:val="008878E9"/>
    <w:rsid w:val="00890F08"/>
    <w:rsid w:val="00893173"/>
    <w:rsid w:val="008A0C60"/>
    <w:rsid w:val="008A345D"/>
    <w:rsid w:val="008A3488"/>
    <w:rsid w:val="008A6124"/>
    <w:rsid w:val="008A784F"/>
    <w:rsid w:val="008B0F9A"/>
    <w:rsid w:val="008B32DF"/>
    <w:rsid w:val="008B3F6C"/>
    <w:rsid w:val="008B6FD6"/>
    <w:rsid w:val="008C05F6"/>
    <w:rsid w:val="008C4884"/>
    <w:rsid w:val="008E02FD"/>
    <w:rsid w:val="008E5DB2"/>
    <w:rsid w:val="008F4880"/>
    <w:rsid w:val="00900F8C"/>
    <w:rsid w:val="00916A9D"/>
    <w:rsid w:val="00921724"/>
    <w:rsid w:val="00926C89"/>
    <w:rsid w:val="00935C02"/>
    <w:rsid w:val="009375EC"/>
    <w:rsid w:val="00941ECA"/>
    <w:rsid w:val="00946A92"/>
    <w:rsid w:val="0096655F"/>
    <w:rsid w:val="00974EF3"/>
    <w:rsid w:val="00980C0F"/>
    <w:rsid w:val="00983A69"/>
    <w:rsid w:val="00984A1C"/>
    <w:rsid w:val="009875CA"/>
    <w:rsid w:val="00992EC5"/>
    <w:rsid w:val="009A209E"/>
    <w:rsid w:val="009A4EF2"/>
    <w:rsid w:val="009B4938"/>
    <w:rsid w:val="009B55FB"/>
    <w:rsid w:val="009C0A49"/>
    <w:rsid w:val="009C6B4E"/>
    <w:rsid w:val="009E0AA5"/>
    <w:rsid w:val="00A0052F"/>
    <w:rsid w:val="00A10479"/>
    <w:rsid w:val="00A108D3"/>
    <w:rsid w:val="00A140BB"/>
    <w:rsid w:val="00A154D5"/>
    <w:rsid w:val="00A21CDD"/>
    <w:rsid w:val="00A22D87"/>
    <w:rsid w:val="00A4615F"/>
    <w:rsid w:val="00A46A65"/>
    <w:rsid w:val="00A517DC"/>
    <w:rsid w:val="00A53869"/>
    <w:rsid w:val="00A57911"/>
    <w:rsid w:val="00A608F6"/>
    <w:rsid w:val="00A61727"/>
    <w:rsid w:val="00A64B3E"/>
    <w:rsid w:val="00A74A93"/>
    <w:rsid w:val="00A76FEA"/>
    <w:rsid w:val="00A81B30"/>
    <w:rsid w:val="00A87F99"/>
    <w:rsid w:val="00A91F2B"/>
    <w:rsid w:val="00A9685D"/>
    <w:rsid w:val="00AC78FE"/>
    <w:rsid w:val="00AD099A"/>
    <w:rsid w:val="00AD0A1E"/>
    <w:rsid w:val="00AD0ED2"/>
    <w:rsid w:val="00AD7AFF"/>
    <w:rsid w:val="00AE1802"/>
    <w:rsid w:val="00AE4F24"/>
    <w:rsid w:val="00AE54FE"/>
    <w:rsid w:val="00AF13C9"/>
    <w:rsid w:val="00AF3E12"/>
    <w:rsid w:val="00B13551"/>
    <w:rsid w:val="00B139F3"/>
    <w:rsid w:val="00B236A1"/>
    <w:rsid w:val="00B23834"/>
    <w:rsid w:val="00B24041"/>
    <w:rsid w:val="00B439ED"/>
    <w:rsid w:val="00B45BCA"/>
    <w:rsid w:val="00B56DFD"/>
    <w:rsid w:val="00B66689"/>
    <w:rsid w:val="00B8187D"/>
    <w:rsid w:val="00BB16CC"/>
    <w:rsid w:val="00BB31E8"/>
    <w:rsid w:val="00BB6017"/>
    <w:rsid w:val="00BC3245"/>
    <w:rsid w:val="00BC33CA"/>
    <w:rsid w:val="00BC3B1F"/>
    <w:rsid w:val="00BF1AA7"/>
    <w:rsid w:val="00BF6AED"/>
    <w:rsid w:val="00C01DC8"/>
    <w:rsid w:val="00C06CD1"/>
    <w:rsid w:val="00C324BD"/>
    <w:rsid w:val="00C34078"/>
    <w:rsid w:val="00C41C6E"/>
    <w:rsid w:val="00C436BD"/>
    <w:rsid w:val="00C96E77"/>
    <w:rsid w:val="00CA7AE3"/>
    <w:rsid w:val="00CB7730"/>
    <w:rsid w:val="00CC3BE4"/>
    <w:rsid w:val="00CC4CCC"/>
    <w:rsid w:val="00CE071F"/>
    <w:rsid w:val="00CE0BCA"/>
    <w:rsid w:val="00CE1204"/>
    <w:rsid w:val="00D23E2D"/>
    <w:rsid w:val="00D36C20"/>
    <w:rsid w:val="00D50FAD"/>
    <w:rsid w:val="00D62C38"/>
    <w:rsid w:val="00D63F0B"/>
    <w:rsid w:val="00D649FD"/>
    <w:rsid w:val="00D65BCA"/>
    <w:rsid w:val="00D71734"/>
    <w:rsid w:val="00D853EB"/>
    <w:rsid w:val="00D90851"/>
    <w:rsid w:val="00D91C13"/>
    <w:rsid w:val="00D939CA"/>
    <w:rsid w:val="00D95F81"/>
    <w:rsid w:val="00D96DA2"/>
    <w:rsid w:val="00DA3437"/>
    <w:rsid w:val="00DB3C1B"/>
    <w:rsid w:val="00DC5B27"/>
    <w:rsid w:val="00DE2448"/>
    <w:rsid w:val="00DE434B"/>
    <w:rsid w:val="00DE45A2"/>
    <w:rsid w:val="00DE6611"/>
    <w:rsid w:val="00E0377C"/>
    <w:rsid w:val="00E12EC2"/>
    <w:rsid w:val="00E2018A"/>
    <w:rsid w:val="00E216BF"/>
    <w:rsid w:val="00E21766"/>
    <w:rsid w:val="00E27E8F"/>
    <w:rsid w:val="00E32888"/>
    <w:rsid w:val="00E40331"/>
    <w:rsid w:val="00E43937"/>
    <w:rsid w:val="00E45A91"/>
    <w:rsid w:val="00E46AD4"/>
    <w:rsid w:val="00E61768"/>
    <w:rsid w:val="00E61E67"/>
    <w:rsid w:val="00E72E21"/>
    <w:rsid w:val="00E74C61"/>
    <w:rsid w:val="00EB6B6C"/>
    <w:rsid w:val="00EC7D9D"/>
    <w:rsid w:val="00ED5C68"/>
    <w:rsid w:val="00EE620C"/>
    <w:rsid w:val="00EE69F9"/>
    <w:rsid w:val="00EE75EF"/>
    <w:rsid w:val="00EF0026"/>
    <w:rsid w:val="00EF489A"/>
    <w:rsid w:val="00EF7037"/>
    <w:rsid w:val="00F10647"/>
    <w:rsid w:val="00F131FC"/>
    <w:rsid w:val="00F1362E"/>
    <w:rsid w:val="00F26CF1"/>
    <w:rsid w:val="00F31D1A"/>
    <w:rsid w:val="00F37E11"/>
    <w:rsid w:val="00F51A7E"/>
    <w:rsid w:val="00F52D9E"/>
    <w:rsid w:val="00F53177"/>
    <w:rsid w:val="00F61A92"/>
    <w:rsid w:val="00F71484"/>
    <w:rsid w:val="00F764C9"/>
    <w:rsid w:val="00F80B20"/>
    <w:rsid w:val="00F861F4"/>
    <w:rsid w:val="00F952FD"/>
    <w:rsid w:val="00FA0565"/>
    <w:rsid w:val="00FB290C"/>
    <w:rsid w:val="00FC41FD"/>
    <w:rsid w:val="00FC4B6C"/>
    <w:rsid w:val="00FE6FB7"/>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4F60"/>
  <w15:docId w15:val="{3F3BE25B-CB58-4084-9DAB-CD19C8DD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560E"/>
    <w:rPr>
      <w:rFonts w:eastAsia="Tahoma" w:cstheme="minorHAnsi"/>
      <w:spacing w:val="4"/>
      <w:w w:val="102"/>
      <w:lang w:bidi="en-US"/>
    </w:rPr>
  </w:style>
  <w:style w:type="paragraph" w:styleId="Heading1">
    <w:name w:val="heading 1"/>
    <w:link w:val="Heading1Char"/>
    <w:uiPriority w:val="1"/>
    <w:qFormat/>
    <w:rsid w:val="005325C3"/>
    <w:pPr>
      <w:spacing w:after="240"/>
      <w:outlineLvl w:val="0"/>
    </w:pPr>
    <w:rPr>
      <w:rFonts w:asciiTheme="majorHAnsi" w:eastAsia="Tahoma" w:hAnsiTheme="majorHAnsi" w:cstheme="majorHAnsi"/>
      <w:b/>
      <w:color w:val="4C76C5" w:themeColor="accent1" w:themeShade="BF"/>
      <w:sz w:val="36"/>
      <w:szCs w:val="32"/>
      <w:lang w:bidi="en-US"/>
    </w:rPr>
  </w:style>
  <w:style w:type="paragraph" w:styleId="Heading2">
    <w:name w:val="heading 2"/>
    <w:basedOn w:val="Normal"/>
    <w:link w:val="Heading2Char"/>
    <w:uiPriority w:val="1"/>
    <w:qFormat/>
    <w:rsid w:val="00E74C61"/>
    <w:pPr>
      <w:keepNext/>
      <w:pBdr>
        <w:bottom w:val="single" w:sz="4" w:space="6" w:color="4C76C5" w:themeColor="accent1" w:themeShade="BF"/>
      </w:pBdr>
      <w:tabs>
        <w:tab w:val="left" w:pos="8086"/>
      </w:tabs>
      <w:spacing w:before="360" w:after="60"/>
      <w:outlineLvl w:val="1"/>
    </w:pPr>
    <w:rPr>
      <w:b/>
      <w:color w:val="4A7CBA"/>
      <w:w w:val="100"/>
      <w:sz w:val="24"/>
      <w:szCs w:val="24"/>
      <w:lang w:bidi="ar-SA"/>
      <w14:textFill>
        <w14:solidFill>
          <w14:srgbClr w14:val="4A7CBA">
            <w14:lumMod w14:val="75000"/>
          </w14:srgbClr>
        </w14:solidFill>
      </w14:textFill>
    </w:rPr>
  </w:style>
  <w:style w:type="paragraph" w:styleId="Heading3">
    <w:name w:val="heading 3"/>
    <w:basedOn w:val="Heading2"/>
    <w:next w:val="Normal"/>
    <w:link w:val="Heading3Char"/>
    <w:uiPriority w:val="9"/>
    <w:unhideWhenUsed/>
    <w:qFormat/>
    <w:rsid w:val="00E74C61"/>
    <w:pPr>
      <w:outlineLvl w:val="2"/>
    </w:pPr>
    <w:rPr>
      <w:sz w:val="22"/>
      <w:szCs w:val="22"/>
    </w:rPr>
  </w:style>
  <w:style w:type="paragraph" w:styleId="Heading4">
    <w:name w:val="heading 4"/>
    <w:basedOn w:val="Normal"/>
    <w:next w:val="Normal"/>
    <w:link w:val="Heading4Char"/>
    <w:uiPriority w:val="9"/>
    <w:unhideWhenUsed/>
    <w:qFormat/>
    <w:rsid w:val="009C6B4E"/>
    <w:pPr>
      <w:keepNext/>
      <w:keepLines/>
      <w:spacing w:before="240"/>
      <w:outlineLvl w:val="3"/>
    </w:pPr>
    <w:rPr>
      <w:rFonts w:asciiTheme="majorHAnsi" w:eastAsiaTheme="majorEastAsia" w:hAnsiTheme="majorHAnsi" w:cstheme="majorBidi"/>
      <w:b/>
      <w:bCs/>
      <w:color w:val="2C4D8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C61"/>
    <w:rPr>
      <w:rFonts w:eastAsia="Tahoma" w:cstheme="minorHAnsi"/>
      <w:b/>
      <w:color w:val="4A7CBA"/>
      <w:spacing w:val="4"/>
      <w14:textFill>
        <w14:solidFill>
          <w14:srgbClr w14:val="4A7CBA">
            <w14:lumMod w14:val="75000"/>
          </w14:srgbClr>
        </w14:solidFill>
      </w14:textFill>
    </w:rPr>
  </w:style>
  <w:style w:type="paragraph" w:styleId="ListParagraph">
    <w:name w:val="List Paragraph"/>
    <w:basedOn w:val="Normal"/>
    <w:uiPriority w:val="34"/>
    <w:qFormat/>
    <w:rsid w:val="00512FF1"/>
    <w:pPr>
      <w:numPr>
        <w:numId w:val="1"/>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1D1A"/>
    <w:pPr>
      <w:tabs>
        <w:tab w:val="center" w:pos="4680"/>
        <w:tab w:val="right" w:pos="9360"/>
      </w:tabs>
    </w:pPr>
  </w:style>
  <w:style w:type="character" w:customStyle="1" w:styleId="HeaderChar">
    <w:name w:val="Header Char"/>
    <w:basedOn w:val="DefaultParagraphFont"/>
    <w:link w:val="Header"/>
    <w:uiPriority w:val="99"/>
    <w:rsid w:val="00F31D1A"/>
    <w:rPr>
      <w:rFonts w:ascii="Tahoma" w:eastAsia="Tahoma" w:hAnsi="Tahoma" w:cs="Tahoma"/>
      <w:lang w:bidi="en-US"/>
    </w:rPr>
  </w:style>
  <w:style w:type="paragraph" w:styleId="Footer">
    <w:name w:val="footer"/>
    <w:link w:val="FooterChar"/>
    <w:uiPriority w:val="99"/>
    <w:unhideWhenUsed/>
    <w:rsid w:val="0013408C"/>
    <w:pPr>
      <w:tabs>
        <w:tab w:val="center" w:pos="4680"/>
        <w:tab w:val="right" w:pos="9360"/>
      </w:tabs>
      <w:ind w:left="900" w:right="2451"/>
      <w:jc w:val="center"/>
    </w:pPr>
    <w:rPr>
      <w:rFonts w:eastAsia="Tahoma" w:cstheme="minorHAnsi"/>
      <w:noProof/>
      <w:color w:val="2C4D8B" w:themeColor="accent1" w:themeShade="80"/>
      <w:spacing w:val="4"/>
      <w:w w:val="102"/>
      <w:sz w:val="13"/>
      <w:szCs w:val="13"/>
      <w:lang w:bidi="en-US"/>
    </w:rPr>
  </w:style>
  <w:style w:type="character" w:customStyle="1" w:styleId="FooterChar">
    <w:name w:val="Footer Char"/>
    <w:basedOn w:val="DefaultParagraphFont"/>
    <w:link w:val="Footer"/>
    <w:uiPriority w:val="99"/>
    <w:rsid w:val="0013408C"/>
    <w:rPr>
      <w:rFonts w:eastAsia="Tahoma" w:cstheme="minorHAnsi"/>
      <w:noProof/>
      <w:color w:val="2C4D8B" w:themeColor="accent1" w:themeShade="80"/>
      <w:spacing w:val="4"/>
      <w:w w:val="102"/>
      <w:sz w:val="13"/>
      <w:szCs w:val="13"/>
      <w:lang w:bidi="en-US"/>
    </w:rPr>
  </w:style>
  <w:style w:type="paragraph" w:customStyle="1" w:styleId="BLBLBL">
    <w:name w:val="BLBLBL"/>
    <w:basedOn w:val="BL-Blue-NoIndent"/>
    <w:uiPriority w:val="1"/>
    <w:qFormat/>
    <w:rsid w:val="00D95F81"/>
    <w:pPr>
      <w:ind w:left="1080"/>
    </w:pPr>
  </w:style>
  <w:style w:type="paragraph" w:customStyle="1" w:styleId="BL-Blue-NoIndent">
    <w:name w:val="BL-Blue-No Indent"/>
    <w:basedOn w:val="Normal"/>
    <w:uiPriority w:val="1"/>
    <w:qFormat/>
    <w:rsid w:val="00D95F81"/>
    <w:pPr>
      <w:widowControl/>
      <w:numPr>
        <w:numId w:val="6"/>
      </w:numPr>
      <w:spacing w:after="60"/>
    </w:pPr>
  </w:style>
  <w:style w:type="character" w:styleId="CommentReference">
    <w:name w:val="annotation reference"/>
    <w:basedOn w:val="DefaultParagraphFont"/>
    <w:uiPriority w:val="99"/>
    <w:semiHidden/>
    <w:unhideWhenUsed/>
    <w:rsid w:val="00203E6F"/>
    <w:rPr>
      <w:sz w:val="16"/>
      <w:szCs w:val="16"/>
    </w:rPr>
  </w:style>
  <w:style w:type="paragraph" w:styleId="CommentText">
    <w:name w:val="annotation text"/>
    <w:basedOn w:val="Normal"/>
    <w:link w:val="CommentTextChar"/>
    <w:uiPriority w:val="99"/>
    <w:unhideWhenUsed/>
    <w:rsid w:val="00203E6F"/>
    <w:rPr>
      <w:sz w:val="20"/>
      <w:szCs w:val="20"/>
    </w:rPr>
  </w:style>
  <w:style w:type="character" w:customStyle="1" w:styleId="CommentTextChar">
    <w:name w:val="Comment Text Char"/>
    <w:basedOn w:val="DefaultParagraphFont"/>
    <w:link w:val="CommentText"/>
    <w:uiPriority w:val="99"/>
    <w:rsid w:val="00203E6F"/>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03E6F"/>
    <w:rPr>
      <w:b/>
      <w:bCs/>
    </w:rPr>
  </w:style>
  <w:style w:type="character" w:customStyle="1" w:styleId="CommentSubjectChar">
    <w:name w:val="Comment Subject Char"/>
    <w:basedOn w:val="CommentTextChar"/>
    <w:link w:val="CommentSubject"/>
    <w:uiPriority w:val="99"/>
    <w:semiHidden/>
    <w:rsid w:val="00203E6F"/>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203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6F"/>
    <w:rPr>
      <w:rFonts w:ascii="Segoe UI" w:eastAsia="Tahoma" w:hAnsi="Segoe UI" w:cs="Segoe UI"/>
      <w:sz w:val="18"/>
      <w:szCs w:val="18"/>
      <w:lang w:bidi="en-US"/>
    </w:rPr>
  </w:style>
  <w:style w:type="character" w:customStyle="1" w:styleId="Heading1Char">
    <w:name w:val="Heading 1 Char"/>
    <w:basedOn w:val="DefaultParagraphFont"/>
    <w:link w:val="Heading1"/>
    <w:uiPriority w:val="1"/>
    <w:rsid w:val="005325C3"/>
    <w:rPr>
      <w:rFonts w:asciiTheme="majorHAnsi" w:eastAsia="Tahoma" w:hAnsiTheme="majorHAnsi" w:cstheme="majorHAnsi"/>
      <w:b/>
      <w:color w:val="4C76C5" w:themeColor="accent1" w:themeShade="BF"/>
      <w:sz w:val="36"/>
      <w:szCs w:val="32"/>
      <w:lang w:bidi="en-US"/>
    </w:rPr>
  </w:style>
  <w:style w:type="paragraph" w:styleId="FootnoteText">
    <w:name w:val="footnote text"/>
    <w:basedOn w:val="Normal"/>
    <w:link w:val="FootnoteTextChar"/>
    <w:uiPriority w:val="99"/>
    <w:unhideWhenUsed/>
    <w:rsid w:val="005325C3"/>
    <w:rPr>
      <w:rFonts w:cs="Calibri (Body)"/>
      <w:sz w:val="18"/>
      <w:szCs w:val="20"/>
    </w:rPr>
  </w:style>
  <w:style w:type="character" w:customStyle="1" w:styleId="FootnoteTextChar">
    <w:name w:val="Footnote Text Char"/>
    <w:basedOn w:val="DefaultParagraphFont"/>
    <w:link w:val="FootnoteText"/>
    <w:uiPriority w:val="99"/>
    <w:rsid w:val="005325C3"/>
    <w:rPr>
      <w:rFonts w:eastAsia="Tahoma" w:cs="Calibri (Body)"/>
      <w:spacing w:val="4"/>
      <w:w w:val="102"/>
      <w:sz w:val="18"/>
      <w:szCs w:val="20"/>
      <w:lang w:bidi="en-US"/>
    </w:rPr>
  </w:style>
  <w:style w:type="character" w:styleId="FootnoteReference">
    <w:name w:val="footnote reference"/>
    <w:basedOn w:val="DefaultParagraphFont"/>
    <w:uiPriority w:val="99"/>
    <w:semiHidden/>
    <w:unhideWhenUsed/>
    <w:rsid w:val="004A0821"/>
    <w:rPr>
      <w:vertAlign w:val="superscript"/>
    </w:rPr>
  </w:style>
  <w:style w:type="character" w:styleId="Hyperlink">
    <w:name w:val="Hyperlink"/>
    <w:uiPriority w:val="99"/>
    <w:unhideWhenUsed/>
    <w:rsid w:val="00D95F81"/>
    <w:rPr>
      <w:color w:val="007F7F"/>
    </w:rPr>
  </w:style>
  <w:style w:type="character" w:customStyle="1" w:styleId="UnresolvedMention1">
    <w:name w:val="Unresolved Mention1"/>
    <w:basedOn w:val="DefaultParagraphFont"/>
    <w:uiPriority w:val="99"/>
    <w:semiHidden/>
    <w:unhideWhenUsed/>
    <w:rsid w:val="00992EC5"/>
    <w:rPr>
      <w:color w:val="605E5C"/>
      <w:shd w:val="clear" w:color="auto" w:fill="E1DFDD"/>
    </w:rPr>
  </w:style>
  <w:style w:type="character" w:styleId="Emphasis">
    <w:name w:val="Emphasis"/>
    <w:basedOn w:val="DefaultParagraphFont"/>
    <w:uiPriority w:val="20"/>
    <w:qFormat/>
    <w:rsid w:val="00A108D3"/>
    <w:rPr>
      <w:i/>
      <w:iCs/>
    </w:rPr>
  </w:style>
  <w:style w:type="paragraph" w:styleId="Revision">
    <w:name w:val="Revision"/>
    <w:hidden/>
    <w:uiPriority w:val="99"/>
    <w:semiHidden/>
    <w:rsid w:val="0066415C"/>
    <w:pPr>
      <w:widowControl/>
      <w:autoSpaceDE/>
      <w:autoSpaceDN/>
    </w:pPr>
    <w:rPr>
      <w:rFonts w:ascii="Tahoma" w:eastAsia="Tahoma" w:hAnsi="Tahoma" w:cs="Tahoma"/>
      <w:lang w:bidi="en-US"/>
    </w:rPr>
  </w:style>
  <w:style w:type="paragraph" w:customStyle="1" w:styleId="Rule">
    <w:name w:val="Rule"/>
    <w:basedOn w:val="Heading2"/>
    <w:uiPriority w:val="1"/>
    <w:qFormat/>
    <w:rsid w:val="005325C3"/>
    <w:pPr>
      <w:pBdr>
        <w:bottom w:val="single" w:sz="4" w:space="1" w:color="4C76C5" w:themeColor="accent1" w:themeShade="BF"/>
      </w:pBdr>
      <w:spacing w:before="0" w:after="180"/>
    </w:pPr>
    <w:rPr>
      <w:color w:val="000000" w:themeColor="text1" w:themeShade="BF"/>
      <w:sz w:val="12"/>
      <w:szCs w:val="12"/>
    </w:rPr>
  </w:style>
  <w:style w:type="numbering" w:customStyle="1" w:styleId="CurrentList1">
    <w:name w:val="Current List1"/>
    <w:uiPriority w:val="99"/>
    <w:rsid w:val="0013408C"/>
    <w:pPr>
      <w:numPr>
        <w:numId w:val="2"/>
      </w:numPr>
    </w:pPr>
  </w:style>
  <w:style w:type="numbering" w:customStyle="1" w:styleId="CurrentList2">
    <w:name w:val="Current List2"/>
    <w:uiPriority w:val="99"/>
    <w:rsid w:val="0013408C"/>
    <w:pPr>
      <w:numPr>
        <w:numId w:val="4"/>
      </w:numPr>
    </w:pPr>
  </w:style>
  <w:style w:type="numbering" w:customStyle="1" w:styleId="CurrentList3">
    <w:name w:val="Current List3"/>
    <w:uiPriority w:val="99"/>
    <w:rsid w:val="0013408C"/>
    <w:pPr>
      <w:numPr>
        <w:numId w:val="5"/>
      </w:numPr>
    </w:pPr>
  </w:style>
  <w:style w:type="character" w:customStyle="1" w:styleId="Heading4Char">
    <w:name w:val="Heading 4 Char"/>
    <w:basedOn w:val="DefaultParagraphFont"/>
    <w:link w:val="Heading4"/>
    <w:uiPriority w:val="9"/>
    <w:rsid w:val="009C6B4E"/>
    <w:rPr>
      <w:rFonts w:asciiTheme="majorHAnsi" w:eastAsiaTheme="majorEastAsia" w:hAnsiTheme="majorHAnsi" w:cstheme="majorBidi"/>
      <w:b/>
      <w:bCs/>
      <w:color w:val="2C4D8B" w:themeColor="accent1" w:themeShade="80"/>
      <w:spacing w:val="4"/>
      <w:w w:val="102"/>
      <w:lang w:bidi="en-US"/>
    </w:rPr>
  </w:style>
  <w:style w:type="table" w:styleId="TableGrid">
    <w:name w:val="Table Grid"/>
    <w:basedOn w:val="TableNormal"/>
    <w:uiPriority w:val="39"/>
    <w:rsid w:val="00E1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4AF7"/>
    <w:rPr>
      <w:rFonts w:ascii="Tahoma" w:hAnsi="Tahoma" w:cs="Tahoma"/>
      <w:spacing w:val="0"/>
      <w:w w:val="100"/>
      <w:sz w:val="19"/>
      <w:szCs w:val="19"/>
    </w:rPr>
  </w:style>
  <w:style w:type="character" w:customStyle="1" w:styleId="BodyTextChar">
    <w:name w:val="Body Text Char"/>
    <w:basedOn w:val="DefaultParagraphFont"/>
    <w:link w:val="BodyText"/>
    <w:uiPriority w:val="1"/>
    <w:rsid w:val="003B4AF7"/>
    <w:rPr>
      <w:rFonts w:ascii="Tahoma" w:eastAsia="Tahoma" w:hAnsi="Tahoma" w:cs="Tahoma"/>
      <w:sz w:val="19"/>
      <w:szCs w:val="19"/>
      <w:lang w:bidi="en-US"/>
    </w:rPr>
  </w:style>
  <w:style w:type="paragraph" w:customStyle="1" w:styleId="BLBL">
    <w:name w:val="BLBL"/>
    <w:basedOn w:val="BL-Blue-NoIndent"/>
    <w:uiPriority w:val="1"/>
    <w:qFormat/>
    <w:rsid w:val="00A22D87"/>
    <w:pPr>
      <w:ind w:left="720"/>
    </w:pPr>
  </w:style>
  <w:style w:type="character" w:styleId="FollowedHyperlink">
    <w:name w:val="FollowedHyperlink"/>
    <w:basedOn w:val="DefaultParagraphFont"/>
    <w:uiPriority w:val="99"/>
    <w:semiHidden/>
    <w:unhideWhenUsed/>
    <w:rsid w:val="0018747C"/>
    <w:rPr>
      <w:color w:val="007F7F"/>
      <w:u w:val="single"/>
    </w:rPr>
  </w:style>
  <w:style w:type="character" w:customStyle="1" w:styleId="Hyperlink1">
    <w:name w:val="Hyperlink1"/>
    <w:basedOn w:val="DefaultParagraphFont"/>
    <w:uiPriority w:val="99"/>
    <w:unhideWhenUsed/>
    <w:rsid w:val="0018747C"/>
    <w:rPr>
      <w:color w:val="007F7F"/>
      <w:u w:val="single"/>
    </w:rPr>
  </w:style>
  <w:style w:type="character" w:customStyle="1" w:styleId="Heading2Char">
    <w:name w:val="Heading 2 Char"/>
    <w:basedOn w:val="DefaultParagraphFont"/>
    <w:link w:val="Heading2"/>
    <w:uiPriority w:val="1"/>
    <w:rsid w:val="00E74C61"/>
    <w:rPr>
      <w:rFonts w:eastAsia="Tahoma" w:cstheme="minorHAnsi"/>
      <w:b/>
      <w:color w:val="4A7CBA"/>
      <w:spacing w:val="4"/>
      <w:sz w:val="24"/>
      <w:szCs w:val="24"/>
      <w14:textFill>
        <w14:solidFill>
          <w14:srgbClr w14:val="4A7CBA">
            <w14:lumMod w14:val="75000"/>
          </w14:srgbClr>
        </w14:solidFill>
      </w14:textFill>
    </w:rPr>
  </w:style>
  <w:style w:type="paragraph" w:styleId="EndnoteText">
    <w:name w:val="endnote text"/>
    <w:basedOn w:val="FootnoteText"/>
    <w:link w:val="EndnoteTextChar"/>
    <w:uiPriority w:val="99"/>
    <w:unhideWhenUsed/>
    <w:rsid w:val="00916A9D"/>
    <w:rPr>
      <w:szCs w:val="18"/>
    </w:rPr>
  </w:style>
  <w:style w:type="character" w:customStyle="1" w:styleId="EndnoteTextChar">
    <w:name w:val="Endnote Text Char"/>
    <w:basedOn w:val="DefaultParagraphFont"/>
    <w:link w:val="EndnoteText"/>
    <w:uiPriority w:val="99"/>
    <w:rsid w:val="00916A9D"/>
    <w:rPr>
      <w:rFonts w:eastAsia="Tahoma" w:cstheme="minorHAnsi"/>
      <w:spacing w:val="4"/>
      <w:w w:val="102"/>
      <w:sz w:val="18"/>
      <w:szCs w:val="18"/>
      <w:lang w:bidi="en-US"/>
    </w:rPr>
  </w:style>
  <w:style w:type="character" w:styleId="EndnoteReference">
    <w:name w:val="endnote reference"/>
    <w:basedOn w:val="DefaultParagraphFont"/>
    <w:uiPriority w:val="99"/>
    <w:semiHidden/>
    <w:unhideWhenUsed/>
    <w:rsid w:val="00916A9D"/>
    <w:rPr>
      <w:vertAlign w:val="superscript"/>
    </w:rPr>
  </w:style>
  <w:style w:type="character" w:customStyle="1" w:styleId="Strong-Color">
    <w:name w:val="Strong-Color"/>
    <w:basedOn w:val="DefaultParagraphFont"/>
    <w:uiPriority w:val="1"/>
    <w:qFormat/>
    <w:rsid w:val="0018747C"/>
    <w:rPr>
      <w:b/>
      <w:color w:val="476B99"/>
      <w:szCs w:val="24"/>
    </w:rPr>
  </w:style>
  <w:style w:type="character" w:styleId="PageNumber">
    <w:name w:val="page number"/>
    <w:basedOn w:val="DefaultParagraphFont"/>
    <w:uiPriority w:val="99"/>
    <w:semiHidden/>
    <w:unhideWhenUsed/>
    <w:rsid w:val="0018747C"/>
  </w:style>
  <w:style w:type="paragraph" w:customStyle="1" w:styleId="NormalSpaceAfter">
    <w:name w:val="Normal+SpaceAfter"/>
    <w:basedOn w:val="Normal"/>
    <w:uiPriority w:val="1"/>
    <w:qFormat/>
    <w:rsid w:val="00D95F8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5772">
      <w:bodyDiv w:val="1"/>
      <w:marLeft w:val="0"/>
      <w:marRight w:val="0"/>
      <w:marTop w:val="0"/>
      <w:marBottom w:val="0"/>
      <w:divBdr>
        <w:top w:val="none" w:sz="0" w:space="0" w:color="auto"/>
        <w:left w:val="none" w:sz="0" w:space="0" w:color="auto"/>
        <w:bottom w:val="none" w:sz="0" w:space="0" w:color="auto"/>
        <w:right w:val="none" w:sz="0" w:space="0" w:color="auto"/>
      </w:divBdr>
    </w:div>
    <w:div w:id="1035736701">
      <w:bodyDiv w:val="1"/>
      <w:marLeft w:val="0"/>
      <w:marRight w:val="0"/>
      <w:marTop w:val="0"/>
      <w:marBottom w:val="0"/>
      <w:divBdr>
        <w:top w:val="none" w:sz="0" w:space="0" w:color="auto"/>
        <w:left w:val="none" w:sz="0" w:space="0" w:color="auto"/>
        <w:bottom w:val="none" w:sz="0" w:space="0" w:color="auto"/>
        <w:right w:val="none" w:sz="0" w:space="0" w:color="auto"/>
      </w:divBdr>
    </w:div>
    <w:div w:id="203345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CG_Dosage">
      <a:dk1>
        <a:srgbClr val="000000"/>
      </a:dk1>
      <a:lt1>
        <a:srgbClr val="FFFFFF"/>
      </a:lt1>
      <a:dk2>
        <a:srgbClr val="000000"/>
      </a:dk2>
      <a:lt2>
        <a:srgbClr val="808080"/>
      </a:lt2>
      <a:accent1>
        <a:srgbClr val="92ACDC"/>
      </a:accent1>
      <a:accent2>
        <a:srgbClr val="576093"/>
      </a:accent2>
      <a:accent3>
        <a:srgbClr val="F9A349"/>
      </a:accent3>
      <a:accent4>
        <a:srgbClr val="EE7768"/>
      </a:accent4>
      <a:accent5>
        <a:srgbClr val="E84948"/>
      </a:accent5>
      <a:accent6>
        <a:srgbClr val="E5B114"/>
      </a:accent6>
      <a:hlink>
        <a:srgbClr val="009999"/>
      </a:hlink>
      <a:folHlink>
        <a:srgbClr val="99CC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8617-4833-4FB0-8D4B-F65C09F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Dosage Probation: Meeting 1: Illustrative</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Dosage Probation: Meeting 1: Illustrative</dc:title>
  <dc:subject/>
  <dc:creator>The Center for Effective Public Policy</dc:creator>
  <cp:keywords/>
  <dc:description/>
  <cp:lastModifiedBy>Debbie Smith</cp:lastModifiedBy>
  <cp:revision>3</cp:revision>
  <cp:lastPrinted>2022-10-18T15:43:00Z</cp:lastPrinted>
  <dcterms:created xsi:type="dcterms:W3CDTF">2023-04-30T16:24:00Z</dcterms:created>
  <dcterms:modified xsi:type="dcterms:W3CDTF">2023-05-02T13:47:00Z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InDesign 14.0 (Macintosh)</vt:lpwstr>
  </property>
  <property fmtid="{D5CDD505-2E9C-101B-9397-08002B2CF9AE}" pid="4" name="LastSaved">
    <vt:filetime>2021-03-05T00:00:00Z</vt:filetime>
  </property>
  <property fmtid="{D5CDD505-2E9C-101B-9397-08002B2CF9AE}" pid="5" name="GrammarlyDocumentId">
    <vt:lpwstr>90530f8481385bcbe26413d90ba930474bb0fbe13d0a2faa6ab5619e6a67f09d</vt:lpwstr>
  </property>
</Properties>
</file>