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1"/>
        <w:tblW w:w="10260" w:type="dxa"/>
        <w:tblLook w:val="04A0" w:firstRow="1" w:lastRow="0" w:firstColumn="1" w:lastColumn="0" w:noHBand="0" w:noVBand="1"/>
      </w:tblPr>
      <w:tblGrid>
        <w:gridCol w:w="2070"/>
        <w:gridCol w:w="8190"/>
      </w:tblGrid>
      <w:tr w:rsidR="007C6407" w14:paraId="5A62A31F" w14:textId="77777777" w:rsidTr="009B1235">
        <w:tc>
          <w:tcPr>
            <w:tcW w:w="10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4E6CC" w14:textId="77777777" w:rsidR="007C6407" w:rsidRDefault="007C6407" w:rsidP="00CF16D3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</w:rPr>
            </w:pPr>
            <w:r w:rsidRPr="007C6407">
              <w:rPr>
                <w:rFonts w:ascii="Cambria" w:hAnsi="Cambria"/>
                <w:b/>
                <w:bCs/>
                <w:sz w:val="40"/>
                <w:szCs w:val="40"/>
              </w:rPr>
              <w:t>Spiritual Gifts Described in 1 Corinthians 12:8-10</w:t>
            </w:r>
          </w:p>
          <w:p w14:paraId="0C0C9952" w14:textId="04456492" w:rsidR="00F06D21" w:rsidRPr="00A10EBB" w:rsidRDefault="00F06D21" w:rsidP="00CF16D3">
            <w:pPr>
              <w:rPr>
                <w:rFonts w:ascii="Cambria" w:hAnsi="Cambria"/>
                <w:b/>
                <w:bCs/>
                <w:sz w:val="40"/>
                <w:szCs w:val="40"/>
              </w:rPr>
            </w:pPr>
          </w:p>
        </w:tc>
      </w:tr>
      <w:tr w:rsidR="00CA1BC6" w14:paraId="34D83780" w14:textId="77777777" w:rsidTr="009B1235">
        <w:trPr>
          <w:trHeight w:val="497"/>
        </w:trPr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8F21949" w14:textId="53ACF045" w:rsidR="00CA1BC6" w:rsidRPr="001D3A62" w:rsidRDefault="00CA1BC6" w:rsidP="00CF16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D3A62">
              <w:rPr>
                <w:rFonts w:ascii="Cambria" w:hAnsi="Cambria"/>
                <w:b/>
                <w:bCs/>
                <w:sz w:val="28"/>
                <w:szCs w:val="28"/>
              </w:rPr>
              <w:t>Gift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5AC0E32E" w14:textId="53907A2E" w:rsidR="00CA1BC6" w:rsidRPr="001D3A62" w:rsidRDefault="00CA1BC6" w:rsidP="00CF16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D3A62">
              <w:rPr>
                <w:rFonts w:ascii="Cambria" w:hAnsi="Cambria"/>
                <w:b/>
                <w:bCs/>
                <w:sz w:val="28"/>
                <w:szCs w:val="28"/>
              </w:rPr>
              <w:t>Definition</w:t>
            </w:r>
            <w:r w:rsidR="00CF16D3" w:rsidRPr="001D3A62">
              <w:rPr>
                <w:rStyle w:val="FootnoteReference"/>
                <w:rFonts w:ascii="Cambria" w:hAnsi="Cambria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CA1BC6" w14:paraId="5D3394A0" w14:textId="77777777" w:rsidTr="009B1235">
        <w:trPr>
          <w:trHeight w:val="1042"/>
        </w:trPr>
        <w:tc>
          <w:tcPr>
            <w:tcW w:w="2070" w:type="dxa"/>
            <w:vAlign w:val="center"/>
          </w:tcPr>
          <w:p w14:paraId="65D5F088" w14:textId="563F8B00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 xml:space="preserve">Word of </w:t>
            </w:r>
            <w:r w:rsidR="00421A98" w:rsidRPr="00CF16D3">
              <w:rPr>
                <w:rFonts w:ascii="Cambria" w:hAnsi="Cambria"/>
                <w:b/>
                <w:bCs/>
                <w:sz w:val="22"/>
                <w:szCs w:val="22"/>
              </w:rPr>
              <w:t>W</w:t>
            </w: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isdom</w:t>
            </w:r>
          </w:p>
        </w:tc>
        <w:tc>
          <w:tcPr>
            <w:tcW w:w="8190" w:type="dxa"/>
            <w:vAlign w:val="center"/>
          </w:tcPr>
          <w:p w14:paraId="5B7972BD" w14:textId="7C8E39C8" w:rsidR="00CA1BC6" w:rsidRPr="00CF16D3" w:rsidRDefault="0072613C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 xml:space="preserve">The ability “to rightly understand </w:t>
            </w:r>
            <w:r w:rsidR="00A740A2" w:rsidRPr="00CF16D3">
              <w:rPr>
                <w:rFonts w:ascii="Cambria" w:hAnsi="Cambria"/>
                <w:sz w:val="22"/>
                <w:szCs w:val="22"/>
              </w:rPr>
              <w:t>divinely revealed truth and articulate the proper application of it for everyday life</w:t>
            </w:r>
            <w:r w:rsidR="003429B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740A2" w:rsidRPr="00CF16D3">
              <w:rPr>
                <w:rFonts w:ascii="Cambria" w:hAnsi="Cambria"/>
                <w:sz w:val="22"/>
                <w:szCs w:val="22"/>
              </w:rPr>
              <w:t xml:space="preserve">(cf. Matt. </w:t>
            </w:r>
            <w:r w:rsidR="007C6407" w:rsidRPr="00CF16D3">
              <w:rPr>
                <w:rFonts w:ascii="Cambria" w:hAnsi="Cambria"/>
                <w:sz w:val="22"/>
                <w:szCs w:val="22"/>
              </w:rPr>
              <w:t>13:54; Mark 6:2; Acts 6:10; James 1:5; 3:17; 2 Pet. 3:15</w:t>
            </w:r>
            <w:r w:rsidR="00A740A2" w:rsidRPr="00CF16D3">
              <w:rPr>
                <w:rFonts w:ascii="Cambria" w:hAnsi="Cambria"/>
                <w:sz w:val="22"/>
                <w:szCs w:val="22"/>
              </w:rPr>
              <w:t>)</w:t>
            </w:r>
            <w:r w:rsidR="003429B1">
              <w:rPr>
                <w:rFonts w:ascii="Cambria" w:hAnsi="Cambria"/>
                <w:sz w:val="22"/>
                <w:szCs w:val="22"/>
              </w:rPr>
              <w:t>.</w:t>
            </w:r>
            <w:r w:rsidRPr="00CF16D3">
              <w:rPr>
                <w:rFonts w:ascii="Cambria" w:hAnsi="Cambria"/>
                <w:sz w:val="22"/>
                <w:szCs w:val="22"/>
              </w:rPr>
              <w:t>”</w:t>
            </w:r>
            <w:r w:rsidR="007C6407"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C6407" w:rsidRPr="009B1235">
              <w:rPr>
                <w:rFonts w:ascii="Cambria" w:hAnsi="Cambria"/>
                <w:sz w:val="18"/>
                <w:szCs w:val="18"/>
              </w:rPr>
              <w:t>p</w:t>
            </w:r>
            <w:r w:rsidR="00A579D9" w:rsidRPr="009B1235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7C6407" w:rsidRPr="009B1235">
              <w:rPr>
                <w:rFonts w:ascii="Cambria" w:hAnsi="Cambria"/>
                <w:sz w:val="18"/>
                <w:szCs w:val="18"/>
              </w:rPr>
              <w:t>813</w:t>
            </w:r>
          </w:p>
        </w:tc>
      </w:tr>
      <w:tr w:rsidR="00CA1BC6" w14:paraId="2ECF5708" w14:textId="77777777" w:rsidTr="009B1235">
        <w:trPr>
          <w:trHeight w:val="880"/>
        </w:trPr>
        <w:tc>
          <w:tcPr>
            <w:tcW w:w="2070" w:type="dxa"/>
            <w:vAlign w:val="center"/>
          </w:tcPr>
          <w:p w14:paraId="1ED9A168" w14:textId="3D416A87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 xml:space="preserve">Word of </w:t>
            </w:r>
            <w:r w:rsidR="00421A98" w:rsidRPr="00CF16D3">
              <w:rPr>
                <w:rFonts w:ascii="Cambria" w:hAnsi="Cambria"/>
                <w:b/>
                <w:bCs/>
                <w:sz w:val="22"/>
                <w:szCs w:val="22"/>
              </w:rPr>
              <w:t>K</w:t>
            </w: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nowledge</w:t>
            </w:r>
          </w:p>
        </w:tc>
        <w:tc>
          <w:tcPr>
            <w:tcW w:w="8190" w:type="dxa"/>
            <w:vAlign w:val="center"/>
          </w:tcPr>
          <w:p w14:paraId="1E11E01C" w14:textId="149147D0" w:rsidR="00CA1BC6" w:rsidRPr="00CF16D3" w:rsidRDefault="007C3C0C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 xml:space="preserve">The </w:t>
            </w:r>
            <w:r w:rsidR="00B05139" w:rsidRPr="00CF16D3">
              <w:rPr>
                <w:rFonts w:ascii="Cambria" w:hAnsi="Cambria"/>
                <w:sz w:val="22"/>
                <w:szCs w:val="22"/>
              </w:rPr>
              <w:t>ability to provide “insight in the profound truths of God’s Word</w:t>
            </w:r>
            <w:r w:rsidR="00E9050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05139" w:rsidRPr="00CF16D3">
              <w:rPr>
                <w:rFonts w:ascii="Cambria" w:hAnsi="Cambria"/>
                <w:sz w:val="22"/>
                <w:szCs w:val="22"/>
              </w:rPr>
              <w:t xml:space="preserve">(cf. Eph. 3:3; </w:t>
            </w:r>
            <w:r w:rsidR="00F91F6C" w:rsidRPr="00CF16D3">
              <w:rPr>
                <w:rFonts w:ascii="Cambria" w:hAnsi="Cambria"/>
                <w:sz w:val="22"/>
                <w:szCs w:val="22"/>
              </w:rPr>
              <w:t>Col. 1:26; 2:2</w:t>
            </w:r>
            <w:r w:rsidR="00B05139" w:rsidRPr="00CF16D3">
              <w:rPr>
                <w:rFonts w:ascii="Cambria" w:hAnsi="Cambria"/>
                <w:sz w:val="22"/>
                <w:szCs w:val="22"/>
              </w:rPr>
              <w:t>)</w:t>
            </w:r>
            <w:r w:rsidR="003429B1">
              <w:rPr>
                <w:rFonts w:ascii="Cambria" w:hAnsi="Cambria"/>
                <w:sz w:val="22"/>
                <w:szCs w:val="22"/>
              </w:rPr>
              <w:t>.</w:t>
            </w:r>
            <w:r w:rsidR="00B05139" w:rsidRPr="00CF16D3">
              <w:rPr>
                <w:rFonts w:ascii="Cambria" w:hAnsi="Cambria"/>
                <w:sz w:val="22"/>
                <w:szCs w:val="22"/>
              </w:rPr>
              <w:t>”</w:t>
            </w:r>
            <w:r w:rsidR="009E3A35"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9E3A35" w:rsidRPr="009B1235">
              <w:rPr>
                <w:rFonts w:ascii="Cambria" w:hAnsi="Cambria"/>
                <w:sz w:val="18"/>
                <w:szCs w:val="18"/>
              </w:rPr>
              <w:t>p. 813</w:t>
            </w:r>
          </w:p>
        </w:tc>
      </w:tr>
      <w:tr w:rsidR="00CA1BC6" w14:paraId="5B9DF6E2" w14:textId="77777777" w:rsidTr="009B1235">
        <w:trPr>
          <w:trHeight w:val="1069"/>
        </w:trPr>
        <w:tc>
          <w:tcPr>
            <w:tcW w:w="2070" w:type="dxa"/>
            <w:vAlign w:val="center"/>
          </w:tcPr>
          <w:p w14:paraId="634AA4F9" w14:textId="380EBC10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Faith</w:t>
            </w:r>
          </w:p>
        </w:tc>
        <w:tc>
          <w:tcPr>
            <w:tcW w:w="8190" w:type="dxa"/>
            <w:vAlign w:val="center"/>
          </w:tcPr>
          <w:p w14:paraId="41A7C0D8" w14:textId="5BF63B9C" w:rsidR="00CA1BC6" w:rsidRPr="00CF16D3" w:rsidRDefault="00E2454E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>“</w:t>
            </w:r>
            <w:r w:rsidR="00E34FC3" w:rsidRPr="00CF16D3">
              <w:rPr>
                <w:rFonts w:ascii="Cambria" w:hAnsi="Cambria"/>
                <w:sz w:val="22"/>
                <w:szCs w:val="22"/>
              </w:rPr>
              <w:t>An</w:t>
            </w:r>
            <w:r w:rsidRPr="00CF16D3">
              <w:rPr>
                <w:rFonts w:ascii="Cambria" w:hAnsi="Cambria"/>
                <w:sz w:val="22"/>
                <w:szCs w:val="22"/>
              </w:rPr>
              <w:t xml:space="preserve"> extraordinary ability to trust God in the face of difficulty and hardship</w:t>
            </w:r>
            <w:r w:rsidR="00E34FC3" w:rsidRPr="00CF16D3">
              <w:rPr>
                <w:rFonts w:ascii="Cambria" w:hAnsi="Cambria"/>
                <w:sz w:val="22"/>
                <w:szCs w:val="22"/>
              </w:rPr>
              <w:t>. The ‘faith’ Paul speaks is not saving faith but rather unwavering confidence in the power and promises of God.</w:t>
            </w:r>
            <w:r w:rsidRPr="00CF16D3">
              <w:rPr>
                <w:rFonts w:ascii="Cambria" w:hAnsi="Cambria"/>
                <w:sz w:val="22"/>
                <w:szCs w:val="22"/>
              </w:rPr>
              <w:t>”</w:t>
            </w:r>
            <w:r w:rsidR="00E34FC3"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579D9" w:rsidRPr="009B1235">
              <w:rPr>
                <w:rFonts w:ascii="Cambria" w:hAnsi="Cambria"/>
                <w:sz w:val="18"/>
                <w:szCs w:val="18"/>
              </w:rPr>
              <w:t>p.</w:t>
            </w:r>
            <w:r w:rsidR="00E34FC3" w:rsidRPr="009B1235">
              <w:rPr>
                <w:rFonts w:ascii="Cambria" w:hAnsi="Cambria"/>
                <w:sz w:val="18"/>
                <w:szCs w:val="18"/>
              </w:rPr>
              <w:t xml:space="preserve"> 817</w:t>
            </w:r>
          </w:p>
        </w:tc>
      </w:tr>
      <w:tr w:rsidR="00CA1BC6" w14:paraId="28B3D94B" w14:textId="77777777" w:rsidTr="009B1235">
        <w:trPr>
          <w:trHeight w:val="1249"/>
        </w:trPr>
        <w:tc>
          <w:tcPr>
            <w:tcW w:w="2070" w:type="dxa"/>
            <w:vAlign w:val="center"/>
          </w:tcPr>
          <w:p w14:paraId="561522D4" w14:textId="379C290F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Healing</w:t>
            </w:r>
          </w:p>
        </w:tc>
        <w:tc>
          <w:tcPr>
            <w:tcW w:w="8190" w:type="dxa"/>
            <w:vAlign w:val="center"/>
          </w:tcPr>
          <w:p w14:paraId="03E5F9FC" w14:textId="5A20E71B" w:rsidR="00CA1BC6" w:rsidRPr="00CF16D3" w:rsidRDefault="0072092C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 xml:space="preserve">“The supernatural </w:t>
            </w:r>
            <w:r w:rsidR="00B878D9" w:rsidRPr="00CF16D3">
              <w:rPr>
                <w:rFonts w:ascii="Cambria" w:hAnsi="Cambria"/>
                <w:sz w:val="22"/>
                <w:szCs w:val="22"/>
              </w:rPr>
              <w:t>power over disease</w:t>
            </w:r>
            <w:r w:rsidR="00386FB5" w:rsidRPr="00CF16D3">
              <w:rPr>
                <w:rFonts w:ascii="Cambria" w:hAnsi="Cambria"/>
                <w:sz w:val="22"/>
                <w:szCs w:val="22"/>
              </w:rPr>
              <w:t>..</w:t>
            </w:r>
            <w:r w:rsidR="00B878D9" w:rsidRPr="00CF16D3">
              <w:rPr>
                <w:rFonts w:ascii="Cambria" w:hAnsi="Cambria"/>
                <w:sz w:val="22"/>
                <w:szCs w:val="22"/>
              </w:rPr>
              <w:t xml:space="preserve">. That no one today possesses such a gift is evident from the fact that no one can heal like Jesus and the apostles </w:t>
            </w:r>
            <w:r w:rsidR="00386FB5" w:rsidRPr="00CF16D3">
              <w:rPr>
                <w:rFonts w:ascii="Cambria" w:hAnsi="Cambria"/>
                <w:sz w:val="22"/>
                <w:szCs w:val="22"/>
              </w:rPr>
              <w:t>did—being able to immediately and perman</w:t>
            </w:r>
            <w:r w:rsidR="005512AE" w:rsidRPr="00CF16D3">
              <w:rPr>
                <w:rFonts w:ascii="Cambria" w:hAnsi="Cambria"/>
                <w:sz w:val="22"/>
                <w:szCs w:val="22"/>
              </w:rPr>
              <w:t>ently restore the sick and injured to full health with nothing but a word or a touch.</w:t>
            </w:r>
            <w:r w:rsidRPr="00CF16D3">
              <w:rPr>
                <w:rFonts w:ascii="Cambria" w:hAnsi="Cambria"/>
                <w:sz w:val="22"/>
                <w:szCs w:val="22"/>
              </w:rPr>
              <w:t>”</w:t>
            </w:r>
            <w:r w:rsidR="005512AE"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579D9" w:rsidRPr="009B1235">
              <w:rPr>
                <w:rFonts w:ascii="Cambria" w:hAnsi="Cambria"/>
                <w:sz w:val="18"/>
                <w:szCs w:val="18"/>
              </w:rPr>
              <w:t xml:space="preserve">p. </w:t>
            </w:r>
            <w:r w:rsidR="005512AE" w:rsidRPr="009B1235">
              <w:rPr>
                <w:rFonts w:ascii="Cambria" w:hAnsi="Cambria"/>
                <w:sz w:val="18"/>
                <w:szCs w:val="18"/>
              </w:rPr>
              <w:t>809-810</w:t>
            </w:r>
          </w:p>
        </w:tc>
      </w:tr>
      <w:tr w:rsidR="00CA1BC6" w14:paraId="4A813507" w14:textId="77777777" w:rsidTr="00532A94">
        <w:trPr>
          <w:trHeight w:val="1285"/>
        </w:trPr>
        <w:tc>
          <w:tcPr>
            <w:tcW w:w="2070" w:type="dxa"/>
            <w:vAlign w:val="center"/>
          </w:tcPr>
          <w:p w14:paraId="16A3D430" w14:textId="42CFDD2A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 xml:space="preserve">Workings of </w:t>
            </w:r>
            <w:r w:rsidR="00421A98" w:rsidRPr="00CF16D3">
              <w:rPr>
                <w:rFonts w:ascii="Cambria" w:hAnsi="Cambria"/>
                <w:b/>
                <w:bCs/>
                <w:sz w:val="22"/>
                <w:szCs w:val="22"/>
              </w:rPr>
              <w:t>M</w:t>
            </w: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iracles</w:t>
            </w:r>
          </w:p>
        </w:tc>
        <w:tc>
          <w:tcPr>
            <w:tcW w:w="8190" w:type="dxa"/>
            <w:vAlign w:val="center"/>
          </w:tcPr>
          <w:p w14:paraId="260FE2EC" w14:textId="0B109627" w:rsidR="00CA1BC6" w:rsidRPr="00CF16D3" w:rsidRDefault="008E27CE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>“</w:t>
            </w:r>
            <w:r w:rsidR="00A06E65" w:rsidRPr="00CF16D3">
              <w:rPr>
                <w:rFonts w:ascii="Cambria" w:hAnsi="Cambria"/>
                <w:sz w:val="22"/>
                <w:szCs w:val="22"/>
              </w:rPr>
              <w:t>Those</w:t>
            </w:r>
            <w:r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411B6" w:rsidRPr="00CF16D3">
              <w:rPr>
                <w:rFonts w:ascii="Cambria" w:hAnsi="Cambria"/>
                <w:sz w:val="22"/>
                <w:szCs w:val="22"/>
              </w:rPr>
              <w:t>bestowed with this gift were empowered by God to perform supernatural signs and wonder</w:t>
            </w:r>
            <w:r w:rsidR="00ED148B" w:rsidRPr="00CF16D3">
              <w:rPr>
                <w:rFonts w:ascii="Cambria" w:hAnsi="Cambria"/>
                <w:sz w:val="22"/>
                <w:szCs w:val="22"/>
              </w:rPr>
              <w:t>s</w:t>
            </w:r>
            <w:r w:rsidR="00A06E65" w:rsidRPr="00CF16D3">
              <w:rPr>
                <w:rFonts w:ascii="Cambria" w:hAnsi="Cambria"/>
                <w:sz w:val="22"/>
                <w:szCs w:val="22"/>
              </w:rPr>
              <w:t>… (</w:t>
            </w:r>
            <w:r w:rsidR="00ED148B" w:rsidRPr="00CF16D3">
              <w:rPr>
                <w:rFonts w:ascii="Cambria" w:hAnsi="Cambria"/>
                <w:sz w:val="22"/>
                <w:szCs w:val="22"/>
              </w:rPr>
              <w:t>cf. Acts 2:22</w:t>
            </w:r>
            <w:r w:rsidR="00261522" w:rsidRPr="00CF16D3">
              <w:rPr>
                <w:rFonts w:ascii="Cambria" w:hAnsi="Cambria"/>
                <w:sz w:val="22"/>
                <w:szCs w:val="22"/>
              </w:rPr>
              <w:t xml:space="preserve">; </w:t>
            </w:r>
            <w:r w:rsidR="00B66A02" w:rsidRPr="00CF16D3">
              <w:rPr>
                <w:rFonts w:ascii="Cambria" w:hAnsi="Cambria"/>
                <w:sz w:val="22"/>
                <w:szCs w:val="22"/>
              </w:rPr>
              <w:t>14:3</w:t>
            </w:r>
            <w:r w:rsidR="00261522" w:rsidRPr="00CF16D3">
              <w:rPr>
                <w:rFonts w:ascii="Cambria" w:hAnsi="Cambria"/>
                <w:sz w:val="22"/>
                <w:szCs w:val="22"/>
              </w:rPr>
              <w:t>; 2Cor. 12:12; Heb. 2:3-</w:t>
            </w:r>
            <w:r w:rsidR="00517D7F" w:rsidRPr="00CF16D3">
              <w:rPr>
                <w:rFonts w:ascii="Cambria" w:hAnsi="Cambria"/>
                <w:sz w:val="22"/>
                <w:szCs w:val="22"/>
              </w:rPr>
              <w:t>4) …</w:t>
            </w:r>
            <w:r w:rsidR="00DB644A" w:rsidRPr="00CF16D3">
              <w:rPr>
                <w:rFonts w:ascii="Cambria" w:hAnsi="Cambria"/>
                <w:sz w:val="22"/>
                <w:szCs w:val="22"/>
              </w:rPr>
              <w:t xml:space="preserve"> This miraculous power was a sign that validated the preaching of the gospel during the apostolic age only</w:t>
            </w:r>
            <w:r w:rsidR="003429B1">
              <w:rPr>
                <w:rFonts w:ascii="Cambria" w:hAnsi="Cambria"/>
                <w:sz w:val="22"/>
                <w:szCs w:val="22"/>
              </w:rPr>
              <w:t>.</w:t>
            </w:r>
            <w:r w:rsidRPr="00CF16D3">
              <w:rPr>
                <w:rFonts w:ascii="Cambria" w:hAnsi="Cambria"/>
                <w:sz w:val="22"/>
                <w:szCs w:val="22"/>
              </w:rPr>
              <w:t>”</w:t>
            </w:r>
            <w:r w:rsidR="00A06E65"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06E65" w:rsidRPr="009B1235">
              <w:rPr>
                <w:rFonts w:ascii="Cambria" w:hAnsi="Cambria"/>
                <w:sz w:val="18"/>
                <w:szCs w:val="18"/>
              </w:rPr>
              <w:t>p</w:t>
            </w:r>
            <w:r w:rsidR="00A579D9" w:rsidRPr="009B1235">
              <w:rPr>
                <w:rFonts w:ascii="Cambria" w:hAnsi="Cambria"/>
                <w:sz w:val="18"/>
                <w:szCs w:val="18"/>
              </w:rPr>
              <w:t>.</w:t>
            </w:r>
            <w:r w:rsidR="00A06E65" w:rsidRPr="009B1235">
              <w:rPr>
                <w:rFonts w:ascii="Cambria" w:hAnsi="Cambria"/>
                <w:sz w:val="18"/>
                <w:szCs w:val="18"/>
              </w:rPr>
              <w:t xml:space="preserve"> 808</w:t>
            </w:r>
            <w:r w:rsidR="00DB644A" w:rsidRPr="009B1235">
              <w:rPr>
                <w:rFonts w:ascii="Cambria" w:hAnsi="Cambria"/>
                <w:sz w:val="18"/>
                <w:szCs w:val="18"/>
              </w:rPr>
              <w:t>-809</w:t>
            </w:r>
          </w:p>
        </w:tc>
      </w:tr>
      <w:tr w:rsidR="00CA1BC6" w14:paraId="5E525ABA" w14:textId="77777777" w:rsidTr="009B1235">
        <w:trPr>
          <w:trHeight w:val="628"/>
        </w:trPr>
        <w:tc>
          <w:tcPr>
            <w:tcW w:w="2070" w:type="dxa"/>
            <w:vAlign w:val="center"/>
          </w:tcPr>
          <w:p w14:paraId="66410700" w14:textId="630DC0A0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Prophecy</w:t>
            </w:r>
          </w:p>
        </w:tc>
        <w:tc>
          <w:tcPr>
            <w:tcW w:w="8190" w:type="dxa"/>
            <w:vAlign w:val="center"/>
          </w:tcPr>
          <w:p w14:paraId="67B67924" w14:textId="4B48F29F" w:rsidR="00CA1BC6" w:rsidRPr="00CF16D3" w:rsidRDefault="00DC206D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>“</w:t>
            </w:r>
            <w:r w:rsidR="00A06E65" w:rsidRPr="00CF16D3">
              <w:rPr>
                <w:rFonts w:ascii="Cambria" w:hAnsi="Cambria"/>
                <w:sz w:val="22"/>
                <w:szCs w:val="22"/>
              </w:rPr>
              <w:t>The</w:t>
            </w:r>
            <w:r w:rsidR="001628DC" w:rsidRPr="00CF16D3">
              <w:rPr>
                <w:rFonts w:ascii="Cambria" w:hAnsi="Cambria"/>
                <w:sz w:val="22"/>
                <w:szCs w:val="22"/>
              </w:rPr>
              <w:t xml:space="preserve"> proclamation of divinely revealed truth, whether new or old</w:t>
            </w:r>
            <w:r w:rsidR="003429B1">
              <w:rPr>
                <w:rFonts w:ascii="Cambria" w:hAnsi="Cambria"/>
                <w:sz w:val="22"/>
                <w:szCs w:val="22"/>
              </w:rPr>
              <w:t>.</w:t>
            </w:r>
            <w:r w:rsidRPr="00CF16D3">
              <w:rPr>
                <w:rFonts w:ascii="Cambria" w:hAnsi="Cambria"/>
                <w:sz w:val="22"/>
                <w:szCs w:val="22"/>
              </w:rPr>
              <w:t>”</w:t>
            </w:r>
            <w:r w:rsidR="00A06E65"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06E65" w:rsidRPr="009B1235">
              <w:rPr>
                <w:rFonts w:ascii="Cambria" w:hAnsi="Cambria"/>
                <w:sz w:val="18"/>
                <w:szCs w:val="18"/>
              </w:rPr>
              <w:t>p. 812</w:t>
            </w:r>
          </w:p>
        </w:tc>
      </w:tr>
      <w:tr w:rsidR="00CA1BC6" w14:paraId="1E6EEE9C" w14:textId="77777777" w:rsidTr="009B1235">
        <w:trPr>
          <w:trHeight w:val="1609"/>
        </w:trPr>
        <w:tc>
          <w:tcPr>
            <w:tcW w:w="2070" w:type="dxa"/>
            <w:vAlign w:val="center"/>
          </w:tcPr>
          <w:p w14:paraId="521B7BEA" w14:textId="2E4BD971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 xml:space="preserve">Distinguishing of </w:t>
            </w:r>
            <w:r w:rsidR="00421A98" w:rsidRPr="00CF16D3">
              <w:rPr>
                <w:rFonts w:ascii="Cambria" w:hAnsi="Cambria"/>
                <w:b/>
                <w:bCs/>
                <w:sz w:val="22"/>
                <w:szCs w:val="22"/>
              </w:rPr>
              <w:t>S</w:t>
            </w: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pirits</w:t>
            </w:r>
          </w:p>
        </w:tc>
        <w:tc>
          <w:tcPr>
            <w:tcW w:w="8190" w:type="dxa"/>
            <w:vAlign w:val="center"/>
          </w:tcPr>
          <w:p w14:paraId="036D980D" w14:textId="464532F0" w:rsidR="00CA1BC6" w:rsidRPr="00CF16D3" w:rsidRDefault="005B5DE1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>“</w:t>
            </w:r>
            <w:r w:rsidR="00091892" w:rsidRPr="00CF16D3">
              <w:rPr>
                <w:rFonts w:ascii="Cambria" w:hAnsi="Cambria"/>
                <w:sz w:val="22"/>
                <w:szCs w:val="22"/>
              </w:rPr>
              <w:t>With this gift, God di</w:t>
            </w:r>
            <w:r w:rsidR="00EB0060" w:rsidRPr="00CF16D3">
              <w:rPr>
                <w:rFonts w:ascii="Cambria" w:hAnsi="Cambria"/>
                <w:sz w:val="22"/>
                <w:szCs w:val="22"/>
              </w:rPr>
              <w:t xml:space="preserve">vinely enable someone to discern true from false statements made by people deceptively claiming that their words were prophetic revelations from </w:t>
            </w:r>
            <w:r w:rsidR="008A4265" w:rsidRPr="00CF16D3">
              <w:rPr>
                <w:rFonts w:ascii="Cambria" w:hAnsi="Cambria"/>
                <w:sz w:val="22"/>
                <w:szCs w:val="22"/>
              </w:rPr>
              <w:t xml:space="preserve">God (1 Cor. </w:t>
            </w:r>
            <w:r w:rsidR="001D3A62" w:rsidRPr="00CF16D3">
              <w:rPr>
                <w:rFonts w:ascii="Cambria" w:hAnsi="Cambria"/>
                <w:sz w:val="22"/>
                <w:szCs w:val="22"/>
              </w:rPr>
              <w:t>12:10) …</w:t>
            </w:r>
            <w:r w:rsidR="008A4265" w:rsidRPr="00CF16D3">
              <w:rPr>
                <w:rFonts w:ascii="Cambria" w:hAnsi="Cambria"/>
                <w:sz w:val="22"/>
                <w:szCs w:val="22"/>
              </w:rPr>
              <w:t xml:space="preserve">Since the completion of the New Testament canon, the operation of this gift has primarily involved the ability to identify </w:t>
            </w:r>
            <w:r w:rsidR="00DC77C1" w:rsidRPr="00CF16D3">
              <w:rPr>
                <w:rFonts w:ascii="Cambria" w:hAnsi="Cambria"/>
                <w:sz w:val="22"/>
                <w:szCs w:val="22"/>
              </w:rPr>
              <w:t>falsehood by comparing it to biblical truth</w:t>
            </w:r>
            <w:r w:rsidR="003429B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C77C1" w:rsidRPr="00CF16D3">
              <w:rPr>
                <w:rFonts w:ascii="Cambria" w:hAnsi="Cambria"/>
                <w:sz w:val="22"/>
                <w:szCs w:val="22"/>
              </w:rPr>
              <w:t>(cf. Acts 17:11; 1 Thess. 5:20-22).</w:t>
            </w:r>
            <w:r w:rsidRPr="00CF16D3">
              <w:rPr>
                <w:rFonts w:ascii="Cambria" w:hAnsi="Cambria"/>
                <w:sz w:val="22"/>
                <w:szCs w:val="22"/>
              </w:rPr>
              <w:t>”</w:t>
            </w:r>
            <w:r w:rsidR="00DC77C1" w:rsidRPr="00CF16D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579D9" w:rsidRPr="009B1235">
              <w:rPr>
                <w:rFonts w:ascii="Cambria" w:hAnsi="Cambria"/>
                <w:sz w:val="18"/>
                <w:szCs w:val="18"/>
              </w:rPr>
              <w:t>p.</w:t>
            </w:r>
            <w:r w:rsidR="00DC77C1" w:rsidRPr="009B1235">
              <w:rPr>
                <w:rFonts w:ascii="Cambria" w:hAnsi="Cambria"/>
                <w:sz w:val="18"/>
                <w:szCs w:val="18"/>
              </w:rPr>
              <w:t xml:space="preserve"> 813-814</w:t>
            </w:r>
          </w:p>
        </w:tc>
      </w:tr>
      <w:tr w:rsidR="00CA1BC6" w14:paraId="67E3D119" w14:textId="77777777" w:rsidTr="009B1235">
        <w:trPr>
          <w:trHeight w:val="1339"/>
        </w:trPr>
        <w:tc>
          <w:tcPr>
            <w:tcW w:w="2070" w:type="dxa"/>
            <w:vAlign w:val="center"/>
          </w:tcPr>
          <w:p w14:paraId="7BD72648" w14:textId="720E40F0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Tongues</w:t>
            </w:r>
          </w:p>
        </w:tc>
        <w:tc>
          <w:tcPr>
            <w:tcW w:w="8190" w:type="dxa"/>
            <w:vAlign w:val="center"/>
          </w:tcPr>
          <w:p w14:paraId="07E49990" w14:textId="59467732" w:rsidR="00CA1BC6" w:rsidRPr="00CF16D3" w:rsidRDefault="00CA1BC6" w:rsidP="00CF16D3">
            <w:pPr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 xml:space="preserve">“The gift of tongues consisted of the supernatural ability for someone to speak fluently in a foreign language that person had </w:t>
            </w:r>
            <w:proofErr w:type="gramStart"/>
            <w:r w:rsidRPr="00CF16D3">
              <w:rPr>
                <w:rFonts w:ascii="Cambria" w:hAnsi="Cambria"/>
                <w:sz w:val="22"/>
                <w:szCs w:val="22"/>
              </w:rPr>
              <w:t>never before</w:t>
            </w:r>
            <w:proofErr w:type="gramEnd"/>
            <w:r w:rsidRPr="00CF16D3">
              <w:rPr>
                <w:rFonts w:ascii="Cambria" w:hAnsi="Cambria"/>
                <w:sz w:val="22"/>
                <w:szCs w:val="22"/>
              </w:rPr>
              <w:t xml:space="preserve"> studied or spoken</w:t>
            </w:r>
            <w:r w:rsidR="00C90D1A" w:rsidRPr="009B1235">
              <w:rPr>
                <w:rFonts w:ascii="Cambria" w:hAnsi="Cambria"/>
                <w:sz w:val="22"/>
                <w:szCs w:val="22"/>
              </w:rPr>
              <w:t xml:space="preserve">… Though many </w:t>
            </w:r>
            <w:r w:rsidR="00B4631F" w:rsidRPr="009B1235">
              <w:rPr>
                <w:rFonts w:ascii="Cambria" w:hAnsi="Cambria"/>
                <w:sz w:val="22"/>
                <w:szCs w:val="22"/>
              </w:rPr>
              <w:t>today claim to speak in tongues, it is clear that no one today possesses an ability like that demonstrated by the apostles on the day of Pentecost</w:t>
            </w:r>
            <w:r w:rsidR="00B4631F">
              <w:rPr>
                <w:rFonts w:ascii="Cambria" w:hAnsi="Cambria"/>
                <w:sz w:val="22"/>
                <w:szCs w:val="22"/>
              </w:rPr>
              <w:t>.</w:t>
            </w:r>
            <w:r w:rsidRPr="00CF16D3">
              <w:rPr>
                <w:rFonts w:ascii="Cambria" w:hAnsi="Cambria"/>
                <w:sz w:val="22"/>
                <w:szCs w:val="22"/>
              </w:rPr>
              <w:t xml:space="preserve">” </w:t>
            </w:r>
            <w:r w:rsidRPr="009B1235">
              <w:rPr>
                <w:rFonts w:ascii="Cambria" w:hAnsi="Cambria"/>
                <w:sz w:val="18"/>
                <w:szCs w:val="18"/>
              </w:rPr>
              <w:t>p. 810</w:t>
            </w:r>
          </w:p>
        </w:tc>
      </w:tr>
      <w:tr w:rsidR="00CA1BC6" w14:paraId="71C62D9D" w14:textId="77777777" w:rsidTr="009B1235">
        <w:trPr>
          <w:trHeight w:val="889"/>
        </w:trPr>
        <w:tc>
          <w:tcPr>
            <w:tcW w:w="2070" w:type="dxa"/>
            <w:vAlign w:val="center"/>
          </w:tcPr>
          <w:p w14:paraId="49140162" w14:textId="5617A393" w:rsidR="00CA1BC6" w:rsidRPr="00CF16D3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 xml:space="preserve">Translation of </w:t>
            </w:r>
            <w:r w:rsidR="00421A98" w:rsidRPr="00CF16D3">
              <w:rPr>
                <w:rFonts w:ascii="Cambria" w:hAnsi="Cambria"/>
                <w:b/>
                <w:bCs/>
                <w:sz w:val="22"/>
                <w:szCs w:val="22"/>
              </w:rPr>
              <w:t>T</w:t>
            </w:r>
            <w:r w:rsidRPr="00CF16D3">
              <w:rPr>
                <w:rFonts w:ascii="Cambria" w:hAnsi="Cambria"/>
                <w:b/>
                <w:bCs/>
                <w:sz w:val="22"/>
                <w:szCs w:val="22"/>
              </w:rPr>
              <w:t>ongues</w:t>
            </w:r>
          </w:p>
        </w:tc>
        <w:tc>
          <w:tcPr>
            <w:tcW w:w="8190" w:type="dxa"/>
            <w:vAlign w:val="center"/>
          </w:tcPr>
          <w:p w14:paraId="1F85F9A0" w14:textId="2345E402" w:rsidR="00CA1BC6" w:rsidRPr="00CF16D3" w:rsidRDefault="00CA1BC6" w:rsidP="00CF16D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CF16D3">
              <w:rPr>
                <w:rFonts w:ascii="Cambria" w:hAnsi="Cambria"/>
                <w:sz w:val="22"/>
                <w:szCs w:val="22"/>
              </w:rPr>
              <w:t>“</w:t>
            </w:r>
            <w:r w:rsidR="00B4631F">
              <w:rPr>
                <w:rFonts w:ascii="Cambria" w:hAnsi="Cambria"/>
                <w:sz w:val="22"/>
                <w:szCs w:val="22"/>
              </w:rPr>
              <w:t>The</w:t>
            </w:r>
            <w:r w:rsidR="000D471D">
              <w:rPr>
                <w:rFonts w:ascii="Cambria" w:hAnsi="Cambria"/>
                <w:sz w:val="22"/>
                <w:szCs w:val="22"/>
              </w:rPr>
              <w:t xml:space="preserve"> ability </w:t>
            </w:r>
            <w:r w:rsidR="00032B14">
              <w:rPr>
                <w:rFonts w:ascii="Cambria" w:hAnsi="Cambria"/>
                <w:sz w:val="22"/>
                <w:szCs w:val="22"/>
              </w:rPr>
              <w:t>to translate a message spoken in a foreign language into the language of the audience, so they could understand and be edified</w:t>
            </w:r>
            <w:r w:rsidR="003429B1">
              <w:rPr>
                <w:rFonts w:ascii="Cambria" w:hAnsi="Cambria"/>
                <w:sz w:val="22"/>
                <w:szCs w:val="22"/>
              </w:rPr>
              <w:t>.</w:t>
            </w:r>
            <w:r w:rsidR="00B35E53">
              <w:rPr>
                <w:rFonts w:ascii="Cambria" w:hAnsi="Cambria"/>
                <w:sz w:val="22"/>
                <w:szCs w:val="22"/>
              </w:rPr>
              <w:t>”</w:t>
            </w:r>
            <w:r w:rsidR="009B123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B1235">
              <w:rPr>
                <w:rFonts w:ascii="Cambria" w:hAnsi="Cambria"/>
                <w:sz w:val="18"/>
                <w:szCs w:val="18"/>
              </w:rPr>
              <w:t>p. 81</w:t>
            </w:r>
            <w:r w:rsidR="00B35E53" w:rsidRPr="009B1235">
              <w:rPr>
                <w:rFonts w:ascii="Cambria" w:hAnsi="Cambria"/>
                <w:sz w:val="18"/>
                <w:szCs w:val="18"/>
              </w:rPr>
              <w:t>1</w:t>
            </w:r>
          </w:p>
        </w:tc>
      </w:tr>
    </w:tbl>
    <w:p w14:paraId="4C60C6A7" w14:textId="2B5B150E" w:rsidR="000822DB" w:rsidRPr="000A538A" w:rsidRDefault="000822DB">
      <w:pPr>
        <w:rPr>
          <w:rFonts w:ascii="Cambria" w:hAnsi="Cambria"/>
        </w:rPr>
      </w:pPr>
    </w:p>
    <w:sectPr w:rsidR="000822DB" w:rsidRPr="000A538A" w:rsidSect="00F06D21"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029B" w14:textId="77777777" w:rsidR="00FF49DA" w:rsidRDefault="00FF49DA" w:rsidP="00F06D21">
      <w:pPr>
        <w:spacing w:after="0" w:line="240" w:lineRule="auto"/>
      </w:pPr>
      <w:r>
        <w:separator/>
      </w:r>
    </w:p>
  </w:endnote>
  <w:endnote w:type="continuationSeparator" w:id="0">
    <w:p w14:paraId="34D6E57D" w14:textId="77777777" w:rsidR="00FF49DA" w:rsidRDefault="00FF49DA" w:rsidP="00F0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0A11" w14:textId="77777777" w:rsidR="00FF49DA" w:rsidRDefault="00FF49DA" w:rsidP="00F06D21">
      <w:pPr>
        <w:spacing w:after="0" w:line="240" w:lineRule="auto"/>
      </w:pPr>
      <w:r>
        <w:separator/>
      </w:r>
    </w:p>
  </w:footnote>
  <w:footnote w:type="continuationSeparator" w:id="0">
    <w:p w14:paraId="53BDD3A4" w14:textId="77777777" w:rsidR="00FF49DA" w:rsidRDefault="00FF49DA" w:rsidP="00F06D21">
      <w:pPr>
        <w:spacing w:after="0" w:line="240" w:lineRule="auto"/>
      </w:pPr>
      <w:r>
        <w:continuationSeparator/>
      </w:r>
    </w:p>
  </w:footnote>
  <w:footnote w:id="1">
    <w:p w14:paraId="68AC0FA6" w14:textId="221AAD81" w:rsidR="00CF16D3" w:rsidRPr="001A100C" w:rsidRDefault="00CF16D3" w:rsidP="006B4B65">
      <w:pPr>
        <w:pStyle w:val="FootnoteText"/>
        <w:ind w:left="720" w:hanging="720"/>
        <w:rPr>
          <w:rFonts w:ascii="Cambria" w:hAnsi="Cambria"/>
        </w:rPr>
      </w:pPr>
      <w:r w:rsidRPr="001A100C">
        <w:rPr>
          <w:rStyle w:val="FootnoteReference"/>
          <w:rFonts w:ascii="Cambria" w:hAnsi="Cambria"/>
        </w:rPr>
        <w:footnoteRef/>
      </w:r>
      <w:r w:rsidRPr="001A100C">
        <w:rPr>
          <w:rFonts w:ascii="Cambria" w:hAnsi="Cambria"/>
        </w:rPr>
        <w:t xml:space="preserve"> </w:t>
      </w:r>
      <w:r w:rsidR="001A100C" w:rsidRPr="001A100C">
        <w:rPr>
          <w:rFonts w:ascii="Cambria" w:hAnsi="Cambria"/>
        </w:rPr>
        <w:t xml:space="preserve">All definitions are adapted from </w:t>
      </w:r>
      <w:r w:rsidR="001A100C" w:rsidRPr="001A100C">
        <w:rPr>
          <w:rFonts w:ascii="Cambria" w:hAnsi="Cambria"/>
          <w:i/>
          <w:iCs/>
        </w:rPr>
        <w:t>Biblical Doctrine</w:t>
      </w:r>
      <w:r w:rsidR="001A100C" w:rsidRPr="001A100C">
        <w:rPr>
          <w:rFonts w:ascii="Cambria" w:hAnsi="Cambria"/>
        </w:rPr>
        <w:t xml:space="preserve"> by John MacArthur and Richard Mayhue. </w:t>
      </w:r>
      <w:r w:rsidR="00861420" w:rsidRPr="00861420">
        <w:rPr>
          <w:rFonts w:ascii="Cambria" w:hAnsi="Cambria"/>
        </w:rPr>
        <w:t xml:space="preserve">John MacArthur and Richard Mayhue, </w:t>
      </w:r>
      <w:r w:rsidR="00861420" w:rsidRPr="00861420">
        <w:rPr>
          <w:rFonts w:ascii="Cambria" w:hAnsi="Cambria"/>
          <w:i/>
          <w:iCs/>
        </w:rPr>
        <w:t>Biblical Doctrine: A Systematic Summary of Bible Truth</w:t>
      </w:r>
      <w:r w:rsidR="00861420" w:rsidRPr="00861420">
        <w:rPr>
          <w:rFonts w:ascii="Cambria" w:hAnsi="Cambria"/>
        </w:rPr>
        <w:t xml:space="preserve"> (Wheaton, IL: Crossway, 2017), </w:t>
      </w:r>
      <w:r w:rsidR="008464C9" w:rsidRPr="008464C9">
        <w:rPr>
          <w:rFonts w:ascii="Cambria" w:hAnsi="Cambria"/>
        </w:rPr>
        <w:t>808-17.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C6"/>
    <w:rsid w:val="00032B14"/>
    <w:rsid w:val="000674CE"/>
    <w:rsid w:val="000822DB"/>
    <w:rsid w:val="00091892"/>
    <w:rsid w:val="000A176B"/>
    <w:rsid w:val="000A538A"/>
    <w:rsid w:val="000D3B0A"/>
    <w:rsid w:val="000D471D"/>
    <w:rsid w:val="000E17F6"/>
    <w:rsid w:val="001411B6"/>
    <w:rsid w:val="00141491"/>
    <w:rsid w:val="001628DC"/>
    <w:rsid w:val="001A100C"/>
    <w:rsid w:val="001A7297"/>
    <w:rsid w:val="001D3A62"/>
    <w:rsid w:val="002117F8"/>
    <w:rsid w:val="00261522"/>
    <w:rsid w:val="003429B1"/>
    <w:rsid w:val="00386FB5"/>
    <w:rsid w:val="00421A98"/>
    <w:rsid w:val="00517D7F"/>
    <w:rsid w:val="00532A94"/>
    <w:rsid w:val="005512AE"/>
    <w:rsid w:val="005846F7"/>
    <w:rsid w:val="005B5DE1"/>
    <w:rsid w:val="005F33AA"/>
    <w:rsid w:val="00681EA8"/>
    <w:rsid w:val="006B4B65"/>
    <w:rsid w:val="0072092C"/>
    <w:rsid w:val="0072613C"/>
    <w:rsid w:val="007569E0"/>
    <w:rsid w:val="0078317F"/>
    <w:rsid w:val="007C3C0C"/>
    <w:rsid w:val="007C6407"/>
    <w:rsid w:val="008464C9"/>
    <w:rsid w:val="00861420"/>
    <w:rsid w:val="00885B03"/>
    <w:rsid w:val="008A4265"/>
    <w:rsid w:val="008E27CE"/>
    <w:rsid w:val="009B1235"/>
    <w:rsid w:val="009E3A35"/>
    <w:rsid w:val="00A06E65"/>
    <w:rsid w:val="00A10D1E"/>
    <w:rsid w:val="00A10EBB"/>
    <w:rsid w:val="00A579D9"/>
    <w:rsid w:val="00A740A2"/>
    <w:rsid w:val="00B05139"/>
    <w:rsid w:val="00B35E53"/>
    <w:rsid w:val="00B4631F"/>
    <w:rsid w:val="00B66A02"/>
    <w:rsid w:val="00B83037"/>
    <w:rsid w:val="00B878D9"/>
    <w:rsid w:val="00C509B4"/>
    <w:rsid w:val="00C90D1A"/>
    <w:rsid w:val="00CA1BC6"/>
    <w:rsid w:val="00CF16D3"/>
    <w:rsid w:val="00DB644A"/>
    <w:rsid w:val="00DC206D"/>
    <w:rsid w:val="00DC77C1"/>
    <w:rsid w:val="00E15E75"/>
    <w:rsid w:val="00E2454E"/>
    <w:rsid w:val="00E34FC3"/>
    <w:rsid w:val="00E9050D"/>
    <w:rsid w:val="00EA2E9E"/>
    <w:rsid w:val="00EB0060"/>
    <w:rsid w:val="00EB7AC4"/>
    <w:rsid w:val="00ED148B"/>
    <w:rsid w:val="00F05156"/>
    <w:rsid w:val="00F06D21"/>
    <w:rsid w:val="00F91F6C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3151"/>
  <w15:chartTrackingRefBased/>
  <w15:docId w15:val="{8B6C9812-7896-4937-AB99-CA8B93A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B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21"/>
  </w:style>
  <w:style w:type="paragraph" w:styleId="Footer">
    <w:name w:val="footer"/>
    <w:basedOn w:val="Normal"/>
    <w:link w:val="FooterChar"/>
    <w:uiPriority w:val="99"/>
    <w:unhideWhenUsed/>
    <w:rsid w:val="00F0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21"/>
  </w:style>
  <w:style w:type="paragraph" w:styleId="FootnoteText">
    <w:name w:val="footnote text"/>
    <w:basedOn w:val="Normal"/>
    <w:link w:val="FootnoteTextChar"/>
    <w:uiPriority w:val="99"/>
    <w:semiHidden/>
    <w:unhideWhenUsed/>
    <w:rsid w:val="00CF16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6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22DEB2AA-A362-473D-8012-3123C9DD2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E4368-0ED1-4811-9BAA-63BCF90E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97922-AC29-4E69-9EF1-F4D874200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53B92-69FE-4D3A-85D3-1A1FD3B3C821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373</Words>
  <Characters>1857</Characters>
  <Application>Microsoft Office Word</Application>
  <DocSecurity>0</DocSecurity>
  <Lines>46</Lines>
  <Paragraphs>25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Benjamin</dc:creator>
  <cp:keywords/>
  <dc:description/>
  <cp:lastModifiedBy>Lauren Brown</cp:lastModifiedBy>
  <cp:revision>56</cp:revision>
  <cp:lastPrinted>2026-01-15T18:47:00Z</cp:lastPrinted>
  <dcterms:created xsi:type="dcterms:W3CDTF">2026-01-14T23:46:00Z</dcterms:created>
  <dcterms:modified xsi:type="dcterms:W3CDTF">2026-01-20T00:11:00Z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