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1"/>
        <w:tblW w:w="10260" w:type="dxa"/>
        <w:tblLook w:val="04A0" w:firstRow="1" w:lastRow="0" w:firstColumn="1" w:lastColumn="0" w:noHBand="0" w:noVBand="1"/>
      </w:tblPr>
      <w:tblGrid>
        <w:gridCol w:w="2070"/>
        <w:gridCol w:w="8190"/>
      </w:tblGrid>
      <w:tr w:rsidR="007C6407" w:rsidRPr="001E06BC" w14:paraId="5A62A31F" w14:textId="77777777" w:rsidTr="009B1235"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4E6CC" w14:textId="17C3DA46" w:rsidR="007C6407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Dones espirituales</w:t>
            </w:r>
            <w:r w:rsidR="007C6407"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 xml:space="preserve"> </w:t>
            </w:r>
            <w:r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de</w:t>
            </w:r>
            <w:r w:rsidR="007C6407"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scri</w:t>
            </w:r>
            <w:r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tos</w:t>
            </w:r>
            <w:r w:rsidR="007C6407"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 xml:space="preserve"> </w:t>
            </w:r>
            <w:r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e</w:t>
            </w:r>
            <w:r w:rsidR="007C6407"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 xml:space="preserve">n 1 </w:t>
            </w:r>
            <w:r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>Corintios</w:t>
            </w:r>
            <w:r w:rsidR="007C6407" w:rsidRPr="001E06BC"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  <w:t xml:space="preserve"> 12:8-10</w:t>
            </w:r>
          </w:p>
          <w:p w14:paraId="0C0C9952" w14:textId="04456492" w:rsidR="00F06D21" w:rsidRPr="001E06BC" w:rsidRDefault="00F06D21" w:rsidP="00CF16D3">
            <w:pPr>
              <w:rPr>
                <w:rFonts w:ascii="Cambria" w:hAnsi="Cambria"/>
                <w:b/>
                <w:bCs/>
                <w:sz w:val="40"/>
                <w:szCs w:val="40"/>
                <w:lang w:val="es-CR"/>
              </w:rPr>
            </w:pPr>
          </w:p>
        </w:tc>
      </w:tr>
      <w:tr w:rsidR="00CA1BC6" w:rsidRPr="001E06BC" w14:paraId="34D83780" w14:textId="77777777" w:rsidTr="009B1235">
        <w:trPr>
          <w:trHeight w:val="497"/>
        </w:trPr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8F21949" w14:textId="67577547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8"/>
                <w:szCs w:val="28"/>
                <w:lang w:val="es-CR"/>
              </w:rPr>
              <w:t>Don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5AC0E32E" w14:textId="432F46D7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8"/>
                <w:szCs w:val="28"/>
                <w:lang w:val="es-CR"/>
              </w:rPr>
              <w:t>Definición</w:t>
            </w:r>
            <w:r w:rsidR="00CF16D3" w:rsidRPr="001E06BC">
              <w:rPr>
                <w:rStyle w:val="FootnoteReference"/>
                <w:rFonts w:ascii="Cambria" w:hAnsi="Cambria"/>
                <w:b/>
                <w:bCs/>
                <w:sz w:val="28"/>
                <w:szCs w:val="28"/>
                <w:lang w:val="es-CR"/>
              </w:rPr>
              <w:footnoteReference w:id="1"/>
            </w:r>
          </w:p>
        </w:tc>
      </w:tr>
      <w:tr w:rsidR="00CA1BC6" w:rsidRPr="001E06BC" w14:paraId="5D3394A0" w14:textId="77777777" w:rsidTr="009B1235">
        <w:trPr>
          <w:trHeight w:val="1042"/>
        </w:trPr>
        <w:tc>
          <w:tcPr>
            <w:tcW w:w="2070" w:type="dxa"/>
            <w:vAlign w:val="center"/>
          </w:tcPr>
          <w:p w14:paraId="65D5F088" w14:textId="572E5F68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Palabra de sabiduría</w:t>
            </w:r>
          </w:p>
        </w:tc>
        <w:tc>
          <w:tcPr>
            <w:tcW w:w="8190" w:type="dxa"/>
            <w:vAlign w:val="center"/>
          </w:tcPr>
          <w:p w14:paraId="5B7972BD" w14:textId="052A0201" w:rsidR="00CA1BC6" w:rsidRPr="001E06BC" w:rsidRDefault="00F47FA0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La habilidad de “entender correctamente la verdad divinamente revelada y articular la aplicación apropiada para la vida cotidiana</w:t>
            </w:r>
            <w:r w:rsidR="003429B1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A740A2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(cf. Mt. </w:t>
            </w:r>
            <w:r w:rsidR="007C6407" w:rsidRPr="001E06BC">
              <w:rPr>
                <w:rFonts w:ascii="Cambria" w:hAnsi="Cambria"/>
                <w:sz w:val="22"/>
                <w:szCs w:val="22"/>
                <w:lang w:val="es-CR"/>
              </w:rPr>
              <w:t>13:54; M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r</w:t>
            </w:r>
            <w:r w:rsidR="00007EAE">
              <w:rPr>
                <w:rFonts w:ascii="Cambria" w:hAnsi="Cambria"/>
                <w:sz w:val="22"/>
                <w:szCs w:val="22"/>
                <w:lang w:val="es-CR"/>
              </w:rPr>
              <w:t>.</w:t>
            </w:r>
            <w:r w:rsidR="007C6407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6:2; 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Hch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>.</w:t>
            </w:r>
            <w:r w:rsidR="007C6407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6:10; 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Stg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>.</w:t>
            </w:r>
            <w:r w:rsidR="007C6407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1:5; 3:17; 2 P. 3:15</w:t>
            </w:r>
            <w:r w:rsidR="00A740A2" w:rsidRPr="001E06BC">
              <w:rPr>
                <w:rFonts w:ascii="Cambria" w:hAnsi="Cambria"/>
                <w:sz w:val="22"/>
                <w:szCs w:val="22"/>
                <w:lang w:val="es-CR"/>
              </w:rPr>
              <w:t>)</w:t>
            </w:r>
            <w:r w:rsidR="0072613C" w:rsidRPr="001E06BC">
              <w:rPr>
                <w:rFonts w:ascii="Cambria" w:hAnsi="Cambria"/>
                <w:sz w:val="22"/>
                <w:szCs w:val="22"/>
                <w:lang w:val="es-CR"/>
              </w:rPr>
              <w:t>”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>.</w:t>
            </w:r>
            <w:r w:rsidR="007C6407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7C6407" w:rsidRPr="001E06BC">
              <w:rPr>
                <w:rFonts w:ascii="Cambria" w:hAnsi="Cambria"/>
                <w:sz w:val="18"/>
                <w:szCs w:val="18"/>
                <w:lang w:val="es-CR"/>
              </w:rPr>
              <w:t>p</w:t>
            </w:r>
            <w:r w:rsidR="00A579D9" w:rsidRPr="001E06BC">
              <w:rPr>
                <w:rFonts w:ascii="Cambria" w:hAnsi="Cambria"/>
                <w:sz w:val="18"/>
                <w:szCs w:val="18"/>
                <w:lang w:val="es-CR"/>
              </w:rPr>
              <w:t xml:space="preserve">. </w:t>
            </w:r>
            <w:r w:rsidR="007C6407" w:rsidRPr="001E06BC">
              <w:rPr>
                <w:rFonts w:ascii="Cambria" w:hAnsi="Cambria"/>
                <w:sz w:val="18"/>
                <w:szCs w:val="18"/>
                <w:lang w:val="es-CR"/>
              </w:rPr>
              <w:t>813</w:t>
            </w:r>
          </w:p>
        </w:tc>
      </w:tr>
      <w:tr w:rsidR="00CA1BC6" w:rsidRPr="001E06BC" w14:paraId="2ECF5708" w14:textId="77777777" w:rsidTr="009B1235">
        <w:trPr>
          <w:trHeight w:val="880"/>
        </w:trPr>
        <w:tc>
          <w:tcPr>
            <w:tcW w:w="2070" w:type="dxa"/>
            <w:vAlign w:val="center"/>
          </w:tcPr>
          <w:p w14:paraId="1ED9A168" w14:textId="45B826D9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Palabra de ciencia</w:t>
            </w:r>
          </w:p>
        </w:tc>
        <w:tc>
          <w:tcPr>
            <w:tcW w:w="8190" w:type="dxa"/>
            <w:vAlign w:val="center"/>
          </w:tcPr>
          <w:p w14:paraId="1E11E01C" w14:textId="65449777" w:rsidR="00CA1BC6" w:rsidRPr="001E06BC" w:rsidRDefault="00F47FA0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La habilidad de proporcionar “conocimiento en las profundas verdades de la Palabra de Dios</w:t>
            </w:r>
            <w:r w:rsidR="00E9050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B05139" w:rsidRPr="001E06BC">
              <w:rPr>
                <w:rFonts w:ascii="Cambria" w:hAnsi="Cambria"/>
                <w:sz w:val="22"/>
                <w:szCs w:val="22"/>
                <w:lang w:val="es-CR"/>
              </w:rPr>
              <w:t>(cf. E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f</w:t>
            </w:r>
            <w:r w:rsidR="00B05139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. 3:3; </w:t>
            </w:r>
            <w:r w:rsidR="00F91F6C" w:rsidRPr="001E06BC">
              <w:rPr>
                <w:rFonts w:ascii="Cambria" w:hAnsi="Cambria"/>
                <w:sz w:val="22"/>
                <w:szCs w:val="22"/>
                <w:lang w:val="es-CR"/>
              </w:rPr>
              <w:t>Col. 1:26; 2:2</w:t>
            </w:r>
            <w:r w:rsidR="00B05139" w:rsidRPr="001E06BC">
              <w:rPr>
                <w:rFonts w:ascii="Cambria" w:hAnsi="Cambria"/>
                <w:sz w:val="22"/>
                <w:szCs w:val="22"/>
                <w:lang w:val="es-CR"/>
              </w:rPr>
              <w:t>)”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>.</w:t>
            </w:r>
            <w:r w:rsidR="009E3A3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9E3A35" w:rsidRPr="001E06BC">
              <w:rPr>
                <w:rFonts w:ascii="Cambria" w:hAnsi="Cambria"/>
                <w:sz w:val="18"/>
                <w:szCs w:val="18"/>
                <w:lang w:val="es-CR"/>
              </w:rPr>
              <w:t>p. 813</w:t>
            </w:r>
          </w:p>
        </w:tc>
      </w:tr>
      <w:tr w:rsidR="00CA1BC6" w:rsidRPr="001E06BC" w14:paraId="5B9DF6E2" w14:textId="77777777" w:rsidTr="009B1235">
        <w:trPr>
          <w:trHeight w:val="1069"/>
        </w:trPr>
        <w:tc>
          <w:tcPr>
            <w:tcW w:w="2070" w:type="dxa"/>
            <w:vAlign w:val="center"/>
          </w:tcPr>
          <w:p w14:paraId="634AA4F9" w14:textId="758B5558" w:rsidR="00CA1BC6" w:rsidRPr="001E06BC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F</w:t>
            </w:r>
            <w:r w:rsidR="00F47FA0"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e</w:t>
            </w:r>
          </w:p>
        </w:tc>
        <w:tc>
          <w:tcPr>
            <w:tcW w:w="8190" w:type="dxa"/>
            <w:vAlign w:val="center"/>
          </w:tcPr>
          <w:p w14:paraId="41A7C0D8" w14:textId="254608B8" w:rsidR="00CA1BC6" w:rsidRPr="001E06BC" w:rsidRDefault="00E2454E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F47FA0" w:rsidRPr="001E06BC">
              <w:rPr>
                <w:rFonts w:ascii="Cambria" w:hAnsi="Cambria"/>
                <w:sz w:val="22"/>
                <w:szCs w:val="22"/>
                <w:lang w:val="es-CR"/>
              </w:rPr>
              <w:t>Una extraordinaria habilidad para confiar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en Dios frente una dificultad o prueba. La “fe” que habla Pablo no es la fe salvífica sino más bien la confianza inquebrantable en el poder y las promesas de Dios”. </w:t>
            </w:r>
            <w:r w:rsidR="00F47FA0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A579D9" w:rsidRPr="001E06BC">
              <w:rPr>
                <w:rFonts w:ascii="Cambria" w:hAnsi="Cambria"/>
                <w:sz w:val="18"/>
                <w:szCs w:val="18"/>
                <w:lang w:val="es-CR"/>
              </w:rPr>
              <w:t>p.</w:t>
            </w:r>
            <w:r w:rsidR="00E34FC3" w:rsidRPr="001E06BC">
              <w:rPr>
                <w:rFonts w:ascii="Cambria" w:hAnsi="Cambria"/>
                <w:sz w:val="18"/>
                <w:szCs w:val="18"/>
                <w:lang w:val="es-CR"/>
              </w:rPr>
              <w:t xml:space="preserve"> 817</w:t>
            </w:r>
          </w:p>
        </w:tc>
      </w:tr>
      <w:tr w:rsidR="00CA1BC6" w:rsidRPr="001E06BC" w14:paraId="28B3D94B" w14:textId="77777777" w:rsidTr="009B1235">
        <w:trPr>
          <w:trHeight w:val="1249"/>
        </w:trPr>
        <w:tc>
          <w:tcPr>
            <w:tcW w:w="2070" w:type="dxa"/>
            <w:vAlign w:val="center"/>
          </w:tcPr>
          <w:p w14:paraId="561522D4" w14:textId="78C2193D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Sanidades</w:t>
            </w:r>
          </w:p>
        </w:tc>
        <w:tc>
          <w:tcPr>
            <w:tcW w:w="8190" w:type="dxa"/>
            <w:vAlign w:val="center"/>
          </w:tcPr>
          <w:p w14:paraId="03E5F9FC" w14:textId="4B8B1EE2" w:rsidR="00CA1BC6" w:rsidRPr="001E06BC" w:rsidRDefault="0072092C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El poder sobrenatural sobre la enfermedad… 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es evidente 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que nadie posee tal don en la actualidad en el hecho de que nadie puede sanar como 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lo hacían 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Jesús y los apóstoles – capaces de restaurar inmediata y permanentemente al enfermo o herido a una salud 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>plena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nada más que con una palabra o un toque”</w:t>
            </w:r>
            <w:r w:rsidR="00A579D9" w:rsidRPr="001E06BC">
              <w:rPr>
                <w:rFonts w:ascii="Cambria" w:hAnsi="Cambria"/>
                <w:sz w:val="18"/>
                <w:szCs w:val="18"/>
                <w:lang w:val="es-CR"/>
              </w:rPr>
              <w:t xml:space="preserve">. </w:t>
            </w:r>
            <w:r w:rsidR="005512AE" w:rsidRPr="001E06BC">
              <w:rPr>
                <w:rFonts w:ascii="Cambria" w:hAnsi="Cambria"/>
                <w:sz w:val="18"/>
                <w:szCs w:val="18"/>
                <w:lang w:val="es-CR"/>
              </w:rPr>
              <w:t>809-810</w:t>
            </w:r>
          </w:p>
        </w:tc>
      </w:tr>
      <w:tr w:rsidR="00CA1BC6" w:rsidRPr="001E06BC" w14:paraId="4A813507" w14:textId="77777777" w:rsidTr="00532A94">
        <w:trPr>
          <w:trHeight w:val="1285"/>
        </w:trPr>
        <w:tc>
          <w:tcPr>
            <w:tcW w:w="2070" w:type="dxa"/>
            <w:vAlign w:val="center"/>
          </w:tcPr>
          <w:p w14:paraId="16A3D430" w14:textId="28533BC0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Hacer milagros</w:t>
            </w:r>
          </w:p>
        </w:tc>
        <w:tc>
          <w:tcPr>
            <w:tcW w:w="8190" w:type="dxa"/>
            <w:vAlign w:val="center"/>
          </w:tcPr>
          <w:p w14:paraId="260FE2EC" w14:textId="043FB1B5" w:rsidR="00CA1BC6" w:rsidRPr="001E06BC" w:rsidRDefault="008E27CE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>Aquellos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 a los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que se les otorgó este </w:t>
            </w:r>
            <w:r w:rsidR="00F47FA0" w:rsidRPr="001E06BC">
              <w:rPr>
                <w:rFonts w:ascii="Cambria" w:hAnsi="Cambria"/>
                <w:sz w:val="22"/>
                <w:szCs w:val="22"/>
                <w:lang w:val="es-CR"/>
              </w:rPr>
              <w:t>don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eran empoderados por Dios para 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>realizar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señales y maravillas sobrenaturales… </w:t>
            </w:r>
            <w:r w:rsidR="00A06E6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(</w:t>
            </w:r>
            <w:r w:rsidR="00ED148B" w:rsidRPr="001E06BC">
              <w:rPr>
                <w:rFonts w:ascii="Cambria" w:hAnsi="Cambria"/>
                <w:sz w:val="22"/>
                <w:szCs w:val="22"/>
                <w:lang w:val="es-CR"/>
              </w:rPr>
              <w:t>cf.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Hch.</w:t>
            </w:r>
            <w:r w:rsidR="00ED148B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2:22</w:t>
            </w:r>
            <w:r w:rsidR="00261522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; </w:t>
            </w:r>
            <w:r w:rsidR="00B66A02" w:rsidRPr="001E06BC">
              <w:rPr>
                <w:rFonts w:ascii="Cambria" w:hAnsi="Cambria"/>
                <w:sz w:val="22"/>
                <w:szCs w:val="22"/>
                <w:lang w:val="es-CR"/>
              </w:rPr>
              <w:t>14:3</w:t>
            </w:r>
            <w:r w:rsidR="00261522" w:rsidRPr="001E06BC">
              <w:rPr>
                <w:rFonts w:ascii="Cambria" w:hAnsi="Cambria"/>
                <w:sz w:val="22"/>
                <w:szCs w:val="22"/>
                <w:lang w:val="es-CR"/>
              </w:rPr>
              <w:t>; 2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261522" w:rsidRPr="001E06BC">
              <w:rPr>
                <w:rFonts w:ascii="Cambria" w:hAnsi="Cambria"/>
                <w:sz w:val="22"/>
                <w:szCs w:val="22"/>
                <w:lang w:val="es-CR"/>
              </w:rPr>
              <w:t>Co. 12:12; He. 2:3-</w:t>
            </w:r>
            <w:r w:rsidR="00517D7F" w:rsidRPr="001E06BC">
              <w:rPr>
                <w:rFonts w:ascii="Cambria" w:hAnsi="Cambria"/>
                <w:sz w:val="22"/>
                <w:szCs w:val="22"/>
                <w:lang w:val="es-CR"/>
              </w:rPr>
              <w:t>4) …</w:t>
            </w:r>
            <w:r w:rsidR="00DB644A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Este poder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 milagroso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era una señal que validaba la predicación del evangelio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 xml:space="preserve"> solo</w:t>
            </w:r>
            <w:r w:rsidR="00B90416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>durante la e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>ra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apostólica</w:t>
            </w:r>
            <w:r w:rsidR="00C65154">
              <w:rPr>
                <w:rFonts w:ascii="Cambria" w:hAnsi="Cambria"/>
                <w:sz w:val="22"/>
                <w:szCs w:val="22"/>
                <w:lang w:val="es-CR"/>
              </w:rPr>
              <w:t>”</w:t>
            </w:r>
            <w:r w:rsidR="00A06E6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A06E65" w:rsidRPr="001E06BC">
              <w:rPr>
                <w:rFonts w:ascii="Cambria" w:hAnsi="Cambria"/>
                <w:sz w:val="18"/>
                <w:szCs w:val="18"/>
                <w:lang w:val="es-CR"/>
              </w:rPr>
              <w:t>p</w:t>
            </w:r>
            <w:r w:rsidR="00A579D9" w:rsidRPr="001E06BC">
              <w:rPr>
                <w:rFonts w:ascii="Cambria" w:hAnsi="Cambria"/>
                <w:sz w:val="18"/>
                <w:szCs w:val="18"/>
                <w:lang w:val="es-CR"/>
              </w:rPr>
              <w:t>.</w:t>
            </w:r>
            <w:r w:rsidR="00A06E65" w:rsidRPr="001E06BC">
              <w:rPr>
                <w:rFonts w:ascii="Cambria" w:hAnsi="Cambria"/>
                <w:sz w:val="18"/>
                <w:szCs w:val="18"/>
                <w:lang w:val="es-CR"/>
              </w:rPr>
              <w:t xml:space="preserve"> 808</w:t>
            </w:r>
            <w:r w:rsidR="00DB644A" w:rsidRPr="001E06BC">
              <w:rPr>
                <w:rFonts w:ascii="Cambria" w:hAnsi="Cambria"/>
                <w:sz w:val="18"/>
                <w:szCs w:val="18"/>
                <w:lang w:val="es-CR"/>
              </w:rPr>
              <w:t>-809</w:t>
            </w:r>
          </w:p>
        </w:tc>
      </w:tr>
      <w:tr w:rsidR="00CA1BC6" w:rsidRPr="001E06BC" w14:paraId="5E525ABA" w14:textId="77777777" w:rsidTr="009B1235">
        <w:trPr>
          <w:trHeight w:val="628"/>
        </w:trPr>
        <w:tc>
          <w:tcPr>
            <w:tcW w:w="2070" w:type="dxa"/>
            <w:vAlign w:val="center"/>
          </w:tcPr>
          <w:p w14:paraId="66410700" w14:textId="1F3D4564" w:rsidR="00CA1BC6" w:rsidRPr="001E06BC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Pro</w:t>
            </w:r>
            <w:r w:rsidR="00F47FA0"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fecía</w:t>
            </w:r>
          </w:p>
        </w:tc>
        <w:tc>
          <w:tcPr>
            <w:tcW w:w="8190" w:type="dxa"/>
            <w:vAlign w:val="center"/>
          </w:tcPr>
          <w:p w14:paraId="67B67924" w14:textId="7997E2C1" w:rsidR="00CA1BC6" w:rsidRPr="001E06BC" w:rsidRDefault="00DC206D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>La proclamación de la verdad revelada, ya sea nueva o antigua”.</w:t>
            </w:r>
            <w:r w:rsidR="00A06E6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A06E65" w:rsidRPr="001E06BC">
              <w:rPr>
                <w:rFonts w:ascii="Cambria" w:hAnsi="Cambria"/>
                <w:sz w:val="18"/>
                <w:szCs w:val="18"/>
                <w:lang w:val="es-CR"/>
              </w:rPr>
              <w:t>p. 812</w:t>
            </w:r>
          </w:p>
        </w:tc>
      </w:tr>
      <w:tr w:rsidR="00CA1BC6" w:rsidRPr="001E06BC" w14:paraId="1E6EEE9C" w14:textId="77777777" w:rsidTr="009B1235">
        <w:trPr>
          <w:trHeight w:val="1609"/>
        </w:trPr>
        <w:tc>
          <w:tcPr>
            <w:tcW w:w="2070" w:type="dxa"/>
            <w:vAlign w:val="center"/>
          </w:tcPr>
          <w:p w14:paraId="521B7BEA" w14:textId="4870D87D" w:rsidR="00CA1BC6" w:rsidRPr="001E06BC" w:rsidRDefault="00CA1BC6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Dis</w:t>
            </w:r>
            <w:r w:rsidR="00F47FA0"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cernimiento de espíritus</w:t>
            </w:r>
          </w:p>
        </w:tc>
        <w:tc>
          <w:tcPr>
            <w:tcW w:w="8190" w:type="dxa"/>
            <w:vAlign w:val="center"/>
          </w:tcPr>
          <w:p w14:paraId="036D980D" w14:textId="35023DA1" w:rsidR="00CA1BC6" w:rsidRPr="001E06BC" w:rsidRDefault="008C7EED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“Con este don, Dios divinamente le permitía a alguien discernir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 xml:space="preserve">entre las declaraciones verdaderas o 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falsas hechas por personas que engañosamente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afirma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ban que sus palabras eran revelaciones proféticas de Dios.</w:t>
            </w:r>
            <w:r w:rsidR="008A426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(1 Cor. </w:t>
            </w:r>
            <w:r w:rsidR="001D3A62" w:rsidRPr="001E06BC">
              <w:rPr>
                <w:rFonts w:ascii="Cambria" w:hAnsi="Cambria"/>
                <w:sz w:val="22"/>
                <w:szCs w:val="22"/>
                <w:lang w:val="es-CR"/>
              </w:rPr>
              <w:t>12:10) …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Desde que se completó el canon del nuevo testamento, la operación de este don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consiste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primordialmente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 xml:space="preserve">de 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la habilidad de identificar falsedad al compararla con la verdad bíblica </w:t>
            </w:r>
            <w:r w:rsidR="00DC77C1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(cf. 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Hch.</w:t>
            </w:r>
            <w:r w:rsidR="00DC77C1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17:11; 1 T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s</w:t>
            </w:r>
            <w:r w:rsidR="00DC77C1" w:rsidRPr="001E06BC">
              <w:rPr>
                <w:rFonts w:ascii="Cambria" w:hAnsi="Cambria"/>
                <w:sz w:val="22"/>
                <w:szCs w:val="22"/>
                <w:lang w:val="es-CR"/>
              </w:rPr>
              <w:t>. 5:20-22).</w:t>
            </w:r>
            <w:r w:rsidR="005B5DE1" w:rsidRPr="001E06BC">
              <w:rPr>
                <w:rFonts w:ascii="Cambria" w:hAnsi="Cambria"/>
                <w:sz w:val="22"/>
                <w:szCs w:val="22"/>
                <w:lang w:val="es-CR"/>
              </w:rPr>
              <w:t>”</w:t>
            </w:r>
            <w:r w:rsidR="00DC77C1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="00A579D9" w:rsidRPr="001E06BC">
              <w:rPr>
                <w:rFonts w:ascii="Cambria" w:hAnsi="Cambria"/>
                <w:sz w:val="18"/>
                <w:szCs w:val="18"/>
                <w:lang w:val="es-CR"/>
              </w:rPr>
              <w:t>p.</w:t>
            </w:r>
            <w:r w:rsidR="00DC77C1" w:rsidRPr="001E06BC">
              <w:rPr>
                <w:rFonts w:ascii="Cambria" w:hAnsi="Cambria"/>
                <w:sz w:val="18"/>
                <w:szCs w:val="18"/>
                <w:lang w:val="es-CR"/>
              </w:rPr>
              <w:t xml:space="preserve"> 813-814</w:t>
            </w:r>
          </w:p>
        </w:tc>
      </w:tr>
      <w:tr w:rsidR="00CA1BC6" w:rsidRPr="001E06BC" w14:paraId="67E3D119" w14:textId="77777777" w:rsidTr="009B1235">
        <w:trPr>
          <w:trHeight w:val="1339"/>
        </w:trPr>
        <w:tc>
          <w:tcPr>
            <w:tcW w:w="2070" w:type="dxa"/>
            <w:vAlign w:val="center"/>
          </w:tcPr>
          <w:p w14:paraId="7BD72648" w14:textId="058FC016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Lenguas</w:t>
            </w:r>
          </w:p>
        </w:tc>
        <w:tc>
          <w:tcPr>
            <w:tcW w:w="8190" w:type="dxa"/>
            <w:vAlign w:val="center"/>
          </w:tcPr>
          <w:p w14:paraId="07E49990" w14:textId="3071359D" w:rsidR="00CA1BC6" w:rsidRPr="001E06BC" w:rsidRDefault="00CA1BC6" w:rsidP="00CF16D3">
            <w:pPr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El don de lenguas consistía de la habilidad sobrenatural de que alguien pudiera hablar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con fluidez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un idioma f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oráneo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que la persona nunca antes había estudiado o hablado… Aunque en la actualidad muchos 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afirman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hablar en lenguas, es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tá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claro que nadie posee una habilidad como la que demostr</w:t>
            </w:r>
            <w:r w:rsidR="009B2E9B">
              <w:rPr>
                <w:rFonts w:ascii="Cambria" w:hAnsi="Cambria"/>
                <w:sz w:val="22"/>
                <w:szCs w:val="22"/>
                <w:lang w:val="es-CR"/>
              </w:rPr>
              <w:t>aron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los apóstoles en el día de Pentecostés”.</w:t>
            </w: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Pr="001E06BC">
              <w:rPr>
                <w:rFonts w:ascii="Cambria" w:hAnsi="Cambria"/>
                <w:sz w:val="18"/>
                <w:szCs w:val="18"/>
                <w:lang w:val="es-CR"/>
              </w:rPr>
              <w:t>p. 810</w:t>
            </w:r>
          </w:p>
        </w:tc>
      </w:tr>
      <w:tr w:rsidR="00CA1BC6" w:rsidRPr="001E06BC" w14:paraId="71C62D9D" w14:textId="77777777" w:rsidTr="009B1235">
        <w:trPr>
          <w:trHeight w:val="889"/>
        </w:trPr>
        <w:tc>
          <w:tcPr>
            <w:tcW w:w="2070" w:type="dxa"/>
            <w:vAlign w:val="center"/>
          </w:tcPr>
          <w:p w14:paraId="49140162" w14:textId="13349AD0" w:rsidR="00CA1BC6" w:rsidRPr="001E06BC" w:rsidRDefault="00F47FA0" w:rsidP="00CF16D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b/>
                <w:bCs/>
                <w:sz w:val="22"/>
                <w:szCs w:val="22"/>
                <w:lang w:val="es-CR"/>
              </w:rPr>
              <w:t>Interpretación de lenguas</w:t>
            </w:r>
          </w:p>
        </w:tc>
        <w:tc>
          <w:tcPr>
            <w:tcW w:w="8190" w:type="dxa"/>
            <w:vAlign w:val="center"/>
          </w:tcPr>
          <w:p w14:paraId="1F85F9A0" w14:textId="1F978F06" w:rsidR="00CA1BC6" w:rsidRPr="001E06BC" w:rsidRDefault="00CA1BC6" w:rsidP="00CF16D3">
            <w:pPr>
              <w:jc w:val="both"/>
              <w:rPr>
                <w:rFonts w:ascii="Cambria" w:hAnsi="Cambria"/>
                <w:sz w:val="22"/>
                <w:szCs w:val="22"/>
                <w:lang w:val="es-CR"/>
              </w:rPr>
            </w:pPr>
            <w:r w:rsidRPr="001E06BC">
              <w:rPr>
                <w:rFonts w:ascii="Cambria" w:hAnsi="Cambria"/>
                <w:sz w:val="22"/>
                <w:szCs w:val="22"/>
                <w:lang w:val="es-CR"/>
              </w:rPr>
              <w:t>“</w:t>
            </w:r>
            <w:r w:rsidR="008C7EED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La habilidad de traducir un mensaje hablado en un idioma foráneo </w:t>
            </w:r>
            <w:r w:rsidR="004D363B" w:rsidRPr="001E06BC">
              <w:rPr>
                <w:rFonts w:ascii="Cambria" w:hAnsi="Cambria"/>
                <w:sz w:val="22"/>
                <w:szCs w:val="22"/>
                <w:lang w:val="es-CR"/>
              </w:rPr>
              <w:t>a el idioma de la audiencia, para que lo pudieran entender y ser edificados”.</w:t>
            </w:r>
            <w:r w:rsidR="009B1235" w:rsidRPr="001E06BC">
              <w:rPr>
                <w:rFonts w:ascii="Cambria" w:hAnsi="Cambria"/>
                <w:sz w:val="22"/>
                <w:szCs w:val="22"/>
                <w:lang w:val="es-CR"/>
              </w:rPr>
              <w:t xml:space="preserve"> </w:t>
            </w:r>
            <w:r w:rsidRPr="001E06BC">
              <w:rPr>
                <w:rFonts w:ascii="Cambria" w:hAnsi="Cambria"/>
                <w:sz w:val="18"/>
                <w:szCs w:val="18"/>
                <w:lang w:val="es-CR"/>
              </w:rPr>
              <w:t>p. 81</w:t>
            </w:r>
            <w:r w:rsidR="00B35E53" w:rsidRPr="001E06BC">
              <w:rPr>
                <w:rFonts w:ascii="Cambria" w:hAnsi="Cambria"/>
                <w:sz w:val="18"/>
                <w:szCs w:val="18"/>
                <w:lang w:val="es-CR"/>
              </w:rPr>
              <w:t>1</w:t>
            </w:r>
          </w:p>
        </w:tc>
      </w:tr>
    </w:tbl>
    <w:p w14:paraId="5A7B3400" w14:textId="77777777" w:rsidR="000A538A" w:rsidRPr="001E06BC" w:rsidRDefault="000A538A" w:rsidP="00C65154">
      <w:pPr>
        <w:rPr>
          <w:lang w:val="es-CR"/>
        </w:rPr>
      </w:pPr>
    </w:p>
    <w:sectPr w:rsidR="000A538A" w:rsidRPr="001E06BC" w:rsidSect="00F06D21"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0B2A" w14:textId="77777777" w:rsidR="000B7792" w:rsidRDefault="000B7792" w:rsidP="00F06D21">
      <w:pPr>
        <w:spacing w:after="0" w:line="240" w:lineRule="auto"/>
      </w:pPr>
      <w:r>
        <w:separator/>
      </w:r>
    </w:p>
  </w:endnote>
  <w:endnote w:type="continuationSeparator" w:id="0">
    <w:p w14:paraId="463A9433" w14:textId="77777777" w:rsidR="000B7792" w:rsidRDefault="000B7792" w:rsidP="00F0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E079" w14:textId="77777777" w:rsidR="000B7792" w:rsidRDefault="000B7792" w:rsidP="00F06D21">
      <w:pPr>
        <w:spacing w:after="0" w:line="240" w:lineRule="auto"/>
      </w:pPr>
      <w:r>
        <w:separator/>
      </w:r>
    </w:p>
  </w:footnote>
  <w:footnote w:type="continuationSeparator" w:id="0">
    <w:p w14:paraId="60605C18" w14:textId="77777777" w:rsidR="000B7792" w:rsidRDefault="000B7792" w:rsidP="00F06D21">
      <w:pPr>
        <w:spacing w:after="0" w:line="240" w:lineRule="auto"/>
      </w:pPr>
      <w:r>
        <w:continuationSeparator/>
      </w:r>
    </w:p>
  </w:footnote>
  <w:footnote w:id="1">
    <w:p w14:paraId="68AC0FA6" w14:textId="39895FA1" w:rsidR="00CF16D3" w:rsidRPr="00C65154" w:rsidRDefault="00CF16D3" w:rsidP="006B4B65">
      <w:pPr>
        <w:pStyle w:val="FootnoteText"/>
        <w:ind w:left="720" w:hanging="720"/>
        <w:rPr>
          <w:rFonts w:ascii="Cambria" w:hAnsi="Cambria"/>
          <w:i/>
          <w:iCs/>
        </w:rPr>
      </w:pPr>
      <w:r w:rsidRPr="001A100C">
        <w:rPr>
          <w:rStyle w:val="FootnoteReference"/>
          <w:rFonts w:ascii="Cambria" w:hAnsi="Cambria"/>
        </w:rPr>
        <w:footnoteRef/>
      </w:r>
      <w:r w:rsidRPr="00C65154">
        <w:rPr>
          <w:rFonts w:ascii="Cambria" w:hAnsi="Cambria"/>
          <w:lang w:val="es-CR"/>
        </w:rPr>
        <w:t xml:space="preserve"> </w:t>
      </w:r>
      <w:r w:rsidR="00C65154" w:rsidRPr="00C65154">
        <w:rPr>
          <w:rFonts w:ascii="Cambria" w:hAnsi="Cambria"/>
          <w:lang w:val="es-CR"/>
        </w:rPr>
        <w:t>Todas las definiciones son adaptadas de Teología si</w:t>
      </w:r>
      <w:r w:rsidR="00C65154">
        <w:rPr>
          <w:rFonts w:ascii="Cambria" w:hAnsi="Cambria"/>
          <w:lang w:val="es-CR"/>
        </w:rPr>
        <w:t>s</w:t>
      </w:r>
      <w:r w:rsidR="00C65154" w:rsidRPr="00C65154">
        <w:rPr>
          <w:rFonts w:ascii="Cambria" w:hAnsi="Cambria"/>
          <w:lang w:val="es-CR"/>
        </w:rPr>
        <w:t>temát</w:t>
      </w:r>
      <w:r w:rsidR="00C65154">
        <w:rPr>
          <w:rFonts w:ascii="Cambria" w:hAnsi="Cambria"/>
          <w:lang w:val="es-CR"/>
        </w:rPr>
        <w:t>i</w:t>
      </w:r>
      <w:r w:rsidR="00C65154" w:rsidRPr="00C65154">
        <w:rPr>
          <w:rFonts w:ascii="Cambria" w:hAnsi="Cambria"/>
          <w:lang w:val="es-CR"/>
        </w:rPr>
        <w:t xml:space="preserve">ca </w:t>
      </w:r>
      <w:r w:rsidR="00C65154">
        <w:rPr>
          <w:rFonts w:ascii="Cambria" w:hAnsi="Cambria"/>
          <w:lang w:val="es-CR"/>
        </w:rPr>
        <w:t>de</w:t>
      </w:r>
      <w:r w:rsidR="00C65154" w:rsidRPr="00C65154">
        <w:rPr>
          <w:rFonts w:ascii="Cambria" w:hAnsi="Cambria"/>
          <w:lang w:val="es-CR"/>
        </w:rPr>
        <w:t xml:space="preserve"> </w:t>
      </w:r>
      <w:r w:rsidR="001A100C" w:rsidRPr="00C65154">
        <w:rPr>
          <w:rFonts w:ascii="Cambria" w:hAnsi="Cambria"/>
          <w:lang w:val="es-CR"/>
        </w:rPr>
        <w:t xml:space="preserve">John MacArthur </w:t>
      </w:r>
      <w:r w:rsidR="00C65154">
        <w:rPr>
          <w:rFonts w:ascii="Cambria" w:hAnsi="Cambria"/>
          <w:lang w:val="es-CR"/>
        </w:rPr>
        <w:t>y</w:t>
      </w:r>
      <w:r w:rsidR="001A100C" w:rsidRPr="00C65154">
        <w:rPr>
          <w:rFonts w:ascii="Cambria" w:hAnsi="Cambria"/>
          <w:lang w:val="es-CR"/>
        </w:rPr>
        <w:t xml:space="preserve"> Richard Mayhue. </w:t>
      </w:r>
      <w:r w:rsidR="00861420" w:rsidRPr="00C65154">
        <w:rPr>
          <w:rFonts w:ascii="Cambria" w:hAnsi="Cambria"/>
          <w:i/>
          <w:iCs/>
        </w:rPr>
        <w:t>John MacArthur a</w:t>
      </w:r>
      <w:r w:rsidR="00C65154" w:rsidRPr="00C65154">
        <w:rPr>
          <w:rFonts w:ascii="Cambria" w:hAnsi="Cambria"/>
          <w:i/>
          <w:iCs/>
        </w:rPr>
        <w:t>nd</w:t>
      </w:r>
      <w:r w:rsidR="00861420" w:rsidRPr="00C65154">
        <w:rPr>
          <w:rFonts w:ascii="Cambria" w:hAnsi="Cambria"/>
          <w:i/>
          <w:iCs/>
        </w:rPr>
        <w:t xml:space="preserve"> Richard Mayhue, Biblical Doctrine: A Systematic Summary of Bible Truth (Wheaton, IL: Crossway, 2017), </w:t>
      </w:r>
      <w:r w:rsidR="008464C9" w:rsidRPr="00C65154">
        <w:rPr>
          <w:rFonts w:ascii="Cambria" w:hAnsi="Cambria"/>
          <w:i/>
          <w:iCs/>
        </w:rPr>
        <w:t>808-17.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C6"/>
    <w:rsid w:val="00007EAE"/>
    <w:rsid w:val="00032B14"/>
    <w:rsid w:val="000674CE"/>
    <w:rsid w:val="000822DB"/>
    <w:rsid w:val="00091892"/>
    <w:rsid w:val="000A176B"/>
    <w:rsid w:val="000A538A"/>
    <w:rsid w:val="000B7792"/>
    <w:rsid w:val="000D3B0A"/>
    <w:rsid w:val="000D471D"/>
    <w:rsid w:val="000E17F6"/>
    <w:rsid w:val="001411B6"/>
    <w:rsid w:val="00141491"/>
    <w:rsid w:val="001628DC"/>
    <w:rsid w:val="001A100C"/>
    <w:rsid w:val="001A7297"/>
    <w:rsid w:val="001D3A62"/>
    <w:rsid w:val="001E06BC"/>
    <w:rsid w:val="002117F8"/>
    <w:rsid w:val="00261522"/>
    <w:rsid w:val="003429B1"/>
    <w:rsid w:val="00386FB5"/>
    <w:rsid w:val="00421A98"/>
    <w:rsid w:val="004550F8"/>
    <w:rsid w:val="004D363B"/>
    <w:rsid w:val="00517D7F"/>
    <w:rsid w:val="00532A94"/>
    <w:rsid w:val="005512AE"/>
    <w:rsid w:val="005846F7"/>
    <w:rsid w:val="005B5DE1"/>
    <w:rsid w:val="005F33AA"/>
    <w:rsid w:val="006002A8"/>
    <w:rsid w:val="00681EA8"/>
    <w:rsid w:val="006B4B65"/>
    <w:rsid w:val="0072092C"/>
    <w:rsid w:val="0072613C"/>
    <w:rsid w:val="007569E0"/>
    <w:rsid w:val="007C3C0C"/>
    <w:rsid w:val="007C6407"/>
    <w:rsid w:val="00824BDD"/>
    <w:rsid w:val="008464C9"/>
    <w:rsid w:val="00861420"/>
    <w:rsid w:val="00885B03"/>
    <w:rsid w:val="008A4265"/>
    <w:rsid w:val="008C7EED"/>
    <w:rsid w:val="008E27CE"/>
    <w:rsid w:val="009B1235"/>
    <w:rsid w:val="009B2E9B"/>
    <w:rsid w:val="009E3A35"/>
    <w:rsid w:val="00A06E65"/>
    <w:rsid w:val="00A10D1E"/>
    <w:rsid w:val="00A10EBB"/>
    <w:rsid w:val="00A579D9"/>
    <w:rsid w:val="00A740A2"/>
    <w:rsid w:val="00B05139"/>
    <w:rsid w:val="00B35E53"/>
    <w:rsid w:val="00B4631F"/>
    <w:rsid w:val="00B66A02"/>
    <w:rsid w:val="00B83037"/>
    <w:rsid w:val="00B878D9"/>
    <w:rsid w:val="00B90416"/>
    <w:rsid w:val="00C509B4"/>
    <w:rsid w:val="00C65154"/>
    <w:rsid w:val="00C90D1A"/>
    <w:rsid w:val="00CA1BC6"/>
    <w:rsid w:val="00CF16D3"/>
    <w:rsid w:val="00DB644A"/>
    <w:rsid w:val="00DC206D"/>
    <w:rsid w:val="00DC77C1"/>
    <w:rsid w:val="00E15E75"/>
    <w:rsid w:val="00E2454E"/>
    <w:rsid w:val="00E34FC3"/>
    <w:rsid w:val="00E9050D"/>
    <w:rsid w:val="00EA2E9E"/>
    <w:rsid w:val="00EB0060"/>
    <w:rsid w:val="00EB7AC4"/>
    <w:rsid w:val="00ED148B"/>
    <w:rsid w:val="00F05156"/>
    <w:rsid w:val="00F06D21"/>
    <w:rsid w:val="00F47FA0"/>
    <w:rsid w:val="00F91F6C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3151"/>
  <w15:chartTrackingRefBased/>
  <w15:docId w15:val="{8B6C9812-7896-4937-AB99-CA8B93A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D21"/>
  </w:style>
  <w:style w:type="paragraph" w:styleId="Footer">
    <w:name w:val="footer"/>
    <w:basedOn w:val="Normal"/>
    <w:link w:val="FooterChar"/>
    <w:uiPriority w:val="99"/>
    <w:unhideWhenUsed/>
    <w:rsid w:val="00F0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D21"/>
  </w:style>
  <w:style w:type="paragraph" w:styleId="FootnoteText">
    <w:name w:val="footnote text"/>
    <w:basedOn w:val="Normal"/>
    <w:link w:val="FootnoteTextChar"/>
    <w:uiPriority w:val="99"/>
    <w:semiHidden/>
    <w:unhideWhenUsed/>
    <w:rsid w:val="00CF16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16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1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53B92-69FE-4D3A-85D3-1A1FD3B3C821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7CE97922-AC29-4E69-9EF1-F4D874200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2E4368-0ED1-4811-9BAA-63BCF90E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EB2AA-A362-473D-8012-3123C9DD2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1979</Characters>
  <Application>Microsoft Office Word</Application>
  <DocSecurity>4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Benjamin</dc:creator>
  <cp:keywords/>
  <dc:description/>
  <cp:lastModifiedBy>Lauren Brown</cp:lastModifiedBy>
  <cp:revision>2</cp:revision>
  <cp:lastPrinted>2026-01-15T18:47:00Z</cp:lastPrinted>
  <dcterms:created xsi:type="dcterms:W3CDTF">2026-01-19T03:46:00Z</dcterms:created>
  <dcterms:modified xsi:type="dcterms:W3CDTF">2026-01-19T03:46:00Z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