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400" w:type="dxa"/>
        <w:jc w:val="center"/>
        <w:tblCellSpacing w:w="0" w:type="dxa"/>
        <w:tblCellMar>
          <w:left w:w="0" w:type="dxa"/>
          <w:right w:w="0" w:type="dxa"/>
        </w:tblCellMar>
        <w:tblLook w:val="04A0" w:firstRow="1" w:lastRow="0" w:firstColumn="1" w:lastColumn="0" w:noHBand="0" w:noVBand="1"/>
      </w:tblPr>
      <w:tblGrid>
        <w:gridCol w:w="4170"/>
        <w:gridCol w:w="4230"/>
      </w:tblGrid>
      <w:tr w:rsidR="004B0BC6" w:rsidTr="004B0BC6">
        <w:trPr>
          <w:trHeight w:val="1125"/>
          <w:tblCellSpacing w:w="0" w:type="dxa"/>
          <w:jc w:val="center"/>
        </w:trPr>
        <w:tc>
          <w:tcPr>
            <w:tcW w:w="4170" w:type="dxa"/>
            <w:shd w:val="clear" w:color="auto" w:fill="FFFFFF"/>
            <w:vAlign w:val="center"/>
            <w:hideMark/>
          </w:tcPr>
          <w:p w:rsidR="004B0BC6" w:rsidRDefault="004B0BC6">
            <w:pPr>
              <w:jc w:val="center"/>
              <w:rPr>
                <w:rFonts w:ascii="Arial" w:hAnsi="Arial" w:cs="Arial"/>
                <w:color w:val="000000"/>
                <w:sz w:val="21"/>
                <w:szCs w:val="21"/>
              </w:rPr>
            </w:pPr>
            <w:r>
              <w:rPr>
                <w:noProof/>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228850" cy="581025"/>
                  <wp:effectExtent l="0" t="0" r="0" b="9525"/>
                  <wp:wrapSquare wrapText="bothSides"/>
                  <wp:docPr id="2" name="Picture 2" descr="http://service.pacerfinancial.com/pacer_etfs/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rvice.pacerfinancial.com/pacer_etfs/images/logo.jp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228850" cy="581025"/>
                          </a:xfrm>
                          <a:prstGeom prst="rect">
                            <a:avLst/>
                          </a:prstGeom>
                          <a:noFill/>
                        </pic:spPr>
                      </pic:pic>
                    </a:graphicData>
                  </a:graphic>
                  <wp14:sizeRelH relativeFrom="page">
                    <wp14:pctWidth>0</wp14:pctWidth>
                  </wp14:sizeRelH>
                  <wp14:sizeRelV relativeFrom="page">
                    <wp14:pctHeight>0</wp14:pctHeight>
                  </wp14:sizeRelV>
                </wp:anchor>
              </w:drawing>
            </w:r>
          </w:p>
        </w:tc>
        <w:tc>
          <w:tcPr>
            <w:tcW w:w="4230" w:type="dxa"/>
            <w:shd w:val="clear" w:color="auto" w:fill="FFFFFF"/>
            <w:vAlign w:val="center"/>
            <w:hideMark/>
          </w:tcPr>
          <w:p w:rsidR="004B0BC6" w:rsidRDefault="004B0BC6">
            <w:pPr>
              <w:jc w:val="center"/>
              <w:rPr>
                <w:rFonts w:ascii="Arial" w:hAnsi="Arial" w:cs="Arial"/>
                <w:color w:val="000000"/>
                <w:sz w:val="21"/>
                <w:szCs w:val="21"/>
              </w:rPr>
            </w:pPr>
            <w:r>
              <w:rPr>
                <w:rFonts w:ascii="Arial" w:hAnsi="Arial" w:cs="Arial"/>
                <w:color w:val="000000"/>
                <w:sz w:val="21"/>
                <w:szCs w:val="21"/>
              </w:rPr>
              <w:t> </w:t>
            </w:r>
          </w:p>
        </w:tc>
      </w:tr>
    </w:tbl>
    <w:p w:rsidR="004B0BC6" w:rsidRDefault="004B0BC6" w:rsidP="004B0BC6">
      <w:pPr>
        <w:jc w:val="center"/>
        <w:rPr>
          <w:rFonts w:ascii="Arial" w:hAnsi="Arial" w:cs="Arial"/>
          <w:vanish/>
          <w:color w:val="000000"/>
          <w:sz w:val="21"/>
          <w:szCs w:val="21"/>
        </w:rPr>
      </w:pPr>
    </w:p>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4B0BC6" w:rsidTr="004B0BC6">
        <w:trPr>
          <w:tblCellSpacing w:w="0" w:type="dxa"/>
          <w:jc w:val="center"/>
        </w:trPr>
        <w:tc>
          <w:tcPr>
            <w:tcW w:w="0" w:type="auto"/>
            <w:vAlign w:val="center"/>
            <w:hideMark/>
          </w:tcPr>
          <w:p w:rsidR="004B0BC6" w:rsidRDefault="004B0BC6">
            <w:pPr>
              <w:rPr>
                <w:rFonts w:eastAsia="Times New Roman"/>
                <w:sz w:val="20"/>
                <w:szCs w:val="20"/>
              </w:rPr>
            </w:pPr>
          </w:p>
        </w:tc>
      </w:tr>
    </w:tbl>
    <w:p w:rsidR="004B0BC6" w:rsidRDefault="004B0BC6" w:rsidP="004B0BC6">
      <w:pPr>
        <w:jc w:val="center"/>
        <w:rPr>
          <w:rFonts w:ascii="Arial" w:hAnsi="Arial" w:cs="Arial"/>
          <w:vanish/>
          <w:color w:val="000000"/>
          <w:sz w:val="21"/>
          <w:szCs w:val="21"/>
        </w:rPr>
      </w:pPr>
    </w:p>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4B0BC6" w:rsidTr="004B0BC6">
        <w:trPr>
          <w:tblCellSpacing w:w="0" w:type="dxa"/>
          <w:jc w:val="center"/>
        </w:trPr>
        <w:tc>
          <w:tcPr>
            <w:tcW w:w="0" w:type="auto"/>
            <w:shd w:val="clear" w:color="auto" w:fill="CCCCCC"/>
            <w:vAlign w:val="center"/>
            <w:hideMark/>
          </w:tcPr>
          <w:p w:rsidR="004B0BC6" w:rsidRDefault="004B0BC6">
            <w:pPr>
              <w:jc w:val="center"/>
              <w:rPr>
                <w:rFonts w:ascii="Arial" w:hAnsi="Arial" w:cs="Arial"/>
                <w:color w:val="000000"/>
                <w:sz w:val="21"/>
                <w:szCs w:val="21"/>
              </w:rPr>
            </w:pPr>
            <w:bookmarkStart w:id="0" w:name="_GoBack"/>
            <w:r>
              <w:rPr>
                <w:rFonts w:ascii="Arial" w:hAnsi="Arial" w:cs="Arial"/>
                <w:noProof/>
                <w:color w:val="000000"/>
                <w:sz w:val="21"/>
                <w:szCs w:val="21"/>
              </w:rPr>
              <w:drawing>
                <wp:inline distT="0" distB="0" distL="0" distR="0">
                  <wp:extent cx="5330825" cy="1906270"/>
                  <wp:effectExtent l="0" t="0" r="3175" b="0"/>
                  <wp:docPr id="1" name="Picture 1" descr="http://service.pacerfinancial.com/pacer_etfs/images/boathouse_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rvice.pacerfinancial.com/pacer_etfs/images/boathouse_hea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0825" cy="1906270"/>
                          </a:xfrm>
                          <a:prstGeom prst="rect">
                            <a:avLst/>
                          </a:prstGeom>
                          <a:noFill/>
                          <a:ln>
                            <a:noFill/>
                          </a:ln>
                        </pic:spPr>
                      </pic:pic>
                    </a:graphicData>
                  </a:graphic>
                </wp:inline>
              </w:drawing>
            </w:r>
            <w:bookmarkEnd w:id="0"/>
          </w:p>
        </w:tc>
      </w:tr>
    </w:tbl>
    <w:p w:rsidR="004B0BC6" w:rsidRDefault="004B0BC6" w:rsidP="004B0BC6">
      <w:pPr>
        <w:jc w:val="center"/>
        <w:rPr>
          <w:rFonts w:ascii="Arial" w:hAnsi="Arial" w:cs="Arial"/>
          <w:vanish/>
          <w:color w:val="000000"/>
          <w:sz w:val="21"/>
          <w:szCs w:val="21"/>
        </w:rPr>
      </w:pPr>
    </w:p>
    <w:tbl>
      <w:tblPr>
        <w:tblW w:w="8400" w:type="dxa"/>
        <w:jc w:val="center"/>
        <w:tblCellSpacing w:w="0" w:type="dxa"/>
        <w:tblCellMar>
          <w:left w:w="0" w:type="dxa"/>
          <w:right w:w="0" w:type="dxa"/>
        </w:tblCellMar>
        <w:tblLook w:val="04A0" w:firstRow="1" w:lastRow="0" w:firstColumn="1" w:lastColumn="0" w:noHBand="0" w:noVBand="1"/>
      </w:tblPr>
      <w:tblGrid>
        <w:gridCol w:w="2707"/>
        <w:gridCol w:w="283"/>
        <w:gridCol w:w="5410"/>
      </w:tblGrid>
      <w:tr w:rsidR="004B0BC6" w:rsidTr="004B0BC6">
        <w:trPr>
          <w:tblCellSpacing w:w="0" w:type="dxa"/>
          <w:jc w:val="center"/>
        </w:trPr>
        <w:tc>
          <w:tcPr>
            <w:tcW w:w="0" w:type="auto"/>
            <w:gridSpan w:val="3"/>
            <w:shd w:val="clear" w:color="auto" w:fill="005C8F"/>
            <w:tcMar>
              <w:top w:w="75" w:type="dxa"/>
              <w:left w:w="75" w:type="dxa"/>
              <w:bottom w:w="75" w:type="dxa"/>
              <w:right w:w="75" w:type="dxa"/>
            </w:tcMar>
            <w:vAlign w:val="center"/>
            <w:hideMark/>
          </w:tcPr>
          <w:p w:rsidR="004B0BC6" w:rsidRDefault="004B0BC6">
            <w:pPr>
              <w:rPr>
                <w:rFonts w:ascii="Georgia" w:hAnsi="Georgia"/>
                <w:b/>
                <w:bCs/>
                <w:color w:val="FFFFFF"/>
                <w:sz w:val="42"/>
                <w:szCs w:val="42"/>
              </w:rPr>
            </w:pPr>
            <w:r>
              <w:rPr>
                <w:rStyle w:val="Strong"/>
                <w:rFonts w:ascii="Georgia" w:hAnsi="Georgia"/>
                <w:color w:val="FFFFFF"/>
                <w:sz w:val="42"/>
                <w:szCs w:val="42"/>
              </w:rPr>
              <w:t xml:space="preserve">Uncertain Times Lead to Uncertain Emotions: Let </w:t>
            </w:r>
            <w:proofErr w:type="spellStart"/>
            <w:r>
              <w:rPr>
                <w:rStyle w:val="Strong"/>
                <w:rFonts w:ascii="Georgia" w:hAnsi="Georgia"/>
                <w:color w:val="FFFFFF"/>
                <w:sz w:val="42"/>
                <w:szCs w:val="42"/>
              </w:rPr>
              <w:t>Trendpilot</w:t>
            </w:r>
            <w:proofErr w:type="spellEnd"/>
            <w:r>
              <w:rPr>
                <w:rStyle w:val="Strong"/>
                <w:rFonts w:ascii="Georgia" w:hAnsi="Georgia"/>
                <w:color w:val="FFFFFF"/>
                <w:sz w:val="42"/>
                <w:szCs w:val="42"/>
              </w:rPr>
              <w:t>™ Be Your Guide</w:t>
            </w:r>
          </w:p>
        </w:tc>
      </w:tr>
      <w:tr w:rsidR="004B0BC6" w:rsidTr="004B0BC6">
        <w:trPr>
          <w:tblCellSpacing w:w="0" w:type="dxa"/>
          <w:jc w:val="center"/>
        </w:trPr>
        <w:tc>
          <w:tcPr>
            <w:tcW w:w="2655" w:type="dxa"/>
            <w:shd w:val="clear" w:color="auto" w:fill="CCCCCC"/>
            <w:tcMar>
              <w:top w:w="75" w:type="dxa"/>
              <w:left w:w="75" w:type="dxa"/>
              <w:bottom w:w="75" w:type="dxa"/>
              <w:right w:w="75" w:type="dxa"/>
            </w:tcMar>
            <w:hideMark/>
          </w:tcPr>
          <w:p w:rsidR="004B0BC6" w:rsidRDefault="004B0BC6">
            <w:pPr>
              <w:pStyle w:val="NormalWeb"/>
              <w:rPr>
                <w:rFonts w:ascii="Arial" w:hAnsi="Arial" w:cs="Arial"/>
                <w:color w:val="000000"/>
                <w:sz w:val="18"/>
                <w:szCs w:val="18"/>
              </w:rPr>
            </w:pPr>
            <w:r>
              <w:rPr>
                <w:rStyle w:val="Strong"/>
                <w:rFonts w:ascii="Arial" w:hAnsi="Arial" w:cs="Arial"/>
                <w:color w:val="000000"/>
                <w:sz w:val="18"/>
                <w:szCs w:val="18"/>
              </w:rPr>
              <w:t xml:space="preserve">Date: </w:t>
            </w:r>
            <w:r>
              <w:rPr>
                <w:color w:val="000000"/>
              </w:rPr>
              <w:t>Tuesday, July 19</w:t>
            </w:r>
            <w:r>
              <w:rPr>
                <w:color w:val="000000"/>
                <w:vertAlign w:val="superscript"/>
              </w:rPr>
              <w:t>th</w:t>
            </w:r>
            <w:r>
              <w:rPr>
                <w:color w:val="000000"/>
              </w:rPr>
              <w:t>, 2022</w:t>
            </w:r>
          </w:p>
          <w:p w:rsidR="004B0BC6" w:rsidRDefault="004B0BC6">
            <w:pPr>
              <w:pStyle w:val="NormalWeb"/>
              <w:rPr>
                <w:rFonts w:ascii="Arial" w:hAnsi="Arial" w:cs="Arial"/>
                <w:color w:val="000000"/>
                <w:sz w:val="18"/>
                <w:szCs w:val="18"/>
              </w:rPr>
            </w:pPr>
            <w:r>
              <w:rPr>
                <w:rStyle w:val="Strong"/>
                <w:rFonts w:ascii="Arial" w:hAnsi="Arial" w:cs="Arial"/>
                <w:color w:val="000000"/>
                <w:sz w:val="18"/>
                <w:szCs w:val="18"/>
              </w:rPr>
              <w:t>Time:</w:t>
            </w:r>
            <w:r>
              <w:rPr>
                <w:color w:val="000000"/>
              </w:rPr>
              <w:t xml:space="preserve"> 12 pm CT</w:t>
            </w:r>
          </w:p>
          <w:p w:rsidR="004B0BC6" w:rsidRDefault="004B0BC6">
            <w:pPr>
              <w:pStyle w:val="NormalWeb"/>
              <w:rPr>
                <w:rFonts w:ascii="Arial" w:hAnsi="Arial" w:cs="Arial"/>
                <w:color w:val="000000"/>
                <w:sz w:val="18"/>
                <w:szCs w:val="18"/>
              </w:rPr>
            </w:pPr>
            <w:r>
              <w:rPr>
                <w:rStyle w:val="Strong"/>
                <w:rFonts w:ascii="Arial" w:hAnsi="Arial" w:cs="Arial"/>
                <w:color w:val="000000"/>
                <w:sz w:val="18"/>
                <w:szCs w:val="18"/>
              </w:rPr>
              <w:t xml:space="preserve">Place: </w:t>
            </w:r>
            <w:proofErr w:type="spellStart"/>
            <w:r>
              <w:rPr>
                <w:color w:val="000000"/>
              </w:rPr>
              <w:t>GoTo</w:t>
            </w:r>
            <w:proofErr w:type="spellEnd"/>
            <w:r>
              <w:rPr>
                <w:color w:val="000000"/>
              </w:rPr>
              <w:t xml:space="preserve"> Meeting</w:t>
            </w:r>
          </w:p>
        </w:tc>
        <w:tc>
          <w:tcPr>
            <w:tcW w:w="75" w:type="dxa"/>
            <w:shd w:val="clear" w:color="auto" w:fill="FFFFFF"/>
            <w:tcMar>
              <w:top w:w="75" w:type="dxa"/>
              <w:left w:w="75" w:type="dxa"/>
              <w:bottom w:w="75" w:type="dxa"/>
              <w:right w:w="75" w:type="dxa"/>
            </w:tcMar>
            <w:hideMark/>
          </w:tcPr>
          <w:p w:rsidR="004B0BC6" w:rsidRDefault="004B0BC6">
            <w:pPr>
              <w:pStyle w:val="bodycopy"/>
            </w:pPr>
            <w:r>
              <w:t> </w:t>
            </w:r>
          </w:p>
        </w:tc>
        <w:tc>
          <w:tcPr>
            <w:tcW w:w="5220" w:type="dxa"/>
            <w:shd w:val="clear" w:color="auto" w:fill="FFFFFF"/>
            <w:tcMar>
              <w:top w:w="75" w:type="dxa"/>
              <w:left w:w="75" w:type="dxa"/>
              <w:bottom w:w="75" w:type="dxa"/>
              <w:right w:w="75" w:type="dxa"/>
            </w:tcMar>
            <w:hideMark/>
          </w:tcPr>
          <w:p w:rsidR="004B0BC6" w:rsidRDefault="004B0BC6">
            <w:pPr>
              <w:pStyle w:val="bodycopy"/>
            </w:pPr>
            <w:r>
              <w:t>Join us to learn about a trend following strategy that can help grow your investments during up markets and guard them against long term down markets.</w:t>
            </w:r>
          </w:p>
          <w:p w:rsidR="004B0BC6" w:rsidRDefault="004B0BC6">
            <w:pPr>
              <w:pStyle w:val="bodycopy"/>
            </w:pPr>
            <w:r>
              <w:t>We will discuss:</w:t>
            </w:r>
          </w:p>
          <w:p w:rsidR="004B0BC6" w:rsidRDefault="004B0BC6" w:rsidP="00D97D75">
            <w:pPr>
              <w:pStyle w:val="bodycopy"/>
              <w:numPr>
                <w:ilvl w:val="0"/>
                <w:numId w:val="1"/>
              </w:numPr>
              <w:rPr>
                <w:rFonts w:eastAsia="Times New Roman"/>
              </w:rPr>
            </w:pPr>
            <w:r>
              <w:rPr>
                <w:rFonts w:eastAsia="Times New Roman"/>
              </w:rPr>
              <w:t xml:space="preserve">The impact of emotions on investing </w:t>
            </w:r>
          </w:p>
          <w:p w:rsidR="004B0BC6" w:rsidRDefault="004B0BC6" w:rsidP="00D97D75">
            <w:pPr>
              <w:pStyle w:val="bodycopy"/>
              <w:numPr>
                <w:ilvl w:val="0"/>
                <w:numId w:val="1"/>
              </w:numPr>
              <w:rPr>
                <w:rFonts w:eastAsia="Times New Roman"/>
              </w:rPr>
            </w:pPr>
            <w:r>
              <w:rPr>
                <w:rFonts w:eastAsia="Times New Roman"/>
              </w:rPr>
              <w:t>The difficulty of recovering from a loss</w:t>
            </w:r>
          </w:p>
          <w:p w:rsidR="004B0BC6" w:rsidRDefault="004B0BC6" w:rsidP="00D97D75">
            <w:pPr>
              <w:pStyle w:val="bodycopy"/>
              <w:numPr>
                <w:ilvl w:val="0"/>
                <w:numId w:val="1"/>
              </w:numPr>
              <w:rPr>
                <w:rFonts w:eastAsia="Times New Roman"/>
              </w:rPr>
            </w:pPr>
            <w:r>
              <w:rPr>
                <w:rFonts w:eastAsia="Times New Roman"/>
              </w:rPr>
              <w:t>Simple investing rules to follow</w:t>
            </w:r>
          </w:p>
          <w:p w:rsidR="004B0BC6" w:rsidRDefault="004B0BC6" w:rsidP="00D97D75">
            <w:pPr>
              <w:pStyle w:val="bodycopy"/>
              <w:numPr>
                <w:ilvl w:val="0"/>
                <w:numId w:val="1"/>
              </w:numPr>
              <w:rPr>
                <w:rFonts w:eastAsia="Times New Roman"/>
              </w:rPr>
            </w:pPr>
            <w:r>
              <w:rPr>
                <w:rFonts w:eastAsia="Times New Roman"/>
              </w:rPr>
              <w:t xml:space="preserve">A strategy that aims to minimize losses during major market downtrends. </w:t>
            </w:r>
          </w:p>
          <w:p w:rsidR="004B0BC6" w:rsidRDefault="004B0BC6">
            <w:pPr>
              <w:pStyle w:val="bodycopy"/>
            </w:pPr>
            <w:r>
              <w:t xml:space="preserve">Each Pacer </w:t>
            </w:r>
            <w:proofErr w:type="spellStart"/>
            <w:r>
              <w:t>Trendpilot</w:t>
            </w:r>
            <w:proofErr w:type="spellEnd"/>
            <w:r>
              <w:rPr>
                <w:vertAlign w:val="superscript"/>
              </w:rPr>
              <w:t xml:space="preserve">® </w:t>
            </w:r>
            <w:r>
              <w:t>Exchange Traded Fund seeks to:</w:t>
            </w:r>
          </w:p>
          <w:p w:rsidR="004B0BC6" w:rsidRDefault="004B0BC6" w:rsidP="00D97D75">
            <w:pPr>
              <w:pStyle w:val="bodycopy"/>
              <w:numPr>
                <w:ilvl w:val="0"/>
                <w:numId w:val="2"/>
              </w:numPr>
              <w:rPr>
                <w:rFonts w:eastAsia="Times New Roman"/>
              </w:rPr>
            </w:pPr>
            <w:r>
              <w:rPr>
                <w:rStyle w:val="Strong"/>
                <w:rFonts w:eastAsia="Times New Roman"/>
              </w:rPr>
              <w:t>Participate</w:t>
            </w:r>
            <w:r>
              <w:rPr>
                <w:rStyle w:val="bodycopy2"/>
                <w:rFonts w:eastAsia="Times New Roman"/>
              </w:rPr>
              <w:t xml:space="preserve"> in the market when it is trending up.</w:t>
            </w:r>
          </w:p>
          <w:p w:rsidR="004B0BC6" w:rsidRDefault="004B0BC6" w:rsidP="00D97D75">
            <w:pPr>
              <w:pStyle w:val="bodycopy"/>
              <w:numPr>
                <w:ilvl w:val="0"/>
                <w:numId w:val="2"/>
              </w:numPr>
              <w:rPr>
                <w:rFonts w:eastAsia="Times New Roman"/>
              </w:rPr>
            </w:pPr>
            <w:r>
              <w:rPr>
                <w:rStyle w:val="Strong"/>
                <w:rFonts w:eastAsia="Times New Roman"/>
              </w:rPr>
              <w:t>Pare back</w:t>
            </w:r>
            <w:r>
              <w:rPr>
                <w:rFonts w:eastAsia="Times New Roman"/>
              </w:rPr>
              <w:t xml:space="preserve"> market exposure during short-term market down trends.</w:t>
            </w:r>
          </w:p>
          <w:p w:rsidR="004B0BC6" w:rsidRDefault="004B0BC6" w:rsidP="00D97D75">
            <w:pPr>
              <w:pStyle w:val="bodycopy"/>
              <w:numPr>
                <w:ilvl w:val="0"/>
                <w:numId w:val="2"/>
              </w:numPr>
              <w:rPr>
                <w:rFonts w:eastAsia="Times New Roman"/>
              </w:rPr>
            </w:pPr>
            <w:r>
              <w:rPr>
                <w:rStyle w:val="Strong"/>
                <w:rFonts w:eastAsia="Times New Roman"/>
              </w:rPr>
              <w:t>Prevent</w:t>
            </w:r>
            <w:r>
              <w:rPr>
                <w:rFonts w:eastAsia="Times New Roman"/>
              </w:rPr>
              <w:t xml:space="preserve"> extended declines by moving to T-bills during long-term market down trends.</w:t>
            </w:r>
          </w:p>
          <w:p w:rsidR="004B0BC6" w:rsidRDefault="004B0BC6">
            <w:pPr>
              <w:pStyle w:val="bodycopy"/>
            </w:pPr>
            <w:r>
              <w:t xml:space="preserve">For more information on these ETFs, please visit </w:t>
            </w:r>
            <w:hyperlink r:id="rId8" w:history="1">
              <w:r>
                <w:rPr>
                  <w:rStyle w:val="Hyperlink"/>
                </w:rPr>
                <w:t>www.paceretfs.com</w:t>
              </w:r>
            </w:hyperlink>
            <w:r>
              <w:t>.</w:t>
            </w:r>
          </w:p>
          <w:p w:rsidR="004B0BC6" w:rsidRDefault="004B0BC6">
            <w:pPr>
              <w:pStyle w:val="bodycopy"/>
            </w:pPr>
            <w:r>
              <w:t>Presented by:</w:t>
            </w:r>
            <w:r>
              <w:br/>
              <w:t>Adam Sweere</w:t>
            </w:r>
          </w:p>
        </w:tc>
      </w:tr>
    </w:tbl>
    <w:p w:rsidR="004B0BC6" w:rsidRDefault="004B0BC6" w:rsidP="004B0BC6">
      <w:pPr>
        <w:jc w:val="center"/>
        <w:rPr>
          <w:rFonts w:ascii="Arial" w:hAnsi="Arial" w:cs="Arial"/>
          <w:vanish/>
          <w:color w:val="000000"/>
          <w:sz w:val="21"/>
          <w:szCs w:val="21"/>
        </w:rPr>
      </w:pPr>
    </w:p>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4B0BC6" w:rsidTr="004B0BC6">
        <w:trPr>
          <w:tblCellSpacing w:w="0" w:type="dxa"/>
          <w:jc w:val="center"/>
        </w:trPr>
        <w:tc>
          <w:tcPr>
            <w:tcW w:w="0" w:type="auto"/>
            <w:shd w:val="clear" w:color="auto" w:fill="FFFFFF"/>
            <w:tcMar>
              <w:top w:w="75" w:type="dxa"/>
              <w:left w:w="75" w:type="dxa"/>
              <w:bottom w:w="75" w:type="dxa"/>
              <w:right w:w="75" w:type="dxa"/>
            </w:tcMar>
            <w:vAlign w:val="center"/>
            <w:hideMark/>
          </w:tcPr>
          <w:p w:rsidR="004B0BC6" w:rsidRDefault="004B0BC6">
            <w:pPr>
              <w:pStyle w:val="disclosure"/>
              <w:rPr>
                <w:rFonts w:ascii="Arial" w:hAnsi="Arial" w:cs="Arial"/>
              </w:rPr>
            </w:pPr>
            <w:r>
              <w:rPr>
                <w:rStyle w:val="Strong"/>
                <w:rFonts w:ascii="Arial" w:hAnsi="Arial" w:cs="Arial"/>
              </w:rPr>
              <w:t xml:space="preserve">Before investing you should carefully consider the Fund’s investment objectives, risks, charges, and expenses. This and other information is in the prospectus. A copy may be obtained by visiting </w:t>
            </w:r>
            <w:hyperlink r:id="rId9" w:history="1">
              <w:r>
                <w:rPr>
                  <w:rStyle w:val="Hyperlink"/>
                  <w:rFonts w:ascii="Arial" w:hAnsi="Arial" w:cs="Arial"/>
                  <w:b/>
                  <w:bCs/>
                </w:rPr>
                <w:t>www.paceretfs.com</w:t>
              </w:r>
            </w:hyperlink>
            <w:r>
              <w:rPr>
                <w:rStyle w:val="Strong"/>
                <w:rFonts w:ascii="Arial" w:hAnsi="Arial" w:cs="Arial"/>
              </w:rPr>
              <w:t xml:space="preserve"> or calling </w:t>
            </w:r>
            <w:hyperlink r:id="rId10" w:history="1">
              <w:r>
                <w:rPr>
                  <w:rStyle w:val="Hyperlink"/>
                  <w:rFonts w:ascii="Arial" w:hAnsi="Arial" w:cs="Arial"/>
                  <w:b/>
                  <w:bCs/>
                </w:rPr>
                <w:t>1-877-337-0500</w:t>
              </w:r>
            </w:hyperlink>
            <w:r>
              <w:rPr>
                <w:rStyle w:val="Strong"/>
                <w:rFonts w:ascii="Arial" w:hAnsi="Arial" w:cs="Arial"/>
              </w:rPr>
              <w:t xml:space="preserve">. Please read the </w:t>
            </w:r>
            <w:hyperlink r:id="rId11" w:history="1">
              <w:r>
                <w:rPr>
                  <w:rStyle w:val="Hyperlink"/>
                  <w:rFonts w:ascii="Arial" w:hAnsi="Arial" w:cs="Arial"/>
                  <w:b/>
                  <w:bCs/>
                </w:rPr>
                <w:t>prospectus</w:t>
              </w:r>
            </w:hyperlink>
            <w:r>
              <w:rPr>
                <w:rStyle w:val="Strong"/>
                <w:rFonts w:ascii="Arial" w:hAnsi="Arial" w:cs="Arial"/>
              </w:rPr>
              <w:t xml:space="preserve"> carefully before investing.</w:t>
            </w:r>
          </w:p>
          <w:p w:rsidR="004B0BC6" w:rsidRDefault="004B0BC6">
            <w:pPr>
              <w:pStyle w:val="disclosure"/>
              <w:rPr>
                <w:rFonts w:ascii="Arial" w:hAnsi="Arial" w:cs="Arial"/>
              </w:rPr>
            </w:pPr>
            <w:r>
              <w:rPr>
                <w:rFonts w:ascii="Arial" w:hAnsi="Arial" w:cs="Arial"/>
              </w:rPr>
              <w:lastRenderedPageBreak/>
              <w:t xml:space="preserve">An investment in the Funds is subject to investment risk, including the possible loss of principal. Pacer ETF shares may be bought and sold on an exchange through a brokerage account. Brokerage commissions and ETF expenses will reduce investment returns. There can be no assurance that an active trading market for ETF shares will be developed or maintained. The risks associated with these funds are detailed in the prospectus and could include factors such as calculation methodology risk, ETF risks, equity market risk, fixed income risk, government obligations risk, high portfolio turnover risk, large-capitalization investing risk, other investment companies risk, passive investment risk, tracking risk, trend lag risk and/or special risks of exchange traded funds. </w:t>
            </w:r>
          </w:p>
          <w:p w:rsidR="004B0BC6" w:rsidRDefault="004B0BC6">
            <w:pPr>
              <w:pStyle w:val="disclosure"/>
              <w:rPr>
                <w:rFonts w:ascii="Arial" w:hAnsi="Arial" w:cs="Arial"/>
              </w:rPr>
            </w:pPr>
            <w:proofErr w:type="spellStart"/>
            <w:r>
              <w:rPr>
                <w:rFonts w:ascii="Arial" w:hAnsi="Arial" w:cs="Arial"/>
              </w:rPr>
              <w:t>Trendpilot</w:t>
            </w:r>
            <w:proofErr w:type="spellEnd"/>
            <w:r>
              <w:rPr>
                <w:rFonts w:ascii="Arial" w:hAnsi="Arial" w:cs="Arial"/>
              </w:rPr>
              <w:t>® is a registered trademark of Index Design Group, LLC.</w:t>
            </w:r>
          </w:p>
          <w:p w:rsidR="004B0BC6" w:rsidRDefault="004B0BC6">
            <w:pPr>
              <w:pStyle w:val="disclosure"/>
              <w:rPr>
                <w:rFonts w:ascii="Arial" w:hAnsi="Arial" w:cs="Arial"/>
              </w:rPr>
            </w:pPr>
            <w:r>
              <w:rPr>
                <w:rFonts w:ascii="Arial" w:hAnsi="Arial" w:cs="Arial"/>
              </w:rPr>
              <w:t xml:space="preserve">Distributor: Pacer Financial, Inc., member </w:t>
            </w:r>
            <w:hyperlink r:id="rId12" w:history="1">
              <w:r>
                <w:rPr>
                  <w:rStyle w:val="Hyperlink"/>
                  <w:rFonts w:ascii="Arial" w:hAnsi="Arial" w:cs="Arial"/>
                </w:rPr>
                <w:t>FINRA</w:t>
              </w:r>
            </w:hyperlink>
            <w:r>
              <w:rPr>
                <w:rFonts w:ascii="Arial" w:hAnsi="Arial" w:cs="Arial"/>
              </w:rPr>
              <w:t xml:space="preserve">, </w:t>
            </w:r>
            <w:hyperlink r:id="rId13" w:history="1">
              <w:r>
                <w:rPr>
                  <w:rStyle w:val="Hyperlink"/>
                  <w:rFonts w:ascii="Arial" w:hAnsi="Arial" w:cs="Arial"/>
                </w:rPr>
                <w:t>SIPC</w:t>
              </w:r>
            </w:hyperlink>
            <w:r>
              <w:rPr>
                <w:rFonts w:ascii="Arial" w:hAnsi="Arial" w:cs="Arial"/>
              </w:rPr>
              <w:t xml:space="preserve">, an affiliate of Pacer Advisors, Inc. </w:t>
            </w:r>
            <w:r>
              <w:rPr>
                <w:rFonts w:ascii="Arial" w:hAnsi="Arial" w:cs="Arial"/>
              </w:rPr>
              <w:br/>
            </w:r>
            <w:r>
              <w:rPr>
                <w:rFonts w:ascii="Arial" w:hAnsi="Arial" w:cs="Arial"/>
              </w:rPr>
              <w:br/>
              <w:t>NOT FDIC INSURED | MAY LOSE VALUE | NOT BANK GUARANTEED</w:t>
            </w:r>
            <w:r>
              <w:rPr>
                <w:rFonts w:ascii="Arial" w:hAnsi="Arial" w:cs="Arial"/>
              </w:rPr>
              <w:br/>
            </w:r>
            <w:r>
              <w:rPr>
                <w:rFonts w:ascii="Arial" w:hAnsi="Arial" w:cs="Arial"/>
              </w:rPr>
              <w:br/>
              <w:t>© 2020, Pacer Financial, Inc., All rights reserved.</w:t>
            </w:r>
            <w:r>
              <w:rPr>
                <w:rFonts w:ascii="Arial" w:hAnsi="Arial" w:cs="Arial"/>
              </w:rPr>
              <w:br/>
              <w:t>500 Chesterfield Parkway</w:t>
            </w:r>
            <w:r>
              <w:rPr>
                <w:rFonts w:ascii="Arial" w:hAnsi="Arial" w:cs="Arial"/>
              </w:rPr>
              <w:br/>
              <w:t xml:space="preserve">Malvern, PA 19355 </w:t>
            </w:r>
            <w:r>
              <w:rPr>
                <w:rFonts w:ascii="Arial" w:hAnsi="Arial" w:cs="Arial"/>
              </w:rPr>
              <w:br/>
            </w:r>
            <w:r>
              <w:rPr>
                <w:rFonts w:ascii="Arial" w:hAnsi="Arial" w:cs="Arial"/>
              </w:rPr>
              <w:br/>
              <w:t>PCR20200505_CSI</w:t>
            </w:r>
          </w:p>
        </w:tc>
      </w:tr>
    </w:tbl>
    <w:p w:rsidR="00F869FE" w:rsidRDefault="00F869FE"/>
    <w:sectPr w:rsidR="00F86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427DC"/>
    <w:multiLevelType w:val="multilevel"/>
    <w:tmpl w:val="9DA0A5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49643BA6"/>
    <w:multiLevelType w:val="multilevel"/>
    <w:tmpl w:val="10B662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BC6"/>
    <w:rsid w:val="004B0BC6"/>
    <w:rsid w:val="00F86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BC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0BC6"/>
    <w:rPr>
      <w:color w:val="0165A7"/>
      <w:u w:val="single"/>
    </w:rPr>
  </w:style>
  <w:style w:type="paragraph" w:styleId="NormalWeb">
    <w:name w:val="Normal (Web)"/>
    <w:basedOn w:val="Normal"/>
    <w:uiPriority w:val="99"/>
    <w:unhideWhenUsed/>
    <w:rsid w:val="004B0BC6"/>
    <w:pPr>
      <w:spacing w:before="100" w:beforeAutospacing="1" w:after="100" w:afterAutospacing="1"/>
    </w:pPr>
  </w:style>
  <w:style w:type="paragraph" w:customStyle="1" w:styleId="bodycopy">
    <w:name w:val="bodycopy"/>
    <w:basedOn w:val="Normal"/>
    <w:uiPriority w:val="99"/>
    <w:rsid w:val="004B0BC6"/>
    <w:pPr>
      <w:spacing w:before="100" w:beforeAutospacing="1" w:after="100" w:afterAutospacing="1"/>
    </w:pPr>
    <w:rPr>
      <w:rFonts w:ascii="Arial" w:hAnsi="Arial" w:cs="Arial"/>
      <w:color w:val="000000"/>
      <w:sz w:val="18"/>
      <w:szCs w:val="18"/>
    </w:rPr>
  </w:style>
  <w:style w:type="paragraph" w:customStyle="1" w:styleId="disclosure">
    <w:name w:val="disclosure"/>
    <w:basedOn w:val="Normal"/>
    <w:uiPriority w:val="99"/>
    <w:rsid w:val="004B0BC6"/>
    <w:pPr>
      <w:spacing w:before="100" w:beforeAutospacing="1" w:after="100" w:afterAutospacing="1"/>
    </w:pPr>
    <w:rPr>
      <w:color w:val="666666"/>
      <w:sz w:val="18"/>
      <w:szCs w:val="18"/>
    </w:rPr>
  </w:style>
  <w:style w:type="character" w:customStyle="1" w:styleId="bodycopy2">
    <w:name w:val="bodycopy2"/>
    <w:basedOn w:val="DefaultParagraphFont"/>
    <w:rsid w:val="004B0BC6"/>
    <w:rPr>
      <w:rFonts w:ascii="Arial" w:hAnsi="Arial" w:cs="Arial" w:hint="default"/>
      <w:i w:val="0"/>
      <w:iCs w:val="0"/>
      <w:color w:val="000000"/>
    </w:rPr>
  </w:style>
  <w:style w:type="character" w:styleId="Strong">
    <w:name w:val="Strong"/>
    <w:basedOn w:val="DefaultParagraphFont"/>
    <w:uiPriority w:val="22"/>
    <w:qFormat/>
    <w:rsid w:val="004B0BC6"/>
    <w:rPr>
      <w:b/>
      <w:bCs/>
    </w:rPr>
  </w:style>
  <w:style w:type="paragraph" w:styleId="BalloonText">
    <w:name w:val="Balloon Text"/>
    <w:basedOn w:val="Normal"/>
    <w:link w:val="BalloonTextChar"/>
    <w:uiPriority w:val="99"/>
    <w:semiHidden/>
    <w:unhideWhenUsed/>
    <w:rsid w:val="004B0BC6"/>
    <w:rPr>
      <w:rFonts w:ascii="Tahoma" w:hAnsi="Tahoma" w:cs="Tahoma"/>
      <w:sz w:val="16"/>
      <w:szCs w:val="16"/>
    </w:rPr>
  </w:style>
  <w:style w:type="character" w:customStyle="1" w:styleId="BalloonTextChar">
    <w:name w:val="Balloon Text Char"/>
    <w:basedOn w:val="DefaultParagraphFont"/>
    <w:link w:val="BalloonText"/>
    <w:uiPriority w:val="99"/>
    <w:semiHidden/>
    <w:rsid w:val="004B0B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BC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0BC6"/>
    <w:rPr>
      <w:color w:val="0165A7"/>
      <w:u w:val="single"/>
    </w:rPr>
  </w:style>
  <w:style w:type="paragraph" w:styleId="NormalWeb">
    <w:name w:val="Normal (Web)"/>
    <w:basedOn w:val="Normal"/>
    <w:uiPriority w:val="99"/>
    <w:unhideWhenUsed/>
    <w:rsid w:val="004B0BC6"/>
    <w:pPr>
      <w:spacing w:before="100" w:beforeAutospacing="1" w:after="100" w:afterAutospacing="1"/>
    </w:pPr>
  </w:style>
  <w:style w:type="paragraph" w:customStyle="1" w:styleId="bodycopy">
    <w:name w:val="bodycopy"/>
    <w:basedOn w:val="Normal"/>
    <w:uiPriority w:val="99"/>
    <w:rsid w:val="004B0BC6"/>
    <w:pPr>
      <w:spacing w:before="100" w:beforeAutospacing="1" w:after="100" w:afterAutospacing="1"/>
    </w:pPr>
    <w:rPr>
      <w:rFonts w:ascii="Arial" w:hAnsi="Arial" w:cs="Arial"/>
      <w:color w:val="000000"/>
      <w:sz w:val="18"/>
      <w:szCs w:val="18"/>
    </w:rPr>
  </w:style>
  <w:style w:type="paragraph" w:customStyle="1" w:styleId="disclosure">
    <w:name w:val="disclosure"/>
    <w:basedOn w:val="Normal"/>
    <w:uiPriority w:val="99"/>
    <w:rsid w:val="004B0BC6"/>
    <w:pPr>
      <w:spacing w:before="100" w:beforeAutospacing="1" w:after="100" w:afterAutospacing="1"/>
    </w:pPr>
    <w:rPr>
      <w:color w:val="666666"/>
      <w:sz w:val="18"/>
      <w:szCs w:val="18"/>
    </w:rPr>
  </w:style>
  <w:style w:type="character" w:customStyle="1" w:styleId="bodycopy2">
    <w:name w:val="bodycopy2"/>
    <w:basedOn w:val="DefaultParagraphFont"/>
    <w:rsid w:val="004B0BC6"/>
    <w:rPr>
      <w:rFonts w:ascii="Arial" w:hAnsi="Arial" w:cs="Arial" w:hint="default"/>
      <w:i w:val="0"/>
      <w:iCs w:val="0"/>
      <w:color w:val="000000"/>
    </w:rPr>
  </w:style>
  <w:style w:type="character" w:styleId="Strong">
    <w:name w:val="Strong"/>
    <w:basedOn w:val="DefaultParagraphFont"/>
    <w:uiPriority w:val="22"/>
    <w:qFormat/>
    <w:rsid w:val="004B0BC6"/>
    <w:rPr>
      <w:b/>
      <w:bCs/>
    </w:rPr>
  </w:style>
  <w:style w:type="paragraph" w:styleId="BalloonText">
    <w:name w:val="Balloon Text"/>
    <w:basedOn w:val="Normal"/>
    <w:link w:val="BalloonTextChar"/>
    <w:uiPriority w:val="99"/>
    <w:semiHidden/>
    <w:unhideWhenUsed/>
    <w:rsid w:val="004B0BC6"/>
    <w:rPr>
      <w:rFonts w:ascii="Tahoma" w:hAnsi="Tahoma" w:cs="Tahoma"/>
      <w:sz w:val="16"/>
      <w:szCs w:val="16"/>
    </w:rPr>
  </w:style>
  <w:style w:type="character" w:customStyle="1" w:styleId="BalloonTextChar">
    <w:name w:val="Balloon Text Char"/>
    <w:basedOn w:val="DefaultParagraphFont"/>
    <w:link w:val="BalloonText"/>
    <w:uiPriority w:val="99"/>
    <w:semiHidden/>
    <w:rsid w:val="004B0B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09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www.paceretfs.com__;!!Cz2fjcuE!nWgOA0Rms3Jw6rienvp0ZLBvMPFjww71n6EaMK-i8dVQdUEDlD9A8W96iGfATkHntm-HdH1em7pXHdWKY78GhM3JQ1U6mXRgzw$" TargetMode="External"/><Relationship Id="rId13" Type="http://schemas.openxmlformats.org/officeDocument/2006/relationships/hyperlink" Target="https://urldefense.com/v3/__http:/www.sipc.org__;!!Cz2fjcuE!nWgOA0Rms3Jw6rienvp0ZLBvMPFjww71n6EaMK-i8dVQdUEDlD9A8W96iGfATkHntm-HdH1em7pXHdWKY78GhM3JQ1XdCqq9Mw$"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urldefense.com/v3/__http:/www.finra.org__;!!Cz2fjcuE!nWgOA0Rms3Jw6rienvp0ZLBvMPFjww71n6EaMK-i8dVQdUEDlD9A8W96iGfATkHntm-HdH1em7pXHdWKY78GhM3JQ1Uw2WTif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ervice.pacerfinancial.com/pacer_etfs/images/logo.jpg" TargetMode="External"/><Relationship Id="rId11" Type="http://schemas.openxmlformats.org/officeDocument/2006/relationships/hyperlink" Target="https://urldefense.com/v3/__http:/www.paceretfs.com/media/Pacer_Combined_Prospectus_Final.pdf__;!!Cz2fjcuE!nWgOA0Rms3Jw6rienvp0ZLBvMPFjww71n6EaMK-i8dVQdUEDlD9A8W96iGfATkHntm-HdH1em7pXHdWKY78GhM3JQ1UcNzSfe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el:%2018773370500" TargetMode="External"/><Relationship Id="rId4" Type="http://schemas.openxmlformats.org/officeDocument/2006/relationships/settings" Target="settings.xml"/><Relationship Id="rId9" Type="http://schemas.openxmlformats.org/officeDocument/2006/relationships/hyperlink" Target="https://urldefense.com/v3/__http:/www.paceretfs.com__;!!Cz2fjcuE!nWgOA0Rms3Jw6rienvp0ZLBvMPFjww71n6EaMK-i8dVQdUEDlD9A8W96iGfATkHntm-HdH1em7pXHdWKY78GhM3JQ1U6mXRgz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TechGuru</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Pitman</dc:creator>
  <cp:lastModifiedBy>Sarah Pitman</cp:lastModifiedBy>
  <cp:revision>1</cp:revision>
  <dcterms:created xsi:type="dcterms:W3CDTF">2022-07-13T20:34:00Z</dcterms:created>
  <dcterms:modified xsi:type="dcterms:W3CDTF">2022-07-13T20:35:00Z</dcterms:modified>
</cp:coreProperties>
</file>