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57A36B" w14:textId="65E12E92" w:rsidR="00326497" w:rsidRDefault="00326497" w:rsidP="00326497">
      <w:pPr>
        <w:pStyle w:val="NoSpacing"/>
        <w:rPr>
          <w:b/>
          <w:bCs/>
          <w:color w:val="7030A0"/>
          <w:sz w:val="24"/>
          <w:szCs w:val="24"/>
        </w:rPr>
      </w:pPr>
      <w:r>
        <w:rPr>
          <w:noProof/>
        </w:rPr>
        <w:drawing>
          <wp:anchor distT="0" distB="0" distL="114300" distR="114300" simplePos="0" relativeHeight="251658240" behindDoc="0" locked="0" layoutInCell="1" allowOverlap="1" wp14:anchorId="3DB978DF" wp14:editId="1614F21B">
            <wp:simplePos x="457200" y="457200"/>
            <wp:positionH relativeFrom="margin">
              <wp:align>left</wp:align>
            </wp:positionH>
            <wp:positionV relativeFrom="margin">
              <wp:align>top</wp:align>
            </wp:positionV>
            <wp:extent cx="1171575" cy="12833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1086" cy="1293928"/>
                    </a:xfrm>
                    <a:prstGeom prst="rect">
                      <a:avLst/>
                    </a:prstGeom>
                  </pic:spPr>
                </pic:pic>
              </a:graphicData>
            </a:graphic>
            <wp14:sizeRelH relativeFrom="margin">
              <wp14:pctWidth>0</wp14:pctWidth>
            </wp14:sizeRelH>
            <wp14:sizeRelV relativeFrom="margin">
              <wp14:pctHeight>0</wp14:pctHeight>
            </wp14:sizeRelV>
          </wp:anchor>
        </w:drawing>
      </w:r>
      <w:r>
        <w:tab/>
      </w:r>
      <w:r>
        <w:tab/>
      </w:r>
      <w:r>
        <w:tab/>
      </w:r>
      <w:r>
        <w:tab/>
      </w:r>
      <w:r>
        <w:tab/>
      </w:r>
      <w:r>
        <w:tab/>
      </w:r>
      <w:r>
        <w:tab/>
        <w:t xml:space="preserve">                         </w:t>
      </w:r>
      <w:r w:rsidRPr="00326497">
        <w:rPr>
          <w:rFonts w:ascii="Constantia" w:hAnsi="Constantia"/>
          <w:b/>
          <w:bCs/>
          <w:color w:val="7030A0"/>
          <w:sz w:val="24"/>
          <w:szCs w:val="24"/>
        </w:rPr>
        <w:t>Lori J. Ellingson, CRPC®</w:t>
      </w:r>
      <w:r w:rsidRPr="00326497">
        <w:rPr>
          <w:b/>
          <w:bCs/>
          <w:color w:val="7030A0"/>
          <w:sz w:val="24"/>
          <w:szCs w:val="24"/>
        </w:rPr>
        <w:t xml:space="preserve">  </w:t>
      </w:r>
    </w:p>
    <w:p w14:paraId="4FD53659" w14:textId="32E5A211" w:rsidR="006515E8" w:rsidRDefault="00326497" w:rsidP="00326497">
      <w:pPr>
        <w:pStyle w:val="NoSpacing"/>
        <w:rPr>
          <w:color w:val="7030A0"/>
          <w:sz w:val="24"/>
          <w:szCs w:val="24"/>
        </w:rPr>
      </w:pPr>
      <w:r>
        <w:rPr>
          <w:b/>
          <w:bCs/>
          <w:color w:val="7030A0"/>
          <w:sz w:val="24"/>
          <w:szCs w:val="24"/>
        </w:rPr>
        <w:tab/>
      </w:r>
      <w:r>
        <w:rPr>
          <w:b/>
          <w:bCs/>
          <w:color w:val="7030A0"/>
          <w:sz w:val="24"/>
          <w:szCs w:val="24"/>
        </w:rPr>
        <w:tab/>
      </w:r>
      <w:r>
        <w:rPr>
          <w:b/>
          <w:bCs/>
          <w:color w:val="7030A0"/>
          <w:sz w:val="24"/>
          <w:szCs w:val="24"/>
        </w:rPr>
        <w:tab/>
      </w:r>
      <w:r>
        <w:rPr>
          <w:b/>
          <w:bCs/>
          <w:color w:val="7030A0"/>
          <w:sz w:val="24"/>
          <w:szCs w:val="24"/>
        </w:rPr>
        <w:tab/>
      </w:r>
      <w:r>
        <w:rPr>
          <w:b/>
          <w:bCs/>
          <w:color w:val="7030A0"/>
          <w:sz w:val="24"/>
          <w:szCs w:val="24"/>
        </w:rPr>
        <w:tab/>
      </w:r>
      <w:r>
        <w:rPr>
          <w:b/>
          <w:bCs/>
          <w:color w:val="7030A0"/>
          <w:sz w:val="24"/>
          <w:szCs w:val="24"/>
        </w:rPr>
        <w:tab/>
      </w:r>
      <w:r>
        <w:rPr>
          <w:b/>
          <w:bCs/>
          <w:color w:val="7030A0"/>
          <w:sz w:val="24"/>
          <w:szCs w:val="24"/>
        </w:rPr>
        <w:tab/>
        <w:t xml:space="preserve">          </w:t>
      </w:r>
      <w:r w:rsidR="00341121">
        <w:rPr>
          <w:b/>
          <w:bCs/>
          <w:color w:val="7030A0"/>
          <w:sz w:val="24"/>
          <w:szCs w:val="24"/>
        </w:rPr>
        <w:t xml:space="preserve"> </w:t>
      </w:r>
      <w:r w:rsidRPr="00326497">
        <w:rPr>
          <w:color w:val="7030A0"/>
          <w:sz w:val="24"/>
          <w:szCs w:val="24"/>
        </w:rPr>
        <w:t>Investment Executive</w:t>
      </w:r>
      <w:r w:rsidR="00341121">
        <w:rPr>
          <w:color w:val="7030A0"/>
          <w:sz w:val="24"/>
          <w:szCs w:val="24"/>
        </w:rPr>
        <w:t>/Financial Coach</w:t>
      </w:r>
      <w:r w:rsidRPr="00326497">
        <w:rPr>
          <w:color w:val="7030A0"/>
          <w:sz w:val="24"/>
          <w:szCs w:val="24"/>
        </w:rPr>
        <w:t xml:space="preserve"> </w:t>
      </w:r>
    </w:p>
    <w:p w14:paraId="70F030F2" w14:textId="5003E347" w:rsidR="006515E8" w:rsidRDefault="006515E8" w:rsidP="00326497">
      <w:pPr>
        <w:pStyle w:val="NoSpacing"/>
        <w:rPr>
          <w:color w:val="7030A0"/>
          <w:sz w:val="24"/>
          <w:szCs w:val="24"/>
        </w:rPr>
      </w:pPr>
      <w:r>
        <w:rPr>
          <w:color w:val="7030A0"/>
          <w:sz w:val="24"/>
          <w:szCs w:val="24"/>
        </w:rPr>
        <w:tab/>
      </w:r>
      <w:r>
        <w:rPr>
          <w:color w:val="7030A0"/>
          <w:sz w:val="24"/>
          <w:szCs w:val="24"/>
        </w:rPr>
        <w:tab/>
      </w:r>
      <w:r>
        <w:rPr>
          <w:color w:val="7030A0"/>
          <w:sz w:val="24"/>
          <w:szCs w:val="24"/>
        </w:rPr>
        <w:tab/>
      </w:r>
      <w:r>
        <w:rPr>
          <w:color w:val="7030A0"/>
          <w:sz w:val="24"/>
          <w:szCs w:val="24"/>
        </w:rPr>
        <w:tab/>
      </w:r>
      <w:r>
        <w:rPr>
          <w:color w:val="7030A0"/>
          <w:sz w:val="24"/>
          <w:szCs w:val="24"/>
        </w:rPr>
        <w:tab/>
      </w:r>
      <w:r>
        <w:rPr>
          <w:color w:val="7030A0"/>
          <w:sz w:val="24"/>
          <w:szCs w:val="24"/>
        </w:rPr>
        <w:tab/>
      </w:r>
      <w:r>
        <w:rPr>
          <w:color w:val="7030A0"/>
          <w:sz w:val="24"/>
          <w:szCs w:val="24"/>
        </w:rPr>
        <w:tab/>
      </w:r>
      <w:r>
        <w:rPr>
          <w:color w:val="7030A0"/>
          <w:sz w:val="24"/>
          <w:szCs w:val="24"/>
        </w:rPr>
        <w:tab/>
        <w:t xml:space="preserve">              </w:t>
      </w:r>
      <w:hyperlink r:id="rId8" w:history="1">
        <w:r w:rsidRPr="00921B25">
          <w:rPr>
            <w:rStyle w:val="Hyperlink"/>
            <w:sz w:val="24"/>
            <w:szCs w:val="24"/>
          </w:rPr>
          <w:t>ellingsonl@agatefp.com</w:t>
        </w:r>
      </w:hyperlink>
    </w:p>
    <w:p w14:paraId="46964E46" w14:textId="26E8D829" w:rsidR="00326497" w:rsidRDefault="006515E8" w:rsidP="00326497">
      <w:pPr>
        <w:pStyle w:val="NoSpacing"/>
        <w:rPr>
          <w:color w:val="7030A0"/>
          <w:sz w:val="24"/>
          <w:szCs w:val="24"/>
        </w:rPr>
      </w:pPr>
      <w:r>
        <w:rPr>
          <w:color w:val="7030A0"/>
          <w:sz w:val="24"/>
          <w:szCs w:val="24"/>
        </w:rPr>
        <w:tab/>
      </w:r>
      <w:r>
        <w:rPr>
          <w:color w:val="7030A0"/>
          <w:sz w:val="24"/>
          <w:szCs w:val="24"/>
        </w:rPr>
        <w:tab/>
      </w:r>
      <w:r>
        <w:rPr>
          <w:color w:val="7030A0"/>
          <w:sz w:val="24"/>
          <w:szCs w:val="24"/>
        </w:rPr>
        <w:tab/>
      </w:r>
      <w:r>
        <w:rPr>
          <w:color w:val="7030A0"/>
          <w:sz w:val="24"/>
          <w:szCs w:val="24"/>
        </w:rPr>
        <w:tab/>
      </w:r>
      <w:r>
        <w:rPr>
          <w:color w:val="7030A0"/>
          <w:sz w:val="24"/>
          <w:szCs w:val="24"/>
        </w:rPr>
        <w:tab/>
      </w:r>
      <w:r>
        <w:rPr>
          <w:color w:val="7030A0"/>
          <w:sz w:val="24"/>
          <w:szCs w:val="24"/>
        </w:rPr>
        <w:tab/>
      </w:r>
      <w:r>
        <w:rPr>
          <w:color w:val="7030A0"/>
          <w:sz w:val="24"/>
          <w:szCs w:val="24"/>
        </w:rPr>
        <w:tab/>
        <w:t xml:space="preserve">                   </w:t>
      </w:r>
      <w:r w:rsidR="0055471B">
        <w:rPr>
          <w:color w:val="7030A0"/>
          <w:sz w:val="24"/>
          <w:szCs w:val="24"/>
        </w:rPr>
        <w:t xml:space="preserve">        </w:t>
      </w:r>
      <w:r w:rsidR="00341121">
        <w:rPr>
          <w:color w:val="7030A0"/>
          <w:sz w:val="24"/>
          <w:szCs w:val="24"/>
        </w:rPr>
        <w:t xml:space="preserve">     </w:t>
      </w:r>
      <w:hyperlink r:id="rId9" w:history="1">
        <w:r w:rsidR="00341121" w:rsidRPr="005B61F6">
          <w:rPr>
            <w:rStyle w:val="Hyperlink"/>
            <w:sz w:val="24"/>
            <w:szCs w:val="24"/>
          </w:rPr>
          <w:t>www.agatefp.com</w:t>
        </w:r>
      </w:hyperlink>
      <w:r>
        <w:rPr>
          <w:color w:val="7030A0"/>
          <w:sz w:val="24"/>
          <w:szCs w:val="24"/>
        </w:rPr>
        <w:t xml:space="preserve"> </w:t>
      </w:r>
      <w:r w:rsidR="00326497" w:rsidRPr="00326497">
        <w:rPr>
          <w:color w:val="7030A0"/>
          <w:sz w:val="24"/>
          <w:szCs w:val="24"/>
        </w:rPr>
        <w:t xml:space="preserve">         </w:t>
      </w:r>
    </w:p>
    <w:p w14:paraId="352B698A" w14:textId="15D5C9B8" w:rsidR="0006679E" w:rsidRDefault="0006679E" w:rsidP="00326497">
      <w:pPr>
        <w:pStyle w:val="NoSpacing"/>
        <w:rPr>
          <w:color w:val="7030A0"/>
          <w:sz w:val="24"/>
          <w:szCs w:val="24"/>
        </w:rPr>
      </w:pPr>
      <w:r>
        <w:rPr>
          <w:color w:val="7030A0"/>
          <w:sz w:val="24"/>
          <w:szCs w:val="24"/>
        </w:rPr>
        <w:tab/>
      </w:r>
      <w:r>
        <w:rPr>
          <w:color w:val="7030A0"/>
          <w:sz w:val="24"/>
          <w:szCs w:val="24"/>
        </w:rPr>
        <w:tab/>
      </w:r>
      <w:r>
        <w:rPr>
          <w:color w:val="7030A0"/>
          <w:sz w:val="24"/>
          <w:szCs w:val="24"/>
        </w:rPr>
        <w:tab/>
      </w:r>
      <w:r>
        <w:rPr>
          <w:color w:val="7030A0"/>
          <w:sz w:val="24"/>
          <w:szCs w:val="24"/>
        </w:rPr>
        <w:tab/>
      </w:r>
      <w:r>
        <w:rPr>
          <w:color w:val="7030A0"/>
          <w:sz w:val="24"/>
          <w:szCs w:val="24"/>
        </w:rPr>
        <w:tab/>
      </w:r>
      <w:r>
        <w:rPr>
          <w:color w:val="7030A0"/>
          <w:sz w:val="24"/>
          <w:szCs w:val="24"/>
        </w:rPr>
        <w:tab/>
      </w:r>
      <w:r>
        <w:rPr>
          <w:color w:val="7030A0"/>
          <w:sz w:val="24"/>
          <w:szCs w:val="24"/>
        </w:rPr>
        <w:tab/>
      </w:r>
      <w:r>
        <w:rPr>
          <w:color w:val="7030A0"/>
          <w:sz w:val="24"/>
          <w:szCs w:val="24"/>
        </w:rPr>
        <w:tab/>
      </w:r>
      <w:r>
        <w:rPr>
          <w:color w:val="7030A0"/>
          <w:sz w:val="24"/>
          <w:szCs w:val="24"/>
        </w:rPr>
        <w:tab/>
      </w:r>
      <w:r w:rsidR="00341121">
        <w:rPr>
          <w:color w:val="7030A0"/>
          <w:sz w:val="24"/>
          <w:szCs w:val="24"/>
        </w:rPr>
        <w:t xml:space="preserve">    </w:t>
      </w:r>
      <w:r>
        <w:rPr>
          <w:color w:val="7030A0"/>
          <w:sz w:val="24"/>
          <w:szCs w:val="24"/>
        </w:rPr>
        <w:t>OR License #251162</w:t>
      </w:r>
    </w:p>
    <w:p w14:paraId="0114AAB9" w14:textId="6530082F" w:rsidR="00326497" w:rsidRDefault="00341121" w:rsidP="0006679E">
      <w:pPr>
        <w:pStyle w:val="NoSpacing"/>
        <w:ind w:left="7200" w:firstLine="720"/>
        <w:rPr>
          <w:color w:val="7030A0"/>
          <w:sz w:val="24"/>
          <w:szCs w:val="24"/>
        </w:rPr>
      </w:pPr>
      <w:r>
        <w:rPr>
          <w:color w:val="7030A0"/>
          <w:sz w:val="24"/>
          <w:szCs w:val="24"/>
        </w:rPr>
        <w:t xml:space="preserve">   </w:t>
      </w:r>
      <w:r w:rsidR="0006679E">
        <w:rPr>
          <w:color w:val="7030A0"/>
          <w:sz w:val="24"/>
          <w:szCs w:val="24"/>
        </w:rPr>
        <w:t>CA License #0C92075</w:t>
      </w:r>
    </w:p>
    <w:p w14:paraId="52E25112" w14:textId="5CFF19B3" w:rsidR="0006679E" w:rsidRDefault="00341121" w:rsidP="0006679E">
      <w:pPr>
        <w:pStyle w:val="NoSpacing"/>
        <w:ind w:left="7200" w:firstLine="720"/>
        <w:rPr>
          <w:color w:val="7030A0"/>
          <w:sz w:val="24"/>
          <w:szCs w:val="24"/>
        </w:rPr>
      </w:pPr>
      <w:r>
        <w:rPr>
          <w:color w:val="7030A0"/>
          <w:sz w:val="24"/>
          <w:szCs w:val="24"/>
        </w:rPr>
        <w:t xml:space="preserve">  </w:t>
      </w:r>
      <w:r w:rsidR="0006679E">
        <w:rPr>
          <w:color w:val="7030A0"/>
          <w:sz w:val="24"/>
          <w:szCs w:val="24"/>
        </w:rPr>
        <w:t>WA License # 1007505</w:t>
      </w:r>
    </w:p>
    <w:p w14:paraId="35C90EBE" w14:textId="44CC38A8" w:rsidR="006515E8" w:rsidRDefault="0006679E">
      <w:pPr>
        <w:pStyle w:val="NoSpacing"/>
        <w:rPr>
          <w:color w:val="7030A0"/>
          <w:sz w:val="24"/>
          <w:szCs w:val="24"/>
        </w:rPr>
      </w:pPr>
      <w:r>
        <w:rPr>
          <w:color w:val="7030A0"/>
          <w:sz w:val="24"/>
          <w:szCs w:val="24"/>
        </w:rPr>
        <w:tab/>
      </w:r>
      <w:r>
        <w:rPr>
          <w:color w:val="7030A0"/>
          <w:sz w:val="24"/>
          <w:szCs w:val="24"/>
        </w:rPr>
        <w:tab/>
      </w:r>
      <w:r>
        <w:rPr>
          <w:color w:val="7030A0"/>
          <w:sz w:val="24"/>
          <w:szCs w:val="24"/>
        </w:rPr>
        <w:tab/>
      </w:r>
      <w:r>
        <w:rPr>
          <w:color w:val="7030A0"/>
          <w:sz w:val="24"/>
          <w:szCs w:val="24"/>
        </w:rPr>
        <w:tab/>
      </w:r>
      <w:r>
        <w:rPr>
          <w:color w:val="7030A0"/>
          <w:sz w:val="24"/>
          <w:szCs w:val="24"/>
        </w:rPr>
        <w:tab/>
      </w:r>
      <w:r>
        <w:rPr>
          <w:color w:val="7030A0"/>
          <w:sz w:val="24"/>
          <w:szCs w:val="24"/>
        </w:rPr>
        <w:tab/>
      </w:r>
      <w:r>
        <w:rPr>
          <w:color w:val="7030A0"/>
          <w:sz w:val="24"/>
          <w:szCs w:val="24"/>
        </w:rPr>
        <w:tab/>
      </w:r>
      <w:r>
        <w:rPr>
          <w:color w:val="7030A0"/>
          <w:sz w:val="24"/>
          <w:szCs w:val="24"/>
        </w:rPr>
        <w:tab/>
      </w:r>
      <w:r>
        <w:rPr>
          <w:color w:val="7030A0"/>
          <w:sz w:val="24"/>
          <w:szCs w:val="24"/>
        </w:rPr>
        <w:tab/>
      </w:r>
    </w:p>
    <w:p w14:paraId="79E13317" w14:textId="337A5F65" w:rsidR="00E45E84" w:rsidRPr="006515E8" w:rsidRDefault="00326497">
      <w:pPr>
        <w:pStyle w:val="NoSpacing"/>
        <w:rPr>
          <w:rFonts w:cstheme="minorHAnsi"/>
          <w:b/>
          <w:bCs/>
          <w:color w:val="7030A0"/>
          <w:sz w:val="24"/>
          <w:szCs w:val="24"/>
        </w:rPr>
      </w:pPr>
      <w:r>
        <w:rPr>
          <w:rFonts w:cstheme="minorHAnsi"/>
          <w:color w:val="7030A0"/>
          <w:sz w:val="24"/>
          <w:szCs w:val="24"/>
        </w:rPr>
        <w:t xml:space="preserve"> </w:t>
      </w:r>
      <w:r w:rsidR="006515E8">
        <w:rPr>
          <w:rFonts w:cstheme="minorHAnsi"/>
          <w:color w:val="7030A0"/>
          <w:sz w:val="24"/>
          <w:szCs w:val="24"/>
        </w:rPr>
        <w:t xml:space="preserve">             </w:t>
      </w:r>
      <w:r w:rsidR="00E05B6C">
        <w:rPr>
          <w:rFonts w:cstheme="minorHAnsi"/>
          <w:color w:val="7030A0"/>
          <w:sz w:val="24"/>
          <w:szCs w:val="24"/>
        </w:rPr>
        <w:t>937 SW 11</w:t>
      </w:r>
      <w:r w:rsidR="00E05B6C" w:rsidRPr="00E05B6C">
        <w:rPr>
          <w:rFonts w:cstheme="minorHAnsi"/>
          <w:color w:val="7030A0"/>
          <w:sz w:val="24"/>
          <w:szCs w:val="24"/>
          <w:vertAlign w:val="superscript"/>
        </w:rPr>
        <w:t>th</w:t>
      </w:r>
      <w:r w:rsidR="00E05B6C">
        <w:rPr>
          <w:rFonts w:cstheme="minorHAnsi"/>
          <w:color w:val="7030A0"/>
          <w:sz w:val="24"/>
          <w:szCs w:val="24"/>
        </w:rPr>
        <w:t xml:space="preserve"> Street</w:t>
      </w:r>
      <w:r w:rsidRPr="00326497">
        <w:rPr>
          <w:rFonts w:cstheme="minorHAnsi"/>
          <w:color w:val="7030A0"/>
          <w:sz w:val="24"/>
          <w:szCs w:val="24"/>
        </w:rPr>
        <w:t>, Newport, OR 97365 l T 408-318-1943 l F 541-264-820</w:t>
      </w:r>
      <w:r w:rsidR="00E45E84">
        <w:rPr>
          <w:rFonts w:cstheme="minorHAnsi"/>
          <w:color w:val="7030A0"/>
          <w:sz w:val="24"/>
          <w:szCs w:val="24"/>
        </w:rPr>
        <w:t>3</w:t>
      </w:r>
      <w:r w:rsidR="00E05B6C">
        <w:rPr>
          <w:rFonts w:cstheme="minorHAnsi"/>
          <w:color w:val="7030A0"/>
          <w:sz w:val="24"/>
          <w:szCs w:val="24"/>
        </w:rPr>
        <w:t xml:space="preserve"> I TEXT 541-329-4868</w:t>
      </w:r>
    </w:p>
    <w:p w14:paraId="69EF3080" w14:textId="0F46EAEC" w:rsidR="00E45E84" w:rsidRDefault="00E45E84" w:rsidP="00E45E84">
      <w:pPr>
        <w:pStyle w:val="NoSpacing"/>
        <w:rPr>
          <w:rFonts w:cstheme="minorHAnsi"/>
          <w:sz w:val="20"/>
          <w:szCs w:val="20"/>
        </w:rPr>
      </w:pPr>
      <w:r>
        <w:rPr>
          <w:rFonts w:cstheme="minorHAnsi"/>
          <w:noProof/>
          <w:sz w:val="20"/>
          <w:szCs w:val="20"/>
        </w:rPr>
        <mc:AlternateContent>
          <mc:Choice Requires="wps">
            <w:drawing>
              <wp:anchor distT="0" distB="0" distL="114300" distR="114300" simplePos="0" relativeHeight="251659264" behindDoc="0" locked="0" layoutInCell="1" allowOverlap="1" wp14:anchorId="44B91CE3" wp14:editId="2D9038A9">
                <wp:simplePos x="0" y="0"/>
                <wp:positionH relativeFrom="column">
                  <wp:posOffset>0</wp:posOffset>
                </wp:positionH>
                <wp:positionV relativeFrom="paragraph">
                  <wp:posOffset>88265</wp:posOffset>
                </wp:positionV>
                <wp:extent cx="69151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915150" cy="0"/>
                        </a:xfrm>
                        <a:prstGeom prst="line">
                          <a:avLst/>
                        </a:prstGeom>
                        <a:ln>
                          <a:solidFill>
                            <a:srgbClr val="7030A0"/>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60E8142"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6.95pt" to="544.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" strokecolor="#7030a0" strokeweight="1.5pt">
                <v:stroke joinstyle="miter"/>
              </v:line>
            </w:pict>
          </mc:Fallback>
        </mc:AlternateContent>
      </w:r>
    </w:p>
    <w:p w14:paraId="622668B4" w14:textId="77777777" w:rsidR="000637F7" w:rsidRDefault="000637F7" w:rsidP="000637F7">
      <w:pPr>
        <w:shd w:val="clear" w:color="auto" w:fill="FFFFFF"/>
        <w:outlineLvl w:val="1"/>
        <w:rPr>
          <w:rFonts w:ascii="Arial" w:hAnsi="Arial" w:cs="Arial"/>
          <w:color w:val="111111"/>
          <w:sz w:val="36"/>
          <w:szCs w:val="36"/>
        </w:rPr>
      </w:pPr>
      <w:r w:rsidRPr="00387BFF">
        <w:rPr>
          <w:rFonts w:ascii="Arial" w:hAnsi="Arial" w:cs="Arial"/>
          <w:color w:val="111111"/>
          <w:sz w:val="36"/>
          <w:szCs w:val="36"/>
        </w:rPr>
        <w:t>What Is a Chartered Retirement Planning Counselor (CRPC)?</w:t>
      </w:r>
    </w:p>
    <w:p w14:paraId="768BBEE4" w14:textId="77777777" w:rsidR="000637F7" w:rsidRPr="004B581F" w:rsidRDefault="000637F7" w:rsidP="000637F7">
      <w:pPr>
        <w:shd w:val="clear" w:color="auto" w:fill="FFFFFF"/>
        <w:textAlignment w:val="baseline"/>
        <w:rPr>
          <w:rFonts w:ascii="Arial" w:hAnsi="Arial" w:cs="Arial"/>
          <w:color w:val="111111"/>
        </w:rPr>
      </w:pPr>
      <w:r w:rsidRPr="004B581F">
        <w:rPr>
          <w:rFonts w:ascii="Arial" w:hAnsi="Arial" w:cs="Arial"/>
          <w:color w:val="111111"/>
        </w:rPr>
        <w:t>By </w:t>
      </w:r>
      <w:hyperlink r:id="rId10" w:history="1">
        <w:r w:rsidRPr="004B581F">
          <w:rPr>
            <w:rFonts w:ascii="Arial" w:hAnsi="Arial" w:cs="Arial"/>
            <w:caps/>
            <w:color w:val="333E8B"/>
            <w:u w:val="single"/>
          </w:rPr>
          <w:t>JULIA KAGAN</w:t>
        </w:r>
      </w:hyperlink>
    </w:p>
    <w:p w14:paraId="6A273A8B" w14:textId="77777777" w:rsidR="000637F7" w:rsidRDefault="000637F7" w:rsidP="000637F7">
      <w:pPr>
        <w:shd w:val="clear" w:color="auto" w:fill="FFFFFF"/>
        <w:outlineLvl w:val="1"/>
        <w:rPr>
          <w:rFonts w:ascii="Arial" w:hAnsi="Arial" w:cs="Arial"/>
          <w:color w:val="111111"/>
          <w:sz w:val="36"/>
          <w:szCs w:val="36"/>
        </w:rPr>
      </w:pPr>
    </w:p>
    <w:p w14:paraId="7DFDE14D" w14:textId="77777777" w:rsidR="000637F7" w:rsidRPr="00387BFF" w:rsidRDefault="000637F7" w:rsidP="000637F7">
      <w:pPr>
        <w:shd w:val="clear" w:color="auto" w:fill="FFFFFF"/>
        <w:spacing w:after="100" w:afterAutospacing="1"/>
        <w:rPr>
          <w:rFonts w:ascii="Arial" w:hAnsi="Arial" w:cs="Arial"/>
          <w:color w:val="111111"/>
          <w:sz w:val="26"/>
          <w:szCs w:val="26"/>
        </w:rPr>
      </w:pPr>
      <w:r w:rsidRPr="00387BFF">
        <w:rPr>
          <w:rFonts w:ascii="Arial" w:hAnsi="Arial" w:cs="Arial"/>
          <w:color w:val="111111"/>
          <w:sz w:val="26"/>
          <w:szCs w:val="26"/>
        </w:rPr>
        <w:t>A Chartered Retirement Planning Counselor (CRPC) is someone with a professional financial planning designation awarded by the College for Financial Planning. Individuals may earn the CRPC designation by completing a study program and passing a final multiple-choice examination. Successful applicants earn the right to use the CRPC designation with their names for two years, which can improve job opportunities, professional reputation, and pay. Every two years, CRPC professionals must complete 16 hours of continuing education and pay a small fee to continue using the designation.</w:t>
      </w:r>
      <w:r w:rsidRPr="00387BFF">
        <w:rPr>
          <w:rFonts w:ascii="Arial" w:hAnsi="Arial" w:cs="Arial"/>
          <w:color w:val="0000EE"/>
          <w:spacing w:val="17"/>
          <w:sz w:val="20"/>
          <w:szCs w:val="20"/>
          <w:vertAlign w:val="superscript"/>
        </w:rPr>
        <w:t>1</w:t>
      </w:r>
      <w:r w:rsidRPr="00387BFF">
        <w:rPr>
          <w:rFonts w:ascii="Tahoma" w:hAnsi="Tahoma" w:cs="Tahoma"/>
          <w:color w:val="111111"/>
          <w:sz w:val="26"/>
          <w:szCs w:val="26"/>
        </w:rPr>
        <w:t>﻿</w:t>
      </w:r>
    </w:p>
    <w:p w14:paraId="0FB93C04" w14:textId="77777777" w:rsidR="000637F7" w:rsidRPr="00387BFF" w:rsidRDefault="000637F7" w:rsidP="000637F7">
      <w:pPr>
        <w:shd w:val="clear" w:color="auto" w:fill="FFFFFF"/>
        <w:outlineLvl w:val="2"/>
        <w:rPr>
          <w:rFonts w:ascii="Arial" w:hAnsi="Arial" w:cs="Arial"/>
          <w:caps/>
          <w:color w:val="111111"/>
          <w:sz w:val="27"/>
          <w:szCs w:val="27"/>
        </w:rPr>
      </w:pPr>
      <w:r w:rsidRPr="00387BFF">
        <w:rPr>
          <w:rFonts w:ascii="Arial" w:hAnsi="Arial" w:cs="Arial"/>
          <w:caps/>
          <w:color w:val="111111"/>
          <w:sz w:val="27"/>
          <w:szCs w:val="27"/>
        </w:rPr>
        <w:t>KEY TAKEAWAYS</w:t>
      </w:r>
    </w:p>
    <w:p w14:paraId="50400E70" w14:textId="77777777" w:rsidR="000637F7" w:rsidRPr="00387BFF" w:rsidRDefault="000637F7" w:rsidP="000637F7">
      <w:pPr>
        <w:numPr>
          <w:ilvl w:val="0"/>
          <w:numId w:val="1"/>
        </w:numPr>
        <w:shd w:val="clear" w:color="auto" w:fill="FFFFFF"/>
        <w:spacing w:before="100" w:beforeAutospacing="1" w:after="100" w:afterAutospacing="1"/>
        <w:rPr>
          <w:rFonts w:ascii="Arial" w:hAnsi="Arial" w:cs="Arial"/>
          <w:color w:val="111111"/>
          <w:sz w:val="26"/>
          <w:szCs w:val="26"/>
        </w:rPr>
      </w:pPr>
      <w:r w:rsidRPr="00387BFF">
        <w:rPr>
          <w:rFonts w:ascii="Arial" w:hAnsi="Arial" w:cs="Arial"/>
          <w:color w:val="111111"/>
          <w:sz w:val="26"/>
          <w:szCs w:val="26"/>
        </w:rPr>
        <w:t>A Chartered Retirement Planning Counselor is someone with a professional financial planning designation awarded by the College for Financial Planning.</w:t>
      </w:r>
    </w:p>
    <w:p w14:paraId="4476C63D" w14:textId="77777777" w:rsidR="000637F7" w:rsidRPr="00387BFF" w:rsidRDefault="000637F7" w:rsidP="000637F7">
      <w:pPr>
        <w:numPr>
          <w:ilvl w:val="0"/>
          <w:numId w:val="1"/>
        </w:numPr>
        <w:shd w:val="clear" w:color="auto" w:fill="FFFFFF"/>
        <w:spacing w:before="100" w:beforeAutospacing="1" w:after="100" w:afterAutospacing="1"/>
        <w:rPr>
          <w:rFonts w:ascii="Arial" w:hAnsi="Arial" w:cs="Arial"/>
          <w:color w:val="111111"/>
          <w:sz w:val="26"/>
          <w:szCs w:val="26"/>
        </w:rPr>
      </w:pPr>
      <w:r w:rsidRPr="00387BFF">
        <w:rPr>
          <w:rFonts w:ascii="Arial" w:hAnsi="Arial" w:cs="Arial"/>
          <w:color w:val="111111"/>
          <w:sz w:val="26"/>
          <w:szCs w:val="26"/>
        </w:rPr>
        <w:t>The study program for this designation includes a comprehensive assessment of an individual's financial needs before or after retirement, including sources of retirement income, personal savings, income taxes, estate planning, and more.</w:t>
      </w:r>
    </w:p>
    <w:p w14:paraId="1B9FED0D" w14:textId="77777777" w:rsidR="000637F7" w:rsidRPr="00387BFF" w:rsidRDefault="000637F7" w:rsidP="000637F7">
      <w:pPr>
        <w:numPr>
          <w:ilvl w:val="0"/>
          <w:numId w:val="1"/>
        </w:numPr>
        <w:shd w:val="clear" w:color="auto" w:fill="FFFFFF"/>
        <w:spacing w:before="100" w:beforeAutospacing="1" w:after="160"/>
        <w:rPr>
          <w:rFonts w:ascii="Arial" w:hAnsi="Arial" w:cs="Arial"/>
          <w:color w:val="111111"/>
          <w:sz w:val="26"/>
          <w:szCs w:val="26"/>
        </w:rPr>
      </w:pPr>
      <w:r w:rsidRPr="00387BFF">
        <w:rPr>
          <w:rFonts w:ascii="Arial" w:hAnsi="Arial" w:cs="Arial"/>
          <w:color w:val="111111"/>
          <w:sz w:val="26"/>
          <w:szCs w:val="26"/>
        </w:rPr>
        <w:t>Individuals who have earned the CRPC designation report a 9% increase in earnings, according to the college.</w:t>
      </w:r>
    </w:p>
    <w:p w14:paraId="6155CBDC" w14:textId="77777777" w:rsidR="000637F7" w:rsidRDefault="000637F7" w:rsidP="000637F7">
      <w:pPr>
        <w:shd w:val="clear" w:color="auto" w:fill="FFFFFF"/>
        <w:outlineLvl w:val="1"/>
        <w:rPr>
          <w:rFonts w:ascii="Arial" w:hAnsi="Arial" w:cs="Arial"/>
          <w:color w:val="111111"/>
          <w:sz w:val="36"/>
          <w:szCs w:val="36"/>
        </w:rPr>
      </w:pPr>
      <w:r w:rsidRPr="00387BFF">
        <w:rPr>
          <w:rFonts w:ascii="Arial" w:hAnsi="Arial" w:cs="Arial"/>
          <w:color w:val="111111"/>
          <w:sz w:val="36"/>
          <w:szCs w:val="36"/>
        </w:rPr>
        <w:t>Understanding Chartered Retirement Planning Counselor (CRPC)</w:t>
      </w:r>
    </w:p>
    <w:p w14:paraId="337AA358" w14:textId="77777777" w:rsidR="000637F7" w:rsidRPr="00387BFF" w:rsidRDefault="000637F7" w:rsidP="000637F7">
      <w:pPr>
        <w:shd w:val="clear" w:color="auto" w:fill="FFFFFF"/>
        <w:spacing w:after="100" w:afterAutospacing="1"/>
        <w:rPr>
          <w:rFonts w:ascii="Arial" w:hAnsi="Arial" w:cs="Arial"/>
          <w:color w:val="111111"/>
          <w:sz w:val="26"/>
          <w:szCs w:val="26"/>
        </w:rPr>
      </w:pPr>
      <w:r w:rsidRPr="00387BFF">
        <w:rPr>
          <w:rFonts w:ascii="Arial" w:hAnsi="Arial" w:cs="Arial"/>
          <w:color w:val="111111"/>
          <w:sz w:val="26"/>
          <w:szCs w:val="26"/>
        </w:rPr>
        <w:t>CRPCs are different from </w:t>
      </w:r>
      <w:hyperlink r:id="rId11" w:history="1">
        <w:r w:rsidRPr="00387BFF">
          <w:rPr>
            <w:rFonts w:ascii="Arial" w:hAnsi="Arial" w:cs="Arial"/>
            <w:color w:val="2C40D0"/>
            <w:sz w:val="26"/>
            <w:szCs w:val="26"/>
            <w:u w:val="single"/>
          </w:rPr>
          <w:t>Certified Financial Planners</w:t>
        </w:r>
      </w:hyperlink>
      <w:r w:rsidRPr="00387BFF">
        <w:rPr>
          <w:rFonts w:ascii="Arial" w:hAnsi="Arial" w:cs="Arial"/>
          <w:color w:val="111111"/>
          <w:sz w:val="26"/>
          <w:szCs w:val="26"/>
        </w:rPr>
        <w:t> (CFP). The latter provides financial planning across all aspects of an individual's life. CRPCs are focused on retirement planning. The CRPC program is developed with a focus on client-centered problem-solving. Applicants gain in-depth knowledge of individuals' needs both before and after retirement. The College for Financial Planning describes the program as helping financial planners and advisers define and create a "road map for retirement" for their clients.</w:t>
      </w:r>
      <w:r w:rsidRPr="00387BFF">
        <w:rPr>
          <w:rFonts w:ascii="Arial" w:hAnsi="Arial" w:cs="Arial"/>
          <w:color w:val="0000EE"/>
          <w:spacing w:val="17"/>
          <w:sz w:val="20"/>
          <w:szCs w:val="20"/>
          <w:vertAlign w:val="superscript"/>
        </w:rPr>
        <w:t>2</w:t>
      </w:r>
      <w:r w:rsidRPr="00387BFF">
        <w:rPr>
          <w:rFonts w:ascii="Tahoma" w:hAnsi="Tahoma" w:cs="Tahoma"/>
          <w:color w:val="111111"/>
          <w:sz w:val="26"/>
          <w:szCs w:val="26"/>
        </w:rPr>
        <w:t>﻿</w:t>
      </w:r>
      <w:r w:rsidRPr="00387BFF">
        <w:rPr>
          <w:rFonts w:ascii="Arial" w:hAnsi="Arial" w:cs="Arial"/>
          <w:color w:val="111111"/>
          <w:sz w:val="26"/>
          <w:szCs w:val="26"/>
        </w:rPr>
        <w:t xml:space="preserve"> The study program to become a CRPC covers the entire </w:t>
      </w:r>
      <w:hyperlink r:id="rId12" w:history="1">
        <w:r w:rsidRPr="00387BFF">
          <w:rPr>
            <w:rFonts w:ascii="Arial" w:hAnsi="Arial" w:cs="Arial"/>
            <w:color w:val="2C40D0"/>
            <w:sz w:val="26"/>
            <w:szCs w:val="26"/>
            <w:u w:val="single"/>
          </w:rPr>
          <w:t>retirement planning</w:t>
        </w:r>
      </w:hyperlink>
      <w:r w:rsidRPr="00387BFF">
        <w:rPr>
          <w:rFonts w:ascii="Arial" w:hAnsi="Arial" w:cs="Arial"/>
          <w:color w:val="111111"/>
          <w:sz w:val="26"/>
          <w:szCs w:val="26"/>
        </w:rPr>
        <w:t> process, including meeting multiple financial objectives, sources of retirement income, personal savings, employer-sponsored retirement plans, </w:t>
      </w:r>
      <w:hyperlink r:id="rId13" w:history="1">
        <w:r w:rsidRPr="00387BFF">
          <w:rPr>
            <w:rFonts w:ascii="Arial" w:hAnsi="Arial" w:cs="Arial"/>
            <w:color w:val="2C40D0"/>
            <w:sz w:val="26"/>
            <w:szCs w:val="26"/>
            <w:u w:val="single"/>
          </w:rPr>
          <w:t>income taxes</w:t>
        </w:r>
      </w:hyperlink>
      <w:r w:rsidRPr="00387BFF">
        <w:rPr>
          <w:rFonts w:ascii="Arial" w:hAnsi="Arial" w:cs="Arial"/>
          <w:color w:val="111111"/>
          <w:sz w:val="26"/>
          <w:szCs w:val="26"/>
        </w:rPr>
        <w:t>, retirement cash flow, </w:t>
      </w:r>
      <w:hyperlink r:id="rId14" w:history="1">
        <w:r w:rsidRPr="00387BFF">
          <w:rPr>
            <w:rFonts w:ascii="Arial" w:hAnsi="Arial" w:cs="Arial"/>
            <w:color w:val="2C40D0"/>
            <w:sz w:val="26"/>
            <w:szCs w:val="26"/>
            <w:u w:val="single"/>
          </w:rPr>
          <w:t>asset management</w:t>
        </w:r>
      </w:hyperlink>
      <w:r w:rsidRPr="00387BFF">
        <w:rPr>
          <w:rFonts w:ascii="Arial" w:hAnsi="Arial" w:cs="Arial"/>
          <w:color w:val="111111"/>
          <w:sz w:val="26"/>
          <w:szCs w:val="26"/>
        </w:rPr>
        <w:t>, </w:t>
      </w:r>
      <w:hyperlink r:id="rId15" w:history="1">
        <w:r w:rsidRPr="00387BFF">
          <w:rPr>
            <w:rFonts w:ascii="Arial" w:hAnsi="Arial" w:cs="Arial"/>
            <w:color w:val="2C40D0"/>
            <w:sz w:val="26"/>
            <w:szCs w:val="26"/>
            <w:u w:val="single"/>
          </w:rPr>
          <w:t>estate planning</w:t>
        </w:r>
      </w:hyperlink>
      <w:r w:rsidRPr="00387BFF">
        <w:rPr>
          <w:rFonts w:ascii="Arial" w:hAnsi="Arial" w:cs="Arial"/>
          <w:color w:val="111111"/>
          <w:sz w:val="26"/>
          <w:szCs w:val="26"/>
        </w:rPr>
        <w:t>, and more.</w:t>
      </w:r>
    </w:p>
    <w:p w14:paraId="02D93A71" w14:textId="77777777" w:rsidR="000637F7" w:rsidRPr="00387BFF" w:rsidRDefault="000637F7" w:rsidP="000637F7">
      <w:pPr>
        <w:shd w:val="clear" w:color="auto" w:fill="FFFFFF"/>
        <w:spacing w:after="100" w:afterAutospacing="1"/>
        <w:rPr>
          <w:rFonts w:ascii="Arial" w:hAnsi="Arial" w:cs="Arial"/>
          <w:color w:val="111111"/>
          <w:sz w:val="26"/>
          <w:szCs w:val="26"/>
        </w:rPr>
      </w:pPr>
      <w:r w:rsidRPr="00387BFF">
        <w:rPr>
          <w:rFonts w:ascii="Arial" w:hAnsi="Arial" w:cs="Arial"/>
          <w:color w:val="111111"/>
          <w:sz w:val="26"/>
          <w:szCs w:val="26"/>
        </w:rPr>
        <w:t>Individuals who have earned the CRPC designation report a 9% increase in earnings, according to the college.</w:t>
      </w:r>
      <w:r w:rsidRPr="00387BFF">
        <w:rPr>
          <w:rFonts w:ascii="Arial" w:hAnsi="Arial" w:cs="Arial"/>
          <w:color w:val="0000EE"/>
          <w:spacing w:val="17"/>
          <w:sz w:val="20"/>
          <w:szCs w:val="20"/>
          <w:vertAlign w:val="superscript"/>
        </w:rPr>
        <w:t>2</w:t>
      </w:r>
      <w:r w:rsidRPr="00387BFF">
        <w:rPr>
          <w:rFonts w:ascii="Tahoma" w:hAnsi="Tahoma" w:cs="Tahoma"/>
          <w:color w:val="111111"/>
          <w:sz w:val="26"/>
          <w:szCs w:val="26"/>
        </w:rPr>
        <w:t>﻿</w:t>
      </w:r>
      <w:r w:rsidRPr="00387BFF">
        <w:rPr>
          <w:rFonts w:ascii="Arial" w:hAnsi="Arial" w:cs="Arial"/>
          <w:color w:val="111111"/>
          <w:sz w:val="26"/>
          <w:szCs w:val="26"/>
        </w:rPr>
        <w:t xml:space="preserve"> With it, graduates can test out of two out of the six courses in the college's CFP Certified Professional Education Program. Completing the course can also provide up to 45 hours of continuing education credits.</w:t>
      </w:r>
      <w:r w:rsidRPr="00387BFF">
        <w:rPr>
          <w:rFonts w:ascii="Arial" w:hAnsi="Arial" w:cs="Arial"/>
          <w:color w:val="0000EE"/>
          <w:spacing w:val="17"/>
          <w:sz w:val="20"/>
          <w:szCs w:val="20"/>
          <w:vertAlign w:val="superscript"/>
        </w:rPr>
        <w:t>2</w:t>
      </w:r>
      <w:r w:rsidRPr="00387BFF">
        <w:rPr>
          <w:rFonts w:ascii="Tahoma" w:hAnsi="Tahoma" w:cs="Tahoma"/>
          <w:color w:val="111111"/>
          <w:sz w:val="26"/>
          <w:szCs w:val="26"/>
        </w:rPr>
        <w:t>﻿</w:t>
      </w:r>
    </w:p>
    <w:p w14:paraId="62A3C1DD" w14:textId="77777777" w:rsidR="000637F7" w:rsidRPr="00387BFF" w:rsidRDefault="000637F7" w:rsidP="000637F7">
      <w:pPr>
        <w:shd w:val="clear" w:color="auto" w:fill="FFFFFF"/>
        <w:spacing w:after="100" w:afterAutospacing="1"/>
        <w:rPr>
          <w:rFonts w:ascii="Arial" w:hAnsi="Arial" w:cs="Arial"/>
          <w:color w:val="111111"/>
          <w:sz w:val="26"/>
          <w:szCs w:val="26"/>
        </w:rPr>
      </w:pPr>
      <w:r w:rsidRPr="00387BFF">
        <w:rPr>
          <w:rFonts w:ascii="Arial" w:hAnsi="Arial" w:cs="Arial"/>
          <w:color w:val="111111"/>
          <w:sz w:val="26"/>
          <w:szCs w:val="26"/>
        </w:rPr>
        <w:lastRenderedPageBreak/>
        <w:t>CRPC program course topics include:</w:t>
      </w:r>
    </w:p>
    <w:p w14:paraId="3F5119B3" w14:textId="77777777" w:rsidR="000637F7" w:rsidRPr="00387BFF" w:rsidRDefault="000637F7" w:rsidP="000637F7">
      <w:pPr>
        <w:numPr>
          <w:ilvl w:val="0"/>
          <w:numId w:val="2"/>
        </w:numPr>
        <w:shd w:val="clear" w:color="auto" w:fill="FFFFFF"/>
        <w:spacing w:before="100" w:beforeAutospacing="1" w:after="100" w:afterAutospacing="1"/>
        <w:rPr>
          <w:rFonts w:ascii="Arial" w:hAnsi="Arial" w:cs="Arial"/>
          <w:color w:val="111111"/>
          <w:sz w:val="26"/>
          <w:szCs w:val="26"/>
        </w:rPr>
      </w:pPr>
      <w:r w:rsidRPr="00387BFF">
        <w:rPr>
          <w:rFonts w:ascii="Arial" w:hAnsi="Arial" w:cs="Arial"/>
          <w:color w:val="111111"/>
          <w:sz w:val="26"/>
          <w:szCs w:val="26"/>
        </w:rPr>
        <w:t>Maximizing the Client Experience During the Retirement Planning Process</w:t>
      </w:r>
    </w:p>
    <w:p w14:paraId="2553AD6A" w14:textId="77777777" w:rsidR="000637F7" w:rsidRPr="00387BFF" w:rsidRDefault="000637F7" w:rsidP="000637F7">
      <w:pPr>
        <w:numPr>
          <w:ilvl w:val="0"/>
          <w:numId w:val="2"/>
        </w:numPr>
        <w:shd w:val="clear" w:color="auto" w:fill="FFFFFF"/>
        <w:spacing w:before="100" w:beforeAutospacing="1" w:after="100" w:afterAutospacing="1"/>
        <w:rPr>
          <w:rFonts w:ascii="Arial" w:hAnsi="Arial" w:cs="Arial"/>
          <w:color w:val="111111"/>
          <w:sz w:val="26"/>
          <w:szCs w:val="26"/>
        </w:rPr>
      </w:pPr>
      <w:r w:rsidRPr="00387BFF">
        <w:rPr>
          <w:rFonts w:ascii="Arial" w:hAnsi="Arial" w:cs="Arial"/>
          <w:color w:val="111111"/>
          <w:sz w:val="26"/>
          <w:szCs w:val="26"/>
        </w:rPr>
        <w:t>Principles and Strategies When Investing for Retirement</w:t>
      </w:r>
    </w:p>
    <w:p w14:paraId="163076A1" w14:textId="77777777" w:rsidR="000637F7" w:rsidRPr="00387BFF" w:rsidRDefault="000637F7" w:rsidP="000637F7">
      <w:pPr>
        <w:numPr>
          <w:ilvl w:val="0"/>
          <w:numId w:val="2"/>
        </w:numPr>
        <w:shd w:val="clear" w:color="auto" w:fill="FFFFFF"/>
        <w:spacing w:before="100" w:beforeAutospacing="1" w:after="100" w:afterAutospacing="1"/>
        <w:rPr>
          <w:rFonts w:ascii="Arial" w:hAnsi="Arial" w:cs="Arial"/>
          <w:color w:val="111111"/>
          <w:sz w:val="26"/>
          <w:szCs w:val="26"/>
        </w:rPr>
      </w:pPr>
      <w:r w:rsidRPr="00387BFF">
        <w:rPr>
          <w:rFonts w:ascii="Arial" w:hAnsi="Arial" w:cs="Arial"/>
          <w:color w:val="111111"/>
          <w:sz w:val="26"/>
          <w:szCs w:val="26"/>
        </w:rPr>
        <w:t>Making the Most of Social Security Retirement Benefits</w:t>
      </w:r>
    </w:p>
    <w:p w14:paraId="5C43BE07" w14:textId="77777777" w:rsidR="000637F7" w:rsidRPr="00387BFF" w:rsidRDefault="000637F7" w:rsidP="000637F7">
      <w:pPr>
        <w:numPr>
          <w:ilvl w:val="0"/>
          <w:numId w:val="2"/>
        </w:numPr>
        <w:shd w:val="clear" w:color="auto" w:fill="FFFFFF"/>
        <w:spacing w:before="100" w:beforeAutospacing="1" w:after="100" w:afterAutospacing="1"/>
        <w:rPr>
          <w:rFonts w:ascii="Arial" w:hAnsi="Arial" w:cs="Arial"/>
          <w:color w:val="111111"/>
          <w:sz w:val="26"/>
          <w:szCs w:val="26"/>
        </w:rPr>
      </w:pPr>
      <w:r w:rsidRPr="00387BFF">
        <w:rPr>
          <w:rFonts w:ascii="Arial" w:hAnsi="Arial" w:cs="Arial"/>
          <w:color w:val="111111"/>
          <w:sz w:val="26"/>
          <w:szCs w:val="26"/>
        </w:rPr>
        <w:t>Bridging the Income Gap: Identifying Other Sources of Retirement Income.</w:t>
      </w:r>
    </w:p>
    <w:p w14:paraId="2DDDED95" w14:textId="77777777" w:rsidR="000637F7" w:rsidRPr="00387BFF" w:rsidRDefault="000637F7" w:rsidP="000637F7">
      <w:pPr>
        <w:numPr>
          <w:ilvl w:val="0"/>
          <w:numId w:val="2"/>
        </w:numPr>
        <w:shd w:val="clear" w:color="auto" w:fill="FFFFFF"/>
        <w:spacing w:before="100" w:beforeAutospacing="1" w:after="100" w:afterAutospacing="1"/>
        <w:rPr>
          <w:rFonts w:ascii="Arial" w:hAnsi="Arial" w:cs="Arial"/>
          <w:color w:val="111111"/>
          <w:sz w:val="26"/>
          <w:szCs w:val="26"/>
        </w:rPr>
      </w:pPr>
      <w:r w:rsidRPr="00387BFF">
        <w:rPr>
          <w:rFonts w:ascii="Arial" w:hAnsi="Arial" w:cs="Arial"/>
          <w:color w:val="111111"/>
          <w:sz w:val="26"/>
          <w:szCs w:val="26"/>
        </w:rPr>
        <w:t>Navigating Health Care Options in Retirement</w:t>
      </w:r>
    </w:p>
    <w:p w14:paraId="35F03B35" w14:textId="77777777" w:rsidR="000637F7" w:rsidRPr="00387BFF" w:rsidRDefault="000637F7" w:rsidP="000637F7">
      <w:pPr>
        <w:numPr>
          <w:ilvl w:val="0"/>
          <w:numId w:val="2"/>
        </w:numPr>
        <w:shd w:val="clear" w:color="auto" w:fill="FFFFFF"/>
        <w:spacing w:before="100" w:beforeAutospacing="1" w:after="100" w:afterAutospacing="1"/>
        <w:rPr>
          <w:rFonts w:ascii="Arial" w:hAnsi="Arial" w:cs="Arial"/>
          <w:color w:val="111111"/>
          <w:sz w:val="26"/>
          <w:szCs w:val="26"/>
        </w:rPr>
      </w:pPr>
      <w:r w:rsidRPr="00387BFF">
        <w:rPr>
          <w:rFonts w:ascii="Arial" w:hAnsi="Arial" w:cs="Arial"/>
          <w:color w:val="111111"/>
          <w:sz w:val="26"/>
          <w:szCs w:val="26"/>
        </w:rPr>
        <w:t>Making the Emotional and Financial Transition to Retirement</w:t>
      </w:r>
    </w:p>
    <w:p w14:paraId="5C1C1E12" w14:textId="77777777" w:rsidR="000637F7" w:rsidRPr="00387BFF" w:rsidRDefault="000637F7" w:rsidP="000637F7">
      <w:pPr>
        <w:numPr>
          <w:ilvl w:val="0"/>
          <w:numId w:val="2"/>
        </w:numPr>
        <w:shd w:val="clear" w:color="auto" w:fill="FFFFFF"/>
        <w:spacing w:before="100" w:beforeAutospacing="1" w:after="100" w:afterAutospacing="1"/>
        <w:rPr>
          <w:rFonts w:ascii="Arial" w:hAnsi="Arial" w:cs="Arial"/>
          <w:color w:val="111111"/>
          <w:sz w:val="26"/>
          <w:szCs w:val="26"/>
        </w:rPr>
      </w:pPr>
      <w:r w:rsidRPr="00387BFF">
        <w:rPr>
          <w:rFonts w:ascii="Arial" w:hAnsi="Arial" w:cs="Arial"/>
          <w:color w:val="111111"/>
          <w:sz w:val="26"/>
          <w:szCs w:val="26"/>
        </w:rPr>
        <w:t>Designing Optimal Retirement Income Streams</w:t>
      </w:r>
    </w:p>
    <w:p w14:paraId="3DBA6CC2" w14:textId="77777777" w:rsidR="000637F7" w:rsidRPr="00387BFF" w:rsidRDefault="000637F7" w:rsidP="000637F7">
      <w:pPr>
        <w:numPr>
          <w:ilvl w:val="0"/>
          <w:numId w:val="2"/>
        </w:numPr>
        <w:shd w:val="clear" w:color="auto" w:fill="FFFFFF"/>
        <w:spacing w:before="100" w:beforeAutospacing="1" w:after="100" w:afterAutospacing="1"/>
        <w:rPr>
          <w:rFonts w:ascii="Arial" w:hAnsi="Arial" w:cs="Arial"/>
          <w:color w:val="111111"/>
          <w:sz w:val="26"/>
          <w:szCs w:val="26"/>
        </w:rPr>
      </w:pPr>
      <w:r w:rsidRPr="00387BFF">
        <w:rPr>
          <w:rFonts w:ascii="Arial" w:hAnsi="Arial" w:cs="Arial"/>
          <w:color w:val="111111"/>
          <w:sz w:val="26"/>
          <w:szCs w:val="26"/>
        </w:rPr>
        <w:t>Achieving Tax and Estate Planning Objectives in Retirement</w:t>
      </w:r>
    </w:p>
    <w:p w14:paraId="33EB2E9C" w14:textId="77777777" w:rsidR="000637F7" w:rsidRPr="00387BFF" w:rsidRDefault="000637F7" w:rsidP="000637F7">
      <w:pPr>
        <w:numPr>
          <w:ilvl w:val="0"/>
          <w:numId w:val="2"/>
        </w:numPr>
        <w:shd w:val="clear" w:color="auto" w:fill="FFFFFF"/>
        <w:spacing w:before="100" w:beforeAutospacing="1" w:after="100" w:afterAutospacing="1"/>
        <w:rPr>
          <w:rFonts w:ascii="Arial" w:hAnsi="Arial" w:cs="Arial"/>
          <w:color w:val="111111"/>
          <w:sz w:val="26"/>
          <w:szCs w:val="26"/>
        </w:rPr>
      </w:pPr>
      <w:r w:rsidRPr="00387BFF">
        <w:rPr>
          <w:rFonts w:ascii="Arial" w:hAnsi="Arial" w:cs="Arial"/>
          <w:color w:val="111111"/>
          <w:sz w:val="26"/>
          <w:szCs w:val="26"/>
        </w:rPr>
        <w:t>Fiduciary, Ethical, and Regulatory Issues for Advisers</w:t>
      </w:r>
      <w:r w:rsidRPr="00387BFF">
        <w:rPr>
          <w:rFonts w:ascii="Arial" w:hAnsi="Arial" w:cs="Arial"/>
          <w:color w:val="0000EE"/>
          <w:spacing w:val="17"/>
          <w:sz w:val="20"/>
          <w:szCs w:val="20"/>
          <w:vertAlign w:val="superscript"/>
        </w:rPr>
        <w:t>2</w:t>
      </w:r>
      <w:r w:rsidRPr="00387BFF">
        <w:rPr>
          <w:rFonts w:ascii="Tahoma" w:hAnsi="Tahoma" w:cs="Tahoma"/>
          <w:color w:val="111111"/>
          <w:sz w:val="26"/>
          <w:szCs w:val="26"/>
        </w:rPr>
        <w:t>﻿</w:t>
      </w:r>
    </w:p>
    <w:p w14:paraId="2EAF1E60" w14:textId="5FC12C8F" w:rsidR="005036BC" w:rsidRPr="001807E0" w:rsidRDefault="005036BC" w:rsidP="005036BC"/>
    <w:sectPr w:rsidR="005036BC" w:rsidRPr="001807E0" w:rsidSect="00A17758">
      <w:footerReference w:type="default" r:id="rId16"/>
      <w:pgSz w:w="12240" w:h="15840"/>
      <w:pgMar w:top="432" w:right="720" w:bottom="173" w:left="72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2F42F9" w14:textId="77777777" w:rsidR="00F66672" w:rsidRDefault="00F66672" w:rsidP="00326497">
      <w:r>
        <w:separator/>
      </w:r>
    </w:p>
  </w:endnote>
  <w:endnote w:type="continuationSeparator" w:id="0">
    <w:p w14:paraId="77C73BC6" w14:textId="77777777" w:rsidR="00F66672" w:rsidRDefault="00F66672" w:rsidP="00326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1965F" w14:textId="5F5616DE" w:rsidR="00E45E84" w:rsidRPr="00E45E84" w:rsidRDefault="00326497" w:rsidP="00E45E84">
    <w:pPr>
      <w:rPr>
        <w:rFonts w:cstheme="minorHAnsi"/>
        <w:color w:val="7030A0"/>
        <w:sz w:val="20"/>
        <w:szCs w:val="20"/>
      </w:rPr>
    </w:pPr>
    <w:r w:rsidRPr="00E45E84">
      <w:rPr>
        <w:rFonts w:cstheme="minorHAnsi"/>
        <w:color w:val="7030A0"/>
        <w:sz w:val="20"/>
        <w:szCs w:val="20"/>
      </w:rPr>
      <w:t>Securities and advisory services are offered through Cetera Advisor Networks LLC (doing insurance business in CA as CFGAN Insurance Agency LLC</w:t>
    </w:r>
    <w:r w:rsidR="00200F41">
      <w:rPr>
        <w:rFonts w:cstheme="minorHAnsi"/>
        <w:color w:val="7030A0"/>
        <w:sz w:val="20"/>
        <w:szCs w:val="20"/>
      </w:rPr>
      <w:t>, Insurance License #0644976</w:t>
    </w:r>
    <w:r w:rsidRPr="00E45E84">
      <w:rPr>
        <w:rFonts w:cstheme="minorHAnsi"/>
        <w:color w:val="7030A0"/>
        <w:sz w:val="20"/>
        <w:szCs w:val="20"/>
      </w:rPr>
      <w:t>), member FINRA/SIPC, a broker-dealer and registered investment adviser. Cetera is under separate ownership from any other named entity. CA Insurance License # 0C92075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1A2D0E" w14:textId="77777777" w:rsidR="00F66672" w:rsidRDefault="00F66672" w:rsidP="00326497">
      <w:r>
        <w:separator/>
      </w:r>
    </w:p>
  </w:footnote>
  <w:footnote w:type="continuationSeparator" w:id="0">
    <w:p w14:paraId="3AF3BF5C" w14:textId="77777777" w:rsidR="00F66672" w:rsidRDefault="00F66672" w:rsidP="003264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3B5EA3"/>
    <w:multiLevelType w:val="multilevel"/>
    <w:tmpl w:val="A4641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57D19DA"/>
    <w:multiLevelType w:val="multilevel"/>
    <w:tmpl w:val="F91E8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9863754">
    <w:abstractNumId w:val="0"/>
  </w:num>
  <w:num w:numId="2" w16cid:durableId="1082218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497"/>
    <w:rsid w:val="000061EB"/>
    <w:rsid w:val="00041269"/>
    <w:rsid w:val="000637F7"/>
    <w:rsid w:val="0006679E"/>
    <w:rsid w:val="000D05F9"/>
    <w:rsid w:val="00137E39"/>
    <w:rsid w:val="00164B1A"/>
    <w:rsid w:val="001807E0"/>
    <w:rsid w:val="00200F41"/>
    <w:rsid w:val="0022678C"/>
    <w:rsid w:val="002E728D"/>
    <w:rsid w:val="00326497"/>
    <w:rsid w:val="00341121"/>
    <w:rsid w:val="00494700"/>
    <w:rsid w:val="005036BC"/>
    <w:rsid w:val="00507CD4"/>
    <w:rsid w:val="0055471B"/>
    <w:rsid w:val="005A0C91"/>
    <w:rsid w:val="00630946"/>
    <w:rsid w:val="006515E8"/>
    <w:rsid w:val="007008AA"/>
    <w:rsid w:val="00751620"/>
    <w:rsid w:val="007F1D6C"/>
    <w:rsid w:val="00842D74"/>
    <w:rsid w:val="00856481"/>
    <w:rsid w:val="00865730"/>
    <w:rsid w:val="00882CB3"/>
    <w:rsid w:val="008B1C59"/>
    <w:rsid w:val="009269A6"/>
    <w:rsid w:val="009F4E51"/>
    <w:rsid w:val="00A17758"/>
    <w:rsid w:val="00A537EE"/>
    <w:rsid w:val="00AB7629"/>
    <w:rsid w:val="00B81D85"/>
    <w:rsid w:val="00B930A4"/>
    <w:rsid w:val="00BD5FB3"/>
    <w:rsid w:val="00C071E0"/>
    <w:rsid w:val="00CC7F1D"/>
    <w:rsid w:val="00DB0E5C"/>
    <w:rsid w:val="00DD590B"/>
    <w:rsid w:val="00E05B6C"/>
    <w:rsid w:val="00E26A41"/>
    <w:rsid w:val="00E45E84"/>
    <w:rsid w:val="00EF7FFA"/>
    <w:rsid w:val="00F4331A"/>
    <w:rsid w:val="00F66672"/>
    <w:rsid w:val="00FD1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CB64C"/>
  <w15:chartTrackingRefBased/>
  <w15:docId w15:val="{D841DD8B-D61E-4D0E-BBEE-7C83FB67E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7E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6497"/>
    <w:pPr>
      <w:spacing w:after="0" w:line="240" w:lineRule="auto"/>
    </w:pPr>
  </w:style>
  <w:style w:type="paragraph" w:styleId="Header">
    <w:name w:val="header"/>
    <w:basedOn w:val="Normal"/>
    <w:link w:val="HeaderChar"/>
    <w:uiPriority w:val="99"/>
    <w:unhideWhenUsed/>
    <w:rsid w:val="0032649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26497"/>
  </w:style>
  <w:style w:type="paragraph" w:styleId="Footer">
    <w:name w:val="footer"/>
    <w:basedOn w:val="Normal"/>
    <w:link w:val="FooterChar"/>
    <w:uiPriority w:val="99"/>
    <w:unhideWhenUsed/>
    <w:rsid w:val="0032649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26497"/>
  </w:style>
  <w:style w:type="character" w:styleId="Hyperlink">
    <w:name w:val="Hyperlink"/>
    <w:basedOn w:val="DefaultParagraphFont"/>
    <w:uiPriority w:val="99"/>
    <w:unhideWhenUsed/>
    <w:rsid w:val="006515E8"/>
    <w:rPr>
      <w:color w:val="0563C1" w:themeColor="hyperlink"/>
      <w:u w:val="single"/>
    </w:rPr>
  </w:style>
  <w:style w:type="character" w:styleId="UnresolvedMention">
    <w:name w:val="Unresolved Mention"/>
    <w:basedOn w:val="DefaultParagraphFont"/>
    <w:uiPriority w:val="99"/>
    <w:semiHidden/>
    <w:unhideWhenUsed/>
    <w:rsid w:val="006515E8"/>
    <w:rPr>
      <w:color w:val="605E5C"/>
      <w:shd w:val="clear" w:color="auto" w:fill="E1DFDD"/>
    </w:rPr>
  </w:style>
  <w:style w:type="paragraph" w:customStyle="1" w:styleId="p1">
    <w:name w:val="p1"/>
    <w:basedOn w:val="Normal"/>
    <w:rsid w:val="001807E0"/>
    <w:pPr>
      <w:widowControl w:val="0"/>
      <w:tabs>
        <w:tab w:val="left" w:pos="720"/>
      </w:tabs>
      <w:spacing w:line="280" w:lineRule="atLeast"/>
    </w:pPr>
    <w:rPr>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lingsonl@agatefp.com" TargetMode="External"/><Relationship Id="rId13" Type="http://schemas.openxmlformats.org/officeDocument/2006/relationships/hyperlink" Target="https://www.investopedia.com/terms/i/incometax.as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investopedia.com/terms/r/retirement-planning.as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vestopedia.com/terms/c/cfp.asp" TargetMode="External"/><Relationship Id="rId5" Type="http://schemas.openxmlformats.org/officeDocument/2006/relationships/footnotes" Target="footnotes.xml"/><Relationship Id="rId15" Type="http://schemas.openxmlformats.org/officeDocument/2006/relationships/hyperlink" Target="https://www.investopedia.com/terms/e/estateplanning.asp" TargetMode="External"/><Relationship Id="rId10" Type="http://schemas.openxmlformats.org/officeDocument/2006/relationships/hyperlink" Target="https://www.investopedia.com/contributors/53409/" TargetMode="External"/><Relationship Id="rId4" Type="http://schemas.openxmlformats.org/officeDocument/2006/relationships/webSettings" Target="webSettings.xml"/><Relationship Id="rId9" Type="http://schemas.openxmlformats.org/officeDocument/2006/relationships/hyperlink" Target="http://www.agatefp.com" TargetMode="External"/><Relationship Id="rId14" Type="http://schemas.openxmlformats.org/officeDocument/2006/relationships/hyperlink" Target="https://www.investopedia.com/terms/a/assetmanagemen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Ellingson</dc:creator>
  <cp:keywords/>
  <dc:description/>
  <cp:lastModifiedBy>Lori Ellingson</cp:lastModifiedBy>
  <cp:revision>2</cp:revision>
  <dcterms:created xsi:type="dcterms:W3CDTF">2024-12-20T19:55:00Z</dcterms:created>
  <dcterms:modified xsi:type="dcterms:W3CDTF">2024-12-20T19:55:00Z</dcterms:modified>
</cp:coreProperties>
</file>