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86FE" w14:textId="77777777" w:rsidR="004A397C" w:rsidRDefault="00000000">
      <w:pPr>
        <w:spacing w:after="240"/>
        <w:rPr>
          <w:rFonts w:ascii="Times New Roman" w:eastAsia="Times New Roman" w:hAnsi="Times New Roman" w:cs="Times New Roman"/>
        </w:rPr>
      </w:pPr>
      <w:permStart w:id="158680271" w:edGrp="everyone"/>
      <w:permEnd w:id="158680271"/>
      <w:r>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49B2B65B" wp14:editId="680A9640">
            <wp:extent cx="5943600" cy="31106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110669"/>
                    </a:xfrm>
                    <a:prstGeom prst="rect">
                      <a:avLst/>
                    </a:prstGeom>
                    <a:ln/>
                  </pic:spPr>
                </pic:pic>
              </a:graphicData>
            </a:graphic>
          </wp:inline>
        </w:drawing>
      </w:r>
    </w:p>
    <w:p w14:paraId="35F39A49" w14:textId="77777777" w:rsidR="004A397C" w:rsidRDefault="00000000">
      <w:pPr>
        <w:ind w:left="174"/>
        <w:jc w:val="center"/>
        <w:rPr>
          <w:rFonts w:ascii="Times New Roman" w:eastAsia="Times New Roman" w:hAnsi="Times New Roman" w:cs="Times New Roman"/>
          <w:b/>
          <w:color w:val="6E78D4"/>
          <w:sz w:val="48"/>
          <w:szCs w:val="48"/>
        </w:rPr>
      </w:pPr>
      <w:r>
        <w:rPr>
          <w:b/>
          <w:color w:val="6E78D4"/>
          <w:sz w:val="30"/>
          <w:szCs w:val="30"/>
        </w:rPr>
        <w:t>How to Prepare for Tax Season</w:t>
      </w:r>
    </w:p>
    <w:p w14:paraId="4E51F20C" w14:textId="12541555" w:rsidR="004A397C" w:rsidRPr="001240F1" w:rsidRDefault="001240F1" w:rsidP="001240F1">
      <w:pPr>
        <w:jc w:val="center"/>
        <w:rPr>
          <w:rFonts w:ascii="Times New Roman" w:eastAsia="Times New Roman" w:hAnsi="Times New Roman" w:cs="Times New Roman"/>
          <w:color w:val="FF0000"/>
          <w:sz w:val="32"/>
          <w:szCs w:val="32"/>
          <w:vertAlign w:val="subscript"/>
        </w:rPr>
      </w:pPr>
      <w:r w:rsidRPr="001240F1">
        <w:rPr>
          <w:rFonts w:ascii="Times New Roman" w:eastAsia="Times New Roman" w:hAnsi="Times New Roman" w:cs="Times New Roman"/>
          <w:color w:val="FF0000"/>
          <w:sz w:val="32"/>
          <w:szCs w:val="32"/>
          <w:vertAlign w:val="subscript"/>
        </w:rPr>
        <w:t>RWMGTX.COM</w:t>
      </w:r>
    </w:p>
    <w:p w14:paraId="2B76BAAB" w14:textId="77777777" w:rsidR="001240F1" w:rsidRDefault="001240F1">
      <w:pPr>
        <w:rPr>
          <w:rFonts w:ascii="Times New Roman" w:eastAsia="Times New Roman" w:hAnsi="Times New Roman" w:cs="Times New Roman"/>
          <w:vertAlign w:val="subscript"/>
        </w:rPr>
      </w:pPr>
    </w:p>
    <w:p w14:paraId="3A7AFBC0" w14:textId="77777777" w:rsidR="001240F1" w:rsidRDefault="001240F1">
      <w:pPr>
        <w:rPr>
          <w:color w:val="000000"/>
        </w:rPr>
      </w:pPr>
    </w:p>
    <w:p w14:paraId="38BF8F13" w14:textId="77777777" w:rsidR="004A397C" w:rsidRDefault="00000000">
      <w:pPr>
        <w:rPr>
          <w:rFonts w:ascii="Times New Roman" w:eastAsia="Times New Roman" w:hAnsi="Times New Roman" w:cs="Times New Roman"/>
        </w:rPr>
      </w:pPr>
      <w:r>
        <w:t>This guide will explore how tax filing may look different this tax year and what you can do to prepare. Remember that this guide is for informational purposes only and is not a replacement for real-life advice, so consult your tax, legal, and accounting professionals before modifying your strategy</w:t>
      </w:r>
      <w:r>
        <w:rPr>
          <w:color w:val="000000"/>
        </w:rPr>
        <w:t>. </w:t>
      </w:r>
    </w:p>
    <w:p w14:paraId="27E0A824" w14:textId="77777777" w:rsidR="004A397C" w:rsidRDefault="004A397C">
      <w:pPr>
        <w:rPr>
          <w:rFonts w:ascii="Times New Roman" w:eastAsia="Times New Roman" w:hAnsi="Times New Roman" w:cs="Times New Roman"/>
        </w:rPr>
      </w:pPr>
    </w:p>
    <w:p w14:paraId="709F378E" w14:textId="77777777" w:rsidR="004A397C" w:rsidRDefault="00000000">
      <w:pPr>
        <w:ind w:right="490"/>
        <w:jc w:val="both"/>
        <w:rPr>
          <w:rFonts w:ascii="Times New Roman" w:eastAsia="Times New Roman" w:hAnsi="Times New Roman" w:cs="Times New Roman"/>
          <w:b/>
          <w:color w:val="6E78D4"/>
          <w:sz w:val="48"/>
          <w:szCs w:val="48"/>
        </w:rPr>
      </w:pPr>
      <w:r>
        <w:rPr>
          <w:b/>
          <w:color w:val="6E78D4"/>
        </w:rPr>
        <w:t>The Tax Brackets</w:t>
      </w:r>
    </w:p>
    <w:p w14:paraId="2723318E" w14:textId="77777777" w:rsidR="004A397C" w:rsidRDefault="00000000">
      <w:pPr>
        <w:ind w:right="490"/>
        <w:jc w:val="both"/>
        <w:rPr>
          <w:rFonts w:ascii="Times New Roman" w:eastAsia="Times New Roman" w:hAnsi="Times New Roman" w:cs="Times New Roman"/>
        </w:rPr>
      </w:pPr>
      <w:r>
        <w:rPr>
          <w:color w:val="231F20"/>
        </w:rPr>
        <w:t>The tax brackets are: 10, 12, 22, 24, 32, 35, and 37 percent. Here are the tax brackets and the corresponding income ranges:</w:t>
      </w:r>
      <w:proofErr w:type="gramStart"/>
      <w:r>
        <w:rPr>
          <w:color w:val="231F20"/>
          <w:vertAlign w:val="superscript"/>
        </w:rPr>
        <w:t>1</w:t>
      </w:r>
      <w:proofErr w:type="gramEnd"/>
    </w:p>
    <w:tbl>
      <w:tblPr>
        <w:tblStyle w:val="a"/>
        <w:tblW w:w="7239" w:type="dxa"/>
        <w:tblLayout w:type="fixed"/>
        <w:tblLook w:val="0400" w:firstRow="0" w:lastRow="0" w:firstColumn="0" w:lastColumn="0" w:noHBand="0" w:noVBand="1"/>
      </w:tblPr>
      <w:tblGrid>
        <w:gridCol w:w="1921"/>
        <w:gridCol w:w="2659"/>
        <w:gridCol w:w="2659"/>
      </w:tblGrid>
      <w:tr w:rsidR="004A397C" w14:paraId="3B706D52" w14:textId="77777777">
        <w:trPr>
          <w:trHeight w:val="823"/>
        </w:trPr>
        <w:tc>
          <w:tcPr>
            <w:tcW w:w="1921" w:type="dxa"/>
          </w:tcPr>
          <w:p w14:paraId="0C30EEE1" w14:textId="77777777" w:rsidR="004A397C" w:rsidRDefault="004A397C">
            <w:pPr>
              <w:spacing w:after="240"/>
              <w:rPr>
                <w:rFonts w:ascii="Times New Roman" w:eastAsia="Times New Roman" w:hAnsi="Times New Roman" w:cs="Times New Roman"/>
              </w:rPr>
            </w:pPr>
          </w:p>
          <w:p w14:paraId="4C48DC7E" w14:textId="77777777" w:rsidR="004A397C" w:rsidRDefault="00000000">
            <w:pPr>
              <w:ind w:right="490"/>
              <w:jc w:val="both"/>
              <w:rPr>
                <w:rFonts w:ascii="Times New Roman" w:eastAsia="Times New Roman" w:hAnsi="Times New Roman" w:cs="Times New Roman"/>
              </w:rPr>
            </w:pPr>
            <w:r>
              <w:rPr>
                <w:b/>
                <w:color w:val="6E78D4"/>
              </w:rPr>
              <w:t>2023 Tax Rate</w:t>
            </w:r>
          </w:p>
        </w:tc>
        <w:tc>
          <w:tcPr>
            <w:tcW w:w="2659" w:type="dxa"/>
          </w:tcPr>
          <w:p w14:paraId="223FB4CD" w14:textId="77777777" w:rsidR="004A397C" w:rsidRDefault="004A397C">
            <w:pPr>
              <w:spacing w:after="240"/>
              <w:rPr>
                <w:rFonts w:ascii="Times New Roman" w:eastAsia="Times New Roman" w:hAnsi="Times New Roman" w:cs="Times New Roman"/>
              </w:rPr>
            </w:pPr>
          </w:p>
          <w:p w14:paraId="0107ECF3" w14:textId="77777777" w:rsidR="004A397C" w:rsidRDefault="00000000">
            <w:pPr>
              <w:ind w:left="50" w:right="490"/>
              <w:rPr>
                <w:rFonts w:ascii="Times New Roman" w:eastAsia="Times New Roman" w:hAnsi="Times New Roman" w:cs="Times New Roman"/>
              </w:rPr>
            </w:pPr>
            <w:r>
              <w:rPr>
                <w:b/>
                <w:color w:val="6E78D4"/>
              </w:rPr>
              <w:t>Single</w:t>
            </w:r>
          </w:p>
        </w:tc>
        <w:tc>
          <w:tcPr>
            <w:tcW w:w="2659" w:type="dxa"/>
          </w:tcPr>
          <w:p w14:paraId="2819DCE7" w14:textId="77777777" w:rsidR="004A397C" w:rsidRDefault="004A397C">
            <w:pPr>
              <w:spacing w:after="240"/>
              <w:rPr>
                <w:rFonts w:ascii="Times New Roman" w:eastAsia="Times New Roman" w:hAnsi="Times New Roman" w:cs="Times New Roman"/>
                <w:color w:val="6E78D4"/>
              </w:rPr>
            </w:pPr>
          </w:p>
          <w:p w14:paraId="033C4D5C" w14:textId="77777777" w:rsidR="004A397C" w:rsidRDefault="00000000">
            <w:pPr>
              <w:ind w:right="490"/>
              <w:jc w:val="both"/>
              <w:rPr>
                <w:rFonts w:ascii="Times New Roman" w:eastAsia="Times New Roman" w:hAnsi="Times New Roman" w:cs="Times New Roman"/>
                <w:color w:val="6E78D4"/>
              </w:rPr>
            </w:pPr>
            <w:r>
              <w:rPr>
                <w:b/>
                <w:color w:val="6E78D4"/>
              </w:rPr>
              <w:t>Married Filing Jointly</w:t>
            </w:r>
          </w:p>
        </w:tc>
      </w:tr>
      <w:tr w:rsidR="004A397C" w14:paraId="36B18D36" w14:textId="77777777">
        <w:trPr>
          <w:trHeight w:val="334"/>
        </w:trPr>
        <w:tc>
          <w:tcPr>
            <w:tcW w:w="1921" w:type="dxa"/>
          </w:tcPr>
          <w:p w14:paraId="631EA909" w14:textId="77777777" w:rsidR="004A397C" w:rsidRDefault="00000000">
            <w:pPr>
              <w:ind w:left="50" w:right="490"/>
              <w:rPr>
                <w:rFonts w:ascii="Times New Roman" w:eastAsia="Times New Roman" w:hAnsi="Times New Roman" w:cs="Times New Roman"/>
              </w:rPr>
            </w:pPr>
            <w:r>
              <w:rPr>
                <w:color w:val="231F20"/>
              </w:rPr>
              <w:t>10%</w:t>
            </w:r>
          </w:p>
        </w:tc>
        <w:tc>
          <w:tcPr>
            <w:tcW w:w="2659" w:type="dxa"/>
          </w:tcPr>
          <w:p w14:paraId="2A47A6F2" w14:textId="77777777" w:rsidR="004A397C" w:rsidRDefault="00000000">
            <w:pPr>
              <w:ind w:right="490"/>
              <w:rPr>
                <w:rFonts w:ascii="Times New Roman" w:eastAsia="Times New Roman" w:hAnsi="Times New Roman" w:cs="Times New Roman"/>
              </w:rPr>
            </w:pPr>
            <w:r>
              <w:rPr>
                <w:color w:val="000000"/>
              </w:rPr>
              <w:t>$0 to $11,000</w:t>
            </w:r>
          </w:p>
        </w:tc>
        <w:tc>
          <w:tcPr>
            <w:tcW w:w="2659" w:type="dxa"/>
          </w:tcPr>
          <w:p w14:paraId="19DC623D" w14:textId="77777777" w:rsidR="004A397C" w:rsidRDefault="00000000">
            <w:pPr>
              <w:ind w:right="490"/>
              <w:rPr>
                <w:rFonts w:ascii="Times New Roman" w:eastAsia="Times New Roman" w:hAnsi="Times New Roman" w:cs="Times New Roman"/>
              </w:rPr>
            </w:pPr>
            <w:r>
              <w:rPr>
                <w:color w:val="000000"/>
              </w:rPr>
              <w:t>$0 to $22,000</w:t>
            </w:r>
          </w:p>
        </w:tc>
      </w:tr>
      <w:tr w:rsidR="004A397C" w14:paraId="01004191" w14:textId="77777777">
        <w:trPr>
          <w:trHeight w:val="355"/>
        </w:trPr>
        <w:tc>
          <w:tcPr>
            <w:tcW w:w="1921" w:type="dxa"/>
          </w:tcPr>
          <w:p w14:paraId="54831C4B" w14:textId="77777777" w:rsidR="004A397C" w:rsidRDefault="00000000">
            <w:pPr>
              <w:ind w:left="50" w:right="490"/>
              <w:rPr>
                <w:rFonts w:ascii="Times New Roman" w:eastAsia="Times New Roman" w:hAnsi="Times New Roman" w:cs="Times New Roman"/>
              </w:rPr>
            </w:pPr>
            <w:r>
              <w:rPr>
                <w:color w:val="231F20"/>
              </w:rPr>
              <w:t>12%</w:t>
            </w:r>
          </w:p>
        </w:tc>
        <w:tc>
          <w:tcPr>
            <w:tcW w:w="2659" w:type="dxa"/>
          </w:tcPr>
          <w:p w14:paraId="44E1549E" w14:textId="77777777" w:rsidR="004A397C" w:rsidRDefault="00000000">
            <w:pPr>
              <w:ind w:right="490"/>
              <w:rPr>
                <w:rFonts w:ascii="Times New Roman" w:eastAsia="Times New Roman" w:hAnsi="Times New Roman" w:cs="Times New Roman"/>
              </w:rPr>
            </w:pPr>
            <w:r>
              <w:rPr>
                <w:color w:val="000000"/>
              </w:rPr>
              <w:t>$11,001 to $44,725</w:t>
            </w:r>
          </w:p>
        </w:tc>
        <w:tc>
          <w:tcPr>
            <w:tcW w:w="2659" w:type="dxa"/>
          </w:tcPr>
          <w:p w14:paraId="13781668" w14:textId="77777777" w:rsidR="004A397C" w:rsidRDefault="00000000">
            <w:pPr>
              <w:ind w:right="490"/>
              <w:rPr>
                <w:rFonts w:ascii="Times New Roman" w:eastAsia="Times New Roman" w:hAnsi="Times New Roman" w:cs="Times New Roman"/>
              </w:rPr>
            </w:pPr>
            <w:r>
              <w:rPr>
                <w:color w:val="000000"/>
              </w:rPr>
              <w:t>$22,001 to $89,450</w:t>
            </w:r>
          </w:p>
        </w:tc>
      </w:tr>
      <w:tr w:rsidR="004A397C" w14:paraId="51733EB1" w14:textId="77777777">
        <w:trPr>
          <w:trHeight w:val="355"/>
        </w:trPr>
        <w:tc>
          <w:tcPr>
            <w:tcW w:w="1921" w:type="dxa"/>
          </w:tcPr>
          <w:p w14:paraId="01E00A7B" w14:textId="77777777" w:rsidR="004A397C" w:rsidRDefault="00000000">
            <w:pPr>
              <w:ind w:left="50" w:right="490"/>
              <w:rPr>
                <w:rFonts w:ascii="Times New Roman" w:eastAsia="Times New Roman" w:hAnsi="Times New Roman" w:cs="Times New Roman"/>
              </w:rPr>
            </w:pPr>
            <w:r>
              <w:rPr>
                <w:color w:val="231F20"/>
              </w:rPr>
              <w:t>22%</w:t>
            </w:r>
          </w:p>
        </w:tc>
        <w:tc>
          <w:tcPr>
            <w:tcW w:w="2659" w:type="dxa"/>
          </w:tcPr>
          <w:p w14:paraId="0AFECA02" w14:textId="77777777" w:rsidR="004A397C" w:rsidRDefault="00000000">
            <w:pPr>
              <w:ind w:right="490"/>
              <w:rPr>
                <w:rFonts w:ascii="Times New Roman" w:eastAsia="Times New Roman" w:hAnsi="Times New Roman" w:cs="Times New Roman"/>
              </w:rPr>
            </w:pPr>
            <w:r>
              <w:rPr>
                <w:color w:val="000000"/>
              </w:rPr>
              <w:t>$4,726 to $95,375</w:t>
            </w:r>
          </w:p>
        </w:tc>
        <w:tc>
          <w:tcPr>
            <w:tcW w:w="2659" w:type="dxa"/>
          </w:tcPr>
          <w:p w14:paraId="6B986BFA" w14:textId="77777777" w:rsidR="004A397C" w:rsidRDefault="00000000">
            <w:pPr>
              <w:ind w:right="490"/>
              <w:rPr>
                <w:rFonts w:ascii="Times New Roman" w:eastAsia="Times New Roman" w:hAnsi="Times New Roman" w:cs="Times New Roman"/>
              </w:rPr>
            </w:pPr>
            <w:r>
              <w:rPr>
                <w:color w:val="000000"/>
              </w:rPr>
              <w:t>$89,451 to $190,750</w:t>
            </w:r>
          </w:p>
        </w:tc>
      </w:tr>
      <w:tr w:rsidR="004A397C" w14:paraId="5DDAC540" w14:textId="77777777">
        <w:trPr>
          <w:trHeight w:val="355"/>
        </w:trPr>
        <w:tc>
          <w:tcPr>
            <w:tcW w:w="1921" w:type="dxa"/>
          </w:tcPr>
          <w:p w14:paraId="4D38EA2F" w14:textId="77777777" w:rsidR="004A397C" w:rsidRDefault="00000000">
            <w:pPr>
              <w:ind w:left="50" w:right="490"/>
              <w:rPr>
                <w:rFonts w:ascii="Times New Roman" w:eastAsia="Times New Roman" w:hAnsi="Times New Roman" w:cs="Times New Roman"/>
              </w:rPr>
            </w:pPr>
            <w:r>
              <w:rPr>
                <w:color w:val="231F20"/>
              </w:rPr>
              <w:t>24%</w:t>
            </w:r>
          </w:p>
        </w:tc>
        <w:tc>
          <w:tcPr>
            <w:tcW w:w="2659" w:type="dxa"/>
          </w:tcPr>
          <w:p w14:paraId="1B7CFDC5" w14:textId="77777777" w:rsidR="004A397C" w:rsidRDefault="00000000">
            <w:pPr>
              <w:ind w:right="490"/>
              <w:rPr>
                <w:rFonts w:ascii="Times New Roman" w:eastAsia="Times New Roman" w:hAnsi="Times New Roman" w:cs="Times New Roman"/>
              </w:rPr>
            </w:pPr>
            <w:r>
              <w:rPr>
                <w:color w:val="000000"/>
              </w:rPr>
              <w:t>$95,376 to $182,100</w:t>
            </w:r>
          </w:p>
        </w:tc>
        <w:tc>
          <w:tcPr>
            <w:tcW w:w="2659" w:type="dxa"/>
          </w:tcPr>
          <w:p w14:paraId="2520293D" w14:textId="77777777" w:rsidR="004A397C" w:rsidRDefault="00000000">
            <w:pPr>
              <w:ind w:right="490"/>
              <w:rPr>
                <w:rFonts w:ascii="Times New Roman" w:eastAsia="Times New Roman" w:hAnsi="Times New Roman" w:cs="Times New Roman"/>
              </w:rPr>
            </w:pPr>
            <w:r>
              <w:rPr>
                <w:color w:val="000000"/>
              </w:rPr>
              <w:t>$190,751 to $364,200</w:t>
            </w:r>
          </w:p>
        </w:tc>
      </w:tr>
      <w:tr w:rsidR="004A397C" w14:paraId="69EEA447" w14:textId="77777777">
        <w:trPr>
          <w:trHeight w:val="355"/>
        </w:trPr>
        <w:tc>
          <w:tcPr>
            <w:tcW w:w="1921" w:type="dxa"/>
          </w:tcPr>
          <w:p w14:paraId="2CCE1C04" w14:textId="77777777" w:rsidR="004A397C" w:rsidRDefault="00000000">
            <w:pPr>
              <w:ind w:left="50" w:right="490"/>
              <w:rPr>
                <w:rFonts w:ascii="Times New Roman" w:eastAsia="Times New Roman" w:hAnsi="Times New Roman" w:cs="Times New Roman"/>
              </w:rPr>
            </w:pPr>
            <w:r>
              <w:rPr>
                <w:color w:val="231F20"/>
              </w:rPr>
              <w:t>32%</w:t>
            </w:r>
          </w:p>
        </w:tc>
        <w:tc>
          <w:tcPr>
            <w:tcW w:w="2659" w:type="dxa"/>
          </w:tcPr>
          <w:p w14:paraId="7A159147" w14:textId="77777777" w:rsidR="004A397C" w:rsidRDefault="00000000">
            <w:pPr>
              <w:ind w:right="490"/>
              <w:rPr>
                <w:rFonts w:ascii="Times New Roman" w:eastAsia="Times New Roman" w:hAnsi="Times New Roman" w:cs="Times New Roman"/>
              </w:rPr>
            </w:pPr>
            <w:r>
              <w:rPr>
                <w:color w:val="000000"/>
              </w:rPr>
              <w:t>$182,101 to $231,250</w:t>
            </w:r>
          </w:p>
        </w:tc>
        <w:tc>
          <w:tcPr>
            <w:tcW w:w="2659" w:type="dxa"/>
          </w:tcPr>
          <w:p w14:paraId="28734A1B" w14:textId="77777777" w:rsidR="004A397C" w:rsidRDefault="00000000">
            <w:pPr>
              <w:ind w:right="490"/>
              <w:rPr>
                <w:rFonts w:ascii="Times New Roman" w:eastAsia="Times New Roman" w:hAnsi="Times New Roman" w:cs="Times New Roman"/>
              </w:rPr>
            </w:pPr>
            <w:r>
              <w:rPr>
                <w:color w:val="000000"/>
              </w:rPr>
              <w:t>$364,201 to $462,500</w:t>
            </w:r>
          </w:p>
        </w:tc>
      </w:tr>
      <w:tr w:rsidR="004A397C" w14:paraId="4DCC180F" w14:textId="77777777">
        <w:trPr>
          <w:trHeight w:val="355"/>
        </w:trPr>
        <w:tc>
          <w:tcPr>
            <w:tcW w:w="1921" w:type="dxa"/>
          </w:tcPr>
          <w:p w14:paraId="03213A06" w14:textId="77777777" w:rsidR="004A397C" w:rsidRDefault="00000000">
            <w:pPr>
              <w:ind w:left="50" w:right="490"/>
              <w:rPr>
                <w:rFonts w:ascii="Times New Roman" w:eastAsia="Times New Roman" w:hAnsi="Times New Roman" w:cs="Times New Roman"/>
              </w:rPr>
            </w:pPr>
            <w:r>
              <w:rPr>
                <w:color w:val="231F20"/>
              </w:rPr>
              <w:t>35%</w:t>
            </w:r>
          </w:p>
        </w:tc>
        <w:tc>
          <w:tcPr>
            <w:tcW w:w="2659" w:type="dxa"/>
          </w:tcPr>
          <w:p w14:paraId="2CBB9FD1" w14:textId="77777777" w:rsidR="004A397C" w:rsidRDefault="00000000">
            <w:pPr>
              <w:ind w:right="490"/>
              <w:rPr>
                <w:rFonts w:ascii="Times New Roman" w:eastAsia="Times New Roman" w:hAnsi="Times New Roman" w:cs="Times New Roman"/>
              </w:rPr>
            </w:pPr>
            <w:r>
              <w:rPr>
                <w:color w:val="000000"/>
              </w:rPr>
              <w:t>$231,251 to $578,125</w:t>
            </w:r>
          </w:p>
        </w:tc>
        <w:tc>
          <w:tcPr>
            <w:tcW w:w="2659" w:type="dxa"/>
          </w:tcPr>
          <w:p w14:paraId="34EEF224" w14:textId="77777777" w:rsidR="004A397C" w:rsidRDefault="00000000">
            <w:pPr>
              <w:ind w:right="490"/>
              <w:rPr>
                <w:rFonts w:ascii="Times New Roman" w:eastAsia="Times New Roman" w:hAnsi="Times New Roman" w:cs="Times New Roman"/>
              </w:rPr>
            </w:pPr>
            <w:r>
              <w:rPr>
                <w:color w:val="000000"/>
              </w:rPr>
              <w:t>$462,501 to $693,750</w:t>
            </w:r>
          </w:p>
        </w:tc>
      </w:tr>
      <w:tr w:rsidR="004A397C" w14:paraId="0FFAF988" w14:textId="77777777">
        <w:trPr>
          <w:trHeight w:val="303"/>
        </w:trPr>
        <w:tc>
          <w:tcPr>
            <w:tcW w:w="1921" w:type="dxa"/>
          </w:tcPr>
          <w:p w14:paraId="29C3CE25" w14:textId="77777777" w:rsidR="004A397C" w:rsidRDefault="00000000">
            <w:pPr>
              <w:ind w:left="50" w:right="490"/>
              <w:rPr>
                <w:rFonts w:ascii="Times New Roman" w:eastAsia="Times New Roman" w:hAnsi="Times New Roman" w:cs="Times New Roman"/>
              </w:rPr>
            </w:pPr>
            <w:r>
              <w:rPr>
                <w:color w:val="231F20"/>
              </w:rPr>
              <w:t>37%</w:t>
            </w:r>
          </w:p>
        </w:tc>
        <w:tc>
          <w:tcPr>
            <w:tcW w:w="2659" w:type="dxa"/>
          </w:tcPr>
          <w:p w14:paraId="57C81AFC" w14:textId="77777777" w:rsidR="004A397C" w:rsidRDefault="00000000">
            <w:pPr>
              <w:ind w:right="490"/>
              <w:rPr>
                <w:rFonts w:ascii="Times New Roman" w:eastAsia="Times New Roman" w:hAnsi="Times New Roman" w:cs="Times New Roman"/>
              </w:rPr>
            </w:pPr>
            <w:r>
              <w:rPr>
                <w:color w:val="000000"/>
              </w:rPr>
              <w:t>$578,126+</w:t>
            </w:r>
          </w:p>
        </w:tc>
        <w:tc>
          <w:tcPr>
            <w:tcW w:w="2659" w:type="dxa"/>
          </w:tcPr>
          <w:p w14:paraId="32C02292" w14:textId="77777777" w:rsidR="004A397C" w:rsidRDefault="00000000">
            <w:pPr>
              <w:ind w:right="490"/>
              <w:rPr>
                <w:rFonts w:ascii="Times New Roman" w:eastAsia="Times New Roman" w:hAnsi="Times New Roman" w:cs="Times New Roman"/>
              </w:rPr>
            </w:pPr>
            <w:r>
              <w:rPr>
                <w:color w:val="000000"/>
              </w:rPr>
              <w:t>$693,751+</w:t>
            </w:r>
          </w:p>
        </w:tc>
      </w:tr>
    </w:tbl>
    <w:p w14:paraId="2A439C9E" w14:textId="77777777" w:rsidR="004A397C" w:rsidRDefault="004A397C">
      <w:pPr>
        <w:spacing w:after="240"/>
        <w:rPr>
          <w:rFonts w:ascii="Times New Roman" w:eastAsia="Times New Roman" w:hAnsi="Times New Roman" w:cs="Times New Roman"/>
        </w:rPr>
      </w:pPr>
    </w:p>
    <w:p w14:paraId="7EDC1470" w14:textId="77777777" w:rsidR="004A397C" w:rsidRDefault="00000000">
      <w:pPr>
        <w:rPr>
          <w:rFonts w:ascii="Times New Roman" w:eastAsia="Times New Roman" w:hAnsi="Times New Roman" w:cs="Times New Roman"/>
        </w:rPr>
      </w:pPr>
      <w:r>
        <w:t>These modest changes to the tax brackets also mean that wage earners may fall into lower brackets this tax year. Here is one example: A single filer at $95,000 in taxable income would have fallen into the 24 percent bracket for tax year 2022. The filer would now be in the 22 percent tax bracket for 2023. These new rates will likely expire in 2025 unless Congress acts to make them permanent. Exemptions also changed under the new tax code</w:t>
      </w:r>
      <w:r>
        <w:rPr>
          <w:color w:val="000000"/>
        </w:rPr>
        <w:t>.</w:t>
      </w:r>
    </w:p>
    <w:p w14:paraId="5C0911FC" w14:textId="77777777" w:rsidR="004A397C" w:rsidRDefault="004A397C">
      <w:pPr>
        <w:rPr>
          <w:color w:val="000000"/>
        </w:rPr>
      </w:pPr>
    </w:p>
    <w:p w14:paraId="6303CFC7" w14:textId="77777777" w:rsidR="004A397C" w:rsidRDefault="00000000">
      <w:pPr>
        <w:rPr>
          <w:color w:val="000000"/>
        </w:rPr>
      </w:pPr>
      <w:r>
        <w:t xml:space="preserve">Remember that the tax brackets represent how much you will pay for each portion of your income. For example, if you make $125,000 for the 2023 tax year and are married filing jointly, you </w:t>
      </w:r>
      <w:proofErr w:type="gramStart"/>
      <w:r>
        <w:t>would</w:t>
      </w:r>
      <w:proofErr w:type="gramEnd"/>
      <w:r>
        <w:t xml:space="preserve"> pay 10 percent on the first $22,000, 12 percent on the next $67,450, and 22 percent on the final $35,550. You would not pay 22 percent for the entire $125,000 of your annual income</w:t>
      </w:r>
      <w:r>
        <w:rPr>
          <w:color w:val="000000"/>
        </w:rPr>
        <w:t>.</w:t>
      </w:r>
    </w:p>
    <w:p w14:paraId="24470054" w14:textId="77777777" w:rsidR="004A397C" w:rsidRDefault="004A397C">
      <w:pPr>
        <w:rPr>
          <w:rFonts w:ascii="Times New Roman" w:eastAsia="Times New Roman" w:hAnsi="Times New Roman" w:cs="Times New Roman"/>
        </w:rPr>
      </w:pPr>
    </w:p>
    <w:p w14:paraId="52E453BB" w14:textId="77777777" w:rsidR="004A397C" w:rsidRDefault="00000000">
      <w:pPr>
        <w:rPr>
          <w:rFonts w:ascii="Times New Roman" w:eastAsia="Times New Roman" w:hAnsi="Times New Roman" w:cs="Times New Roman"/>
        </w:rPr>
      </w:pPr>
      <w:r>
        <w:rPr>
          <w:color w:val="000000"/>
        </w:rPr>
        <w:t>Here is an overview of the standard deductions over the past two years:</w:t>
      </w:r>
      <w:proofErr w:type="gramStart"/>
      <w:r>
        <w:rPr>
          <w:color w:val="000000"/>
          <w:vertAlign w:val="superscript"/>
        </w:rPr>
        <w:t>1</w:t>
      </w:r>
      <w:proofErr w:type="gramEnd"/>
    </w:p>
    <w:p w14:paraId="1C6D1623" w14:textId="77777777" w:rsidR="004A397C" w:rsidRDefault="004A397C">
      <w:pPr>
        <w:rPr>
          <w:rFonts w:ascii="Times New Roman" w:eastAsia="Times New Roman" w:hAnsi="Times New Roman" w:cs="Times New Roman"/>
        </w:rPr>
      </w:pPr>
    </w:p>
    <w:tbl>
      <w:tblPr>
        <w:tblStyle w:val="a0"/>
        <w:tblW w:w="5581" w:type="dxa"/>
        <w:tblLayout w:type="fixed"/>
        <w:tblLook w:val="0400" w:firstRow="0" w:lastRow="0" w:firstColumn="0" w:lastColumn="0" w:noHBand="0" w:noVBand="1"/>
      </w:tblPr>
      <w:tblGrid>
        <w:gridCol w:w="2961"/>
        <w:gridCol w:w="1310"/>
        <w:gridCol w:w="1310"/>
      </w:tblGrid>
      <w:tr w:rsidR="004A397C" w14:paraId="4D9CF6FD" w14:textId="77777777">
        <w:trPr>
          <w:trHeight w:val="368"/>
        </w:trPr>
        <w:tc>
          <w:tcPr>
            <w:tcW w:w="2961" w:type="dxa"/>
          </w:tcPr>
          <w:p w14:paraId="1FF6F118" w14:textId="77777777" w:rsidR="004A397C" w:rsidRDefault="00000000">
            <w:pPr>
              <w:ind w:left="50" w:right="490"/>
              <w:rPr>
                <w:rFonts w:ascii="Times New Roman" w:eastAsia="Times New Roman" w:hAnsi="Times New Roman" w:cs="Times New Roman"/>
                <w:color w:val="6E78D4"/>
              </w:rPr>
            </w:pPr>
            <w:r>
              <w:rPr>
                <w:b/>
                <w:color w:val="6E78D4"/>
              </w:rPr>
              <w:t>Tax Year</w:t>
            </w:r>
          </w:p>
        </w:tc>
        <w:tc>
          <w:tcPr>
            <w:tcW w:w="1310" w:type="dxa"/>
          </w:tcPr>
          <w:p w14:paraId="5F8BD7EB" w14:textId="77777777" w:rsidR="004A397C" w:rsidRDefault="00000000">
            <w:pPr>
              <w:ind w:left="50" w:right="490"/>
              <w:rPr>
                <w:rFonts w:ascii="Times New Roman" w:eastAsia="Times New Roman" w:hAnsi="Times New Roman" w:cs="Times New Roman"/>
              </w:rPr>
            </w:pPr>
            <w:r>
              <w:rPr>
                <w:b/>
                <w:color w:val="6E78D4"/>
              </w:rPr>
              <w:t>2022</w:t>
            </w:r>
          </w:p>
        </w:tc>
        <w:tc>
          <w:tcPr>
            <w:tcW w:w="1310" w:type="dxa"/>
          </w:tcPr>
          <w:p w14:paraId="12E7470A" w14:textId="77777777" w:rsidR="004A397C" w:rsidRDefault="00000000">
            <w:pPr>
              <w:ind w:left="50" w:right="490"/>
              <w:rPr>
                <w:rFonts w:ascii="Times New Roman" w:eastAsia="Times New Roman" w:hAnsi="Times New Roman" w:cs="Times New Roman"/>
              </w:rPr>
            </w:pPr>
            <w:r>
              <w:rPr>
                <w:b/>
                <w:color w:val="6E78D4"/>
              </w:rPr>
              <w:t>2023</w:t>
            </w:r>
          </w:p>
        </w:tc>
      </w:tr>
      <w:tr w:rsidR="004A397C" w14:paraId="238D1B81" w14:textId="77777777">
        <w:trPr>
          <w:trHeight w:val="290"/>
        </w:trPr>
        <w:tc>
          <w:tcPr>
            <w:tcW w:w="2961" w:type="dxa"/>
          </w:tcPr>
          <w:p w14:paraId="19BC3622" w14:textId="77777777" w:rsidR="004A397C" w:rsidRDefault="00000000">
            <w:pPr>
              <w:ind w:left="50" w:right="490"/>
              <w:rPr>
                <w:rFonts w:ascii="Times New Roman" w:eastAsia="Times New Roman" w:hAnsi="Times New Roman" w:cs="Times New Roman"/>
              </w:rPr>
            </w:pPr>
            <w:r>
              <w:rPr>
                <w:color w:val="231F20"/>
              </w:rPr>
              <w:t>Single</w:t>
            </w:r>
          </w:p>
        </w:tc>
        <w:tc>
          <w:tcPr>
            <w:tcW w:w="1310" w:type="dxa"/>
          </w:tcPr>
          <w:p w14:paraId="6475713E" w14:textId="77777777" w:rsidR="004A397C" w:rsidRDefault="00000000">
            <w:pPr>
              <w:ind w:right="490"/>
              <w:rPr>
                <w:rFonts w:ascii="Times New Roman" w:eastAsia="Times New Roman" w:hAnsi="Times New Roman" w:cs="Times New Roman"/>
              </w:rPr>
            </w:pPr>
            <w:r>
              <w:rPr>
                <w:color w:val="000000"/>
              </w:rPr>
              <w:t>$12,950</w:t>
            </w:r>
          </w:p>
        </w:tc>
        <w:tc>
          <w:tcPr>
            <w:tcW w:w="1310" w:type="dxa"/>
          </w:tcPr>
          <w:p w14:paraId="08864EE3" w14:textId="77777777" w:rsidR="004A397C" w:rsidRDefault="00000000">
            <w:pPr>
              <w:ind w:right="490"/>
              <w:rPr>
                <w:rFonts w:ascii="Times New Roman" w:eastAsia="Times New Roman" w:hAnsi="Times New Roman" w:cs="Times New Roman"/>
              </w:rPr>
            </w:pPr>
            <w:r>
              <w:rPr>
                <w:color w:val="000000"/>
              </w:rPr>
              <w:t>$13,850</w:t>
            </w:r>
          </w:p>
        </w:tc>
      </w:tr>
      <w:tr w:rsidR="004A397C" w14:paraId="6576AD0E" w14:textId="77777777">
        <w:trPr>
          <w:trHeight w:val="308"/>
        </w:trPr>
        <w:tc>
          <w:tcPr>
            <w:tcW w:w="2961" w:type="dxa"/>
          </w:tcPr>
          <w:p w14:paraId="7764F0D0" w14:textId="77777777" w:rsidR="004A397C" w:rsidRDefault="00000000">
            <w:pPr>
              <w:ind w:left="50" w:right="490"/>
              <w:rPr>
                <w:rFonts w:ascii="Times New Roman" w:eastAsia="Times New Roman" w:hAnsi="Times New Roman" w:cs="Times New Roman"/>
              </w:rPr>
            </w:pPr>
            <w:r>
              <w:rPr>
                <w:color w:val="231F20"/>
              </w:rPr>
              <w:t>Married filing jointly</w:t>
            </w:r>
          </w:p>
        </w:tc>
        <w:tc>
          <w:tcPr>
            <w:tcW w:w="1310" w:type="dxa"/>
          </w:tcPr>
          <w:p w14:paraId="76774A4E" w14:textId="77777777" w:rsidR="004A397C" w:rsidRDefault="00000000">
            <w:pPr>
              <w:ind w:right="490"/>
              <w:rPr>
                <w:rFonts w:ascii="Times New Roman" w:eastAsia="Times New Roman" w:hAnsi="Times New Roman" w:cs="Times New Roman"/>
              </w:rPr>
            </w:pPr>
            <w:r>
              <w:rPr>
                <w:color w:val="000000"/>
              </w:rPr>
              <w:t>$25,900</w:t>
            </w:r>
          </w:p>
        </w:tc>
        <w:tc>
          <w:tcPr>
            <w:tcW w:w="1310" w:type="dxa"/>
          </w:tcPr>
          <w:p w14:paraId="596A7E28" w14:textId="77777777" w:rsidR="004A397C" w:rsidRDefault="00000000">
            <w:pPr>
              <w:ind w:right="490"/>
              <w:rPr>
                <w:rFonts w:ascii="Times New Roman" w:eastAsia="Times New Roman" w:hAnsi="Times New Roman" w:cs="Times New Roman"/>
              </w:rPr>
            </w:pPr>
            <w:r>
              <w:rPr>
                <w:color w:val="000000"/>
              </w:rPr>
              <w:t>$27,700</w:t>
            </w:r>
          </w:p>
        </w:tc>
      </w:tr>
      <w:tr w:rsidR="004A397C" w14:paraId="2668B795" w14:textId="77777777">
        <w:trPr>
          <w:trHeight w:val="308"/>
        </w:trPr>
        <w:tc>
          <w:tcPr>
            <w:tcW w:w="2961" w:type="dxa"/>
          </w:tcPr>
          <w:p w14:paraId="14D9DAD7" w14:textId="77777777" w:rsidR="004A397C" w:rsidRDefault="00000000">
            <w:pPr>
              <w:ind w:left="50" w:right="490"/>
              <w:rPr>
                <w:rFonts w:ascii="Times New Roman" w:eastAsia="Times New Roman" w:hAnsi="Times New Roman" w:cs="Times New Roman"/>
              </w:rPr>
            </w:pPr>
            <w:r>
              <w:rPr>
                <w:color w:val="231F20"/>
              </w:rPr>
              <w:t>Married filing separately</w:t>
            </w:r>
          </w:p>
        </w:tc>
        <w:tc>
          <w:tcPr>
            <w:tcW w:w="1310" w:type="dxa"/>
          </w:tcPr>
          <w:p w14:paraId="04AD1B0A" w14:textId="77777777" w:rsidR="004A397C" w:rsidRDefault="00000000">
            <w:pPr>
              <w:ind w:right="490"/>
              <w:rPr>
                <w:rFonts w:ascii="Times New Roman" w:eastAsia="Times New Roman" w:hAnsi="Times New Roman" w:cs="Times New Roman"/>
              </w:rPr>
            </w:pPr>
            <w:r>
              <w:rPr>
                <w:color w:val="000000"/>
              </w:rPr>
              <w:t>$12,950</w:t>
            </w:r>
          </w:p>
        </w:tc>
        <w:tc>
          <w:tcPr>
            <w:tcW w:w="1310" w:type="dxa"/>
          </w:tcPr>
          <w:p w14:paraId="7FF2F332" w14:textId="77777777" w:rsidR="004A397C" w:rsidRDefault="00000000">
            <w:pPr>
              <w:ind w:right="490"/>
              <w:rPr>
                <w:rFonts w:ascii="Times New Roman" w:eastAsia="Times New Roman" w:hAnsi="Times New Roman" w:cs="Times New Roman"/>
              </w:rPr>
            </w:pPr>
            <w:r>
              <w:rPr>
                <w:color w:val="000000"/>
              </w:rPr>
              <w:t>$13,850</w:t>
            </w:r>
          </w:p>
        </w:tc>
      </w:tr>
      <w:tr w:rsidR="004A397C" w14:paraId="0DB7C6C0" w14:textId="77777777">
        <w:trPr>
          <w:trHeight w:val="308"/>
        </w:trPr>
        <w:tc>
          <w:tcPr>
            <w:tcW w:w="2961" w:type="dxa"/>
          </w:tcPr>
          <w:p w14:paraId="1A5790B2" w14:textId="77777777" w:rsidR="004A397C" w:rsidRDefault="00000000">
            <w:pPr>
              <w:ind w:left="50" w:right="490"/>
              <w:rPr>
                <w:rFonts w:ascii="Times New Roman" w:eastAsia="Times New Roman" w:hAnsi="Times New Roman" w:cs="Times New Roman"/>
              </w:rPr>
            </w:pPr>
            <w:r>
              <w:rPr>
                <w:color w:val="231F20"/>
              </w:rPr>
              <w:t>Head of household</w:t>
            </w:r>
          </w:p>
        </w:tc>
        <w:tc>
          <w:tcPr>
            <w:tcW w:w="1310" w:type="dxa"/>
          </w:tcPr>
          <w:p w14:paraId="2C56ADAB" w14:textId="77777777" w:rsidR="004A397C" w:rsidRDefault="00000000">
            <w:pPr>
              <w:ind w:right="490"/>
              <w:rPr>
                <w:rFonts w:ascii="Times New Roman" w:eastAsia="Times New Roman" w:hAnsi="Times New Roman" w:cs="Times New Roman"/>
              </w:rPr>
            </w:pPr>
            <w:r>
              <w:rPr>
                <w:color w:val="000000"/>
              </w:rPr>
              <w:t>$19,400</w:t>
            </w:r>
          </w:p>
        </w:tc>
        <w:tc>
          <w:tcPr>
            <w:tcW w:w="1310" w:type="dxa"/>
          </w:tcPr>
          <w:p w14:paraId="14514B05" w14:textId="77777777" w:rsidR="004A397C" w:rsidRDefault="00000000">
            <w:pPr>
              <w:ind w:right="490"/>
              <w:rPr>
                <w:rFonts w:ascii="Times New Roman" w:eastAsia="Times New Roman" w:hAnsi="Times New Roman" w:cs="Times New Roman"/>
              </w:rPr>
            </w:pPr>
            <w:r>
              <w:rPr>
                <w:color w:val="000000"/>
              </w:rPr>
              <w:t>$20,800</w:t>
            </w:r>
          </w:p>
        </w:tc>
      </w:tr>
      <w:tr w:rsidR="004A397C" w14:paraId="446EB6AA" w14:textId="77777777">
        <w:trPr>
          <w:trHeight w:val="308"/>
        </w:trPr>
        <w:tc>
          <w:tcPr>
            <w:tcW w:w="2961" w:type="dxa"/>
          </w:tcPr>
          <w:p w14:paraId="5E50759C" w14:textId="77777777" w:rsidR="004A397C" w:rsidRDefault="004A397C">
            <w:pPr>
              <w:rPr>
                <w:rFonts w:ascii="Times New Roman" w:eastAsia="Times New Roman" w:hAnsi="Times New Roman" w:cs="Times New Roman"/>
              </w:rPr>
            </w:pPr>
          </w:p>
        </w:tc>
        <w:tc>
          <w:tcPr>
            <w:tcW w:w="1310" w:type="dxa"/>
          </w:tcPr>
          <w:p w14:paraId="4FBCD4E9" w14:textId="77777777" w:rsidR="004A397C" w:rsidRDefault="004A397C">
            <w:pPr>
              <w:rPr>
                <w:rFonts w:ascii="Times New Roman" w:eastAsia="Times New Roman" w:hAnsi="Times New Roman" w:cs="Times New Roman"/>
              </w:rPr>
            </w:pPr>
          </w:p>
        </w:tc>
        <w:tc>
          <w:tcPr>
            <w:tcW w:w="1310" w:type="dxa"/>
          </w:tcPr>
          <w:p w14:paraId="1A40D66C" w14:textId="77777777" w:rsidR="004A397C" w:rsidRDefault="004A397C">
            <w:pPr>
              <w:rPr>
                <w:rFonts w:ascii="Times New Roman" w:eastAsia="Times New Roman" w:hAnsi="Times New Roman" w:cs="Times New Roman"/>
              </w:rPr>
            </w:pPr>
          </w:p>
        </w:tc>
      </w:tr>
      <w:tr w:rsidR="004A397C" w14:paraId="19253C67" w14:textId="77777777">
        <w:trPr>
          <w:trHeight w:val="262"/>
        </w:trPr>
        <w:tc>
          <w:tcPr>
            <w:tcW w:w="2961" w:type="dxa"/>
          </w:tcPr>
          <w:p w14:paraId="666271E5" w14:textId="77777777" w:rsidR="004A397C" w:rsidRDefault="004A397C">
            <w:pPr>
              <w:rPr>
                <w:rFonts w:ascii="Times New Roman" w:eastAsia="Times New Roman" w:hAnsi="Times New Roman" w:cs="Times New Roman"/>
              </w:rPr>
            </w:pPr>
          </w:p>
        </w:tc>
        <w:tc>
          <w:tcPr>
            <w:tcW w:w="1310" w:type="dxa"/>
          </w:tcPr>
          <w:p w14:paraId="69B84BBC" w14:textId="77777777" w:rsidR="004A397C" w:rsidRDefault="004A397C">
            <w:pPr>
              <w:rPr>
                <w:rFonts w:ascii="Times New Roman" w:eastAsia="Times New Roman" w:hAnsi="Times New Roman" w:cs="Times New Roman"/>
              </w:rPr>
            </w:pPr>
          </w:p>
        </w:tc>
        <w:tc>
          <w:tcPr>
            <w:tcW w:w="1310" w:type="dxa"/>
          </w:tcPr>
          <w:p w14:paraId="5E3E5A90" w14:textId="77777777" w:rsidR="004A397C" w:rsidRDefault="004A397C">
            <w:pPr>
              <w:rPr>
                <w:rFonts w:ascii="Times New Roman" w:eastAsia="Times New Roman" w:hAnsi="Times New Roman" w:cs="Times New Roman"/>
              </w:rPr>
            </w:pPr>
          </w:p>
        </w:tc>
      </w:tr>
    </w:tbl>
    <w:p w14:paraId="448AF916" w14:textId="77777777" w:rsidR="004A397C" w:rsidRDefault="004A397C">
      <w:pPr>
        <w:rPr>
          <w:rFonts w:ascii="Times New Roman" w:eastAsia="Times New Roman" w:hAnsi="Times New Roman" w:cs="Times New Roman"/>
        </w:rPr>
      </w:pPr>
    </w:p>
    <w:p w14:paraId="22828747" w14:textId="77777777" w:rsidR="004A397C" w:rsidRDefault="00000000">
      <w:pPr>
        <w:jc w:val="center"/>
        <w:rPr>
          <w:rFonts w:ascii="Times New Roman" w:eastAsia="Times New Roman" w:hAnsi="Times New Roman" w:cs="Times New Roman"/>
          <w:color w:val="6E78D4"/>
        </w:rPr>
      </w:pPr>
      <w:r>
        <w:rPr>
          <w:b/>
          <w:color w:val="6E78D4"/>
        </w:rPr>
        <w:t>IMPORTANT DEADLINES*</w:t>
      </w:r>
    </w:p>
    <w:p w14:paraId="048C70CF" w14:textId="77777777" w:rsidR="004A397C" w:rsidRDefault="004A397C">
      <w:pPr>
        <w:rPr>
          <w:rFonts w:ascii="Times New Roman" w:eastAsia="Times New Roman" w:hAnsi="Times New Roman" w:cs="Times New Roman"/>
        </w:rPr>
      </w:pPr>
    </w:p>
    <w:p w14:paraId="1AD069A7" w14:textId="77777777" w:rsidR="004A397C" w:rsidRDefault="00000000">
      <w:pPr>
        <w:jc w:val="center"/>
        <w:rPr>
          <w:rFonts w:ascii="Times New Roman" w:eastAsia="Times New Roman" w:hAnsi="Times New Roman" w:cs="Times New Roman"/>
        </w:rPr>
      </w:pPr>
      <w:r>
        <w:rPr>
          <w:b/>
          <w:color w:val="000000"/>
        </w:rPr>
        <w:t>JANUARY 16, 2024</w:t>
      </w:r>
    </w:p>
    <w:p w14:paraId="4871E4D7" w14:textId="77777777" w:rsidR="004A397C" w:rsidRDefault="00000000">
      <w:pPr>
        <w:jc w:val="center"/>
        <w:rPr>
          <w:rFonts w:ascii="Times New Roman" w:eastAsia="Times New Roman" w:hAnsi="Times New Roman" w:cs="Times New Roman"/>
        </w:rPr>
      </w:pPr>
      <w:r>
        <w:rPr>
          <w:color w:val="000000"/>
        </w:rPr>
        <w:t>If you are self-employed or have other fourth-quarter income that requires you to pay quarterly estimated taxes, postmark this payment by January 16, 2024.</w:t>
      </w:r>
    </w:p>
    <w:p w14:paraId="5464D649" w14:textId="77777777" w:rsidR="004A397C" w:rsidRDefault="004A397C">
      <w:pPr>
        <w:rPr>
          <w:rFonts w:ascii="Times New Roman" w:eastAsia="Times New Roman" w:hAnsi="Times New Roman" w:cs="Times New Roman"/>
        </w:rPr>
      </w:pPr>
    </w:p>
    <w:p w14:paraId="3B7D819E" w14:textId="77777777" w:rsidR="004A397C" w:rsidRDefault="00000000">
      <w:pPr>
        <w:jc w:val="center"/>
        <w:rPr>
          <w:rFonts w:ascii="Times New Roman" w:eastAsia="Times New Roman" w:hAnsi="Times New Roman" w:cs="Times New Roman"/>
        </w:rPr>
      </w:pPr>
      <w:r>
        <w:rPr>
          <w:b/>
          <w:color w:val="000000"/>
        </w:rPr>
        <w:t>APRIL 15, 2024</w:t>
      </w:r>
    </w:p>
    <w:p w14:paraId="58E24EBB" w14:textId="77777777" w:rsidR="004A397C" w:rsidRDefault="00000000">
      <w:pPr>
        <w:jc w:val="center"/>
        <w:rPr>
          <w:rFonts w:ascii="Times New Roman" w:eastAsia="Times New Roman" w:hAnsi="Times New Roman" w:cs="Times New Roman"/>
        </w:rPr>
      </w:pPr>
      <w:r>
        <w:rPr>
          <w:color w:val="000000"/>
        </w:rPr>
        <w:t>FIRST QUARTER 2024 ESTIMATED TAX PAYMENT DUE </w:t>
      </w:r>
    </w:p>
    <w:p w14:paraId="7CF34EF2" w14:textId="77777777" w:rsidR="004A397C" w:rsidRDefault="004A397C">
      <w:pPr>
        <w:rPr>
          <w:rFonts w:ascii="Times New Roman" w:eastAsia="Times New Roman" w:hAnsi="Times New Roman" w:cs="Times New Roman"/>
        </w:rPr>
      </w:pPr>
    </w:p>
    <w:p w14:paraId="1D289327" w14:textId="77777777" w:rsidR="004A397C" w:rsidRDefault="00000000">
      <w:pPr>
        <w:jc w:val="center"/>
        <w:rPr>
          <w:rFonts w:ascii="Times New Roman" w:eastAsia="Times New Roman" w:hAnsi="Times New Roman" w:cs="Times New Roman"/>
        </w:rPr>
      </w:pPr>
      <w:r>
        <w:rPr>
          <w:color w:val="000000"/>
        </w:rPr>
        <w:t>2023 INDIVIDUAL TAX RETURNS DUE</w:t>
      </w:r>
    </w:p>
    <w:p w14:paraId="38A1EEC0" w14:textId="77777777" w:rsidR="004A397C" w:rsidRDefault="00000000">
      <w:pPr>
        <w:jc w:val="center"/>
        <w:rPr>
          <w:rFonts w:ascii="Times New Roman" w:eastAsia="Times New Roman" w:hAnsi="Times New Roman" w:cs="Times New Roman"/>
        </w:rPr>
      </w:pPr>
      <w:r>
        <w:rPr>
          <w:color w:val="000000"/>
        </w:rPr>
        <w:t>Most taxpayers have until April 15 to file tax returns. Email or postmark your returns by midnight on this date.</w:t>
      </w:r>
    </w:p>
    <w:p w14:paraId="3750FC57" w14:textId="77777777" w:rsidR="004A397C" w:rsidRDefault="004A397C">
      <w:pPr>
        <w:rPr>
          <w:rFonts w:ascii="Times New Roman" w:eastAsia="Times New Roman" w:hAnsi="Times New Roman" w:cs="Times New Roman"/>
        </w:rPr>
      </w:pPr>
    </w:p>
    <w:p w14:paraId="38ED5F1C" w14:textId="77777777" w:rsidR="004A397C" w:rsidRDefault="00000000">
      <w:pPr>
        <w:jc w:val="center"/>
        <w:rPr>
          <w:rFonts w:ascii="Times New Roman" w:eastAsia="Times New Roman" w:hAnsi="Times New Roman" w:cs="Times New Roman"/>
        </w:rPr>
      </w:pPr>
      <w:r>
        <w:rPr>
          <w:color w:val="000000"/>
        </w:rPr>
        <w:t>LAST DAY TO MAKE A 2023 IRA CONTRIBUTION</w:t>
      </w:r>
    </w:p>
    <w:p w14:paraId="05669648" w14:textId="77777777" w:rsidR="004A397C" w:rsidRDefault="00000000">
      <w:pPr>
        <w:jc w:val="center"/>
        <w:rPr>
          <w:rFonts w:ascii="Times New Roman" w:eastAsia="Times New Roman" w:hAnsi="Times New Roman" w:cs="Times New Roman"/>
        </w:rPr>
      </w:pPr>
      <w:r>
        <w:rPr>
          <w:color w:val="000000"/>
        </w:rPr>
        <w:t>If you have not already contributed fully to your retirement account for 2023, April 15 is your last chance to fund a traditional IRA or a Roth IRA.</w:t>
      </w:r>
    </w:p>
    <w:p w14:paraId="4BA00B37" w14:textId="77777777" w:rsidR="004A397C" w:rsidRDefault="004A397C">
      <w:pPr>
        <w:rPr>
          <w:rFonts w:ascii="Times New Roman" w:eastAsia="Times New Roman" w:hAnsi="Times New Roman" w:cs="Times New Roman"/>
        </w:rPr>
      </w:pPr>
    </w:p>
    <w:p w14:paraId="55DB2C9F" w14:textId="77777777" w:rsidR="004A397C" w:rsidRDefault="00000000">
      <w:pPr>
        <w:jc w:val="center"/>
        <w:rPr>
          <w:rFonts w:ascii="Times New Roman" w:eastAsia="Times New Roman" w:hAnsi="Times New Roman" w:cs="Times New Roman"/>
        </w:rPr>
      </w:pPr>
      <w:r>
        <w:rPr>
          <w:color w:val="000000"/>
        </w:rPr>
        <w:t>INDIVIDUAL TAX RETURN EXTENSION FORM DUE</w:t>
      </w:r>
    </w:p>
    <w:p w14:paraId="544BC253" w14:textId="77777777" w:rsidR="004A397C" w:rsidRDefault="00000000">
      <w:pPr>
        <w:jc w:val="center"/>
        <w:rPr>
          <w:rFonts w:ascii="Times New Roman" w:eastAsia="Times New Roman" w:hAnsi="Times New Roman" w:cs="Times New Roman"/>
        </w:rPr>
      </w:pPr>
      <w:r>
        <w:rPr>
          <w:color w:val="000000"/>
        </w:rPr>
        <w:t>If you cannot file your taxes on time, file your request for an extension by April 15 to push your deadline back to October 15, 2024.</w:t>
      </w:r>
    </w:p>
    <w:p w14:paraId="796ADFF0" w14:textId="77777777" w:rsidR="004A397C" w:rsidRDefault="004A397C">
      <w:pPr>
        <w:rPr>
          <w:rFonts w:ascii="Times New Roman" w:eastAsia="Times New Roman" w:hAnsi="Times New Roman" w:cs="Times New Roman"/>
        </w:rPr>
      </w:pPr>
    </w:p>
    <w:p w14:paraId="141DE8B6" w14:textId="77777777" w:rsidR="004A397C" w:rsidRDefault="00000000">
      <w:pPr>
        <w:jc w:val="center"/>
        <w:rPr>
          <w:rFonts w:ascii="Times New Roman" w:eastAsia="Times New Roman" w:hAnsi="Times New Roman" w:cs="Times New Roman"/>
        </w:rPr>
      </w:pPr>
      <w:r>
        <w:rPr>
          <w:b/>
          <w:color w:val="000000"/>
        </w:rPr>
        <w:t>JUNE 17, 2024</w:t>
      </w:r>
    </w:p>
    <w:p w14:paraId="5A753E98" w14:textId="77777777" w:rsidR="004A397C" w:rsidRDefault="00000000">
      <w:pPr>
        <w:jc w:val="center"/>
        <w:rPr>
          <w:rFonts w:ascii="Times New Roman" w:eastAsia="Times New Roman" w:hAnsi="Times New Roman" w:cs="Times New Roman"/>
        </w:rPr>
      </w:pPr>
      <w:r>
        <w:rPr>
          <w:color w:val="000000"/>
        </w:rPr>
        <w:t>SECOND QUARTER 2024 ESTIMATED TAX PAYMENT DUE </w:t>
      </w:r>
    </w:p>
    <w:p w14:paraId="5EEF3B10" w14:textId="77777777" w:rsidR="004A397C" w:rsidRDefault="004A397C">
      <w:pPr>
        <w:rPr>
          <w:rFonts w:ascii="Times New Roman" w:eastAsia="Times New Roman" w:hAnsi="Times New Roman" w:cs="Times New Roman"/>
        </w:rPr>
      </w:pPr>
    </w:p>
    <w:p w14:paraId="1AB9B998" w14:textId="77777777" w:rsidR="004A397C" w:rsidRDefault="00000000">
      <w:pPr>
        <w:jc w:val="center"/>
        <w:rPr>
          <w:rFonts w:ascii="Times New Roman" w:eastAsia="Times New Roman" w:hAnsi="Times New Roman" w:cs="Times New Roman"/>
        </w:rPr>
      </w:pPr>
      <w:r>
        <w:rPr>
          <w:b/>
          <w:color w:val="000000"/>
        </w:rPr>
        <w:t>SEPTEMBER 16, 2024</w:t>
      </w:r>
    </w:p>
    <w:p w14:paraId="6211BB75" w14:textId="77777777" w:rsidR="004A397C" w:rsidRDefault="00000000">
      <w:pPr>
        <w:jc w:val="center"/>
        <w:rPr>
          <w:rFonts w:ascii="Times New Roman" w:eastAsia="Times New Roman" w:hAnsi="Times New Roman" w:cs="Times New Roman"/>
        </w:rPr>
      </w:pPr>
      <w:r>
        <w:rPr>
          <w:color w:val="000000"/>
        </w:rPr>
        <w:t>THIRD QUARTER 2024 ESTIMATED TAX PAYMENT DUE</w:t>
      </w:r>
    </w:p>
    <w:p w14:paraId="5D515D08" w14:textId="77777777" w:rsidR="004A397C" w:rsidRDefault="004A397C">
      <w:pPr>
        <w:rPr>
          <w:rFonts w:ascii="Times New Roman" w:eastAsia="Times New Roman" w:hAnsi="Times New Roman" w:cs="Times New Roman"/>
        </w:rPr>
      </w:pPr>
    </w:p>
    <w:p w14:paraId="156ADA78" w14:textId="77777777" w:rsidR="004A397C" w:rsidRDefault="00000000">
      <w:pPr>
        <w:jc w:val="center"/>
        <w:rPr>
          <w:rFonts w:ascii="Times New Roman" w:eastAsia="Times New Roman" w:hAnsi="Times New Roman" w:cs="Times New Roman"/>
        </w:rPr>
      </w:pPr>
      <w:r>
        <w:rPr>
          <w:b/>
          <w:color w:val="000000"/>
        </w:rPr>
        <w:t>OCTOBER 15, 2024</w:t>
      </w:r>
    </w:p>
    <w:p w14:paraId="3F4BE9E9" w14:textId="77777777" w:rsidR="004A397C" w:rsidRDefault="00000000">
      <w:pPr>
        <w:jc w:val="center"/>
        <w:rPr>
          <w:rFonts w:ascii="Times New Roman" w:eastAsia="Times New Roman" w:hAnsi="Times New Roman" w:cs="Times New Roman"/>
        </w:rPr>
      </w:pPr>
      <w:r>
        <w:rPr>
          <w:color w:val="000000"/>
        </w:rPr>
        <w:t>EXTENDED INDIVIDUAL TAX RETURNS DUE </w:t>
      </w:r>
    </w:p>
    <w:p w14:paraId="5E5971F3" w14:textId="77777777" w:rsidR="004A397C" w:rsidRDefault="00000000">
      <w:pPr>
        <w:jc w:val="center"/>
        <w:rPr>
          <w:rFonts w:ascii="Times New Roman" w:eastAsia="Times New Roman" w:hAnsi="Times New Roman" w:cs="Times New Roman"/>
        </w:rPr>
      </w:pPr>
      <w:r>
        <w:t>You have until October 15 to file your 2023 tax return if you received an extension</w:t>
      </w:r>
      <w:r>
        <w:rPr>
          <w:color w:val="000000"/>
        </w:rPr>
        <w:t>. </w:t>
      </w:r>
    </w:p>
    <w:p w14:paraId="28755D1B" w14:textId="77777777" w:rsidR="004A397C" w:rsidRDefault="004A397C">
      <w:pPr>
        <w:jc w:val="center"/>
        <w:rPr>
          <w:rFonts w:ascii="Times New Roman" w:eastAsia="Times New Roman" w:hAnsi="Times New Roman" w:cs="Times New Roman"/>
        </w:rPr>
      </w:pPr>
    </w:p>
    <w:p w14:paraId="3981A8E1" w14:textId="77777777" w:rsidR="004A397C" w:rsidRDefault="004A397C">
      <w:pPr>
        <w:jc w:val="center"/>
        <w:rPr>
          <w:rFonts w:ascii="Times New Roman" w:eastAsia="Times New Roman" w:hAnsi="Times New Roman" w:cs="Times New Roman"/>
        </w:rPr>
      </w:pPr>
    </w:p>
    <w:p w14:paraId="3E3891EF" w14:textId="77777777" w:rsidR="004A397C" w:rsidRDefault="00000000">
      <w:r>
        <w:t>*Tax deadlines on weekends or national holidays will be delayed until the following business day. Also, the IRS can adjust federal tax deadlines on short notice based on its assessment of financial or economic conditions.</w:t>
      </w:r>
    </w:p>
    <w:p w14:paraId="1B4361A2" w14:textId="77777777" w:rsidR="004A397C" w:rsidRDefault="00000000">
      <w:pPr>
        <w:rPr>
          <w:color w:val="000000"/>
        </w:rPr>
      </w:pPr>
      <w:r>
        <w:t xml:space="preserve">**Extended due dates exist for residents of Maine and Massachusetts. Individuals who live in Maine and Massachusetts have until April 17, 2024, to file their 2023 Form 1040 because April 15, </w:t>
      </w:r>
      <w:proofErr w:type="gramStart"/>
      <w:r>
        <w:t>2024</w:t>
      </w:r>
      <w:proofErr w:type="gramEnd"/>
      <w:r>
        <w:t xml:space="preserve"> is Patriots' Day and April 16, 2024, is Emancipation Day</w:t>
      </w:r>
      <w:r>
        <w:rPr>
          <w:color w:val="000000"/>
        </w:rPr>
        <w:t>.</w:t>
      </w:r>
    </w:p>
    <w:p w14:paraId="0305353C" w14:textId="77777777" w:rsidR="004A397C" w:rsidRDefault="004A397C">
      <w:pPr>
        <w:rPr>
          <w:rFonts w:ascii="Times New Roman" w:eastAsia="Times New Roman" w:hAnsi="Times New Roman" w:cs="Times New Roman"/>
        </w:rPr>
      </w:pPr>
    </w:p>
    <w:p w14:paraId="79D7E6CE" w14:textId="77777777" w:rsidR="004A397C" w:rsidRDefault="00000000">
      <w:pPr>
        <w:ind w:right="490"/>
        <w:jc w:val="both"/>
        <w:rPr>
          <w:rFonts w:ascii="Times New Roman" w:eastAsia="Times New Roman" w:hAnsi="Times New Roman" w:cs="Times New Roman"/>
          <w:b/>
          <w:color w:val="6E78D4"/>
          <w:sz w:val="48"/>
          <w:szCs w:val="48"/>
        </w:rPr>
      </w:pPr>
      <w:r>
        <w:rPr>
          <w:b/>
          <w:color w:val="6E78D4"/>
        </w:rPr>
        <w:t>The Child Tax Credit</w:t>
      </w:r>
    </w:p>
    <w:p w14:paraId="6ABE6CE3" w14:textId="77777777" w:rsidR="004A397C" w:rsidRDefault="00000000">
      <w:pPr>
        <w:rPr>
          <w:color w:val="000000"/>
        </w:rPr>
      </w:pPr>
      <w:r>
        <w:rPr>
          <w:color w:val="000000"/>
        </w:rPr>
        <w:t xml:space="preserve">The 2023 Child Tax Credit allows a credit of up to $2,000 per child for 2023. </w:t>
      </w:r>
    </w:p>
    <w:p w14:paraId="26644191" w14:textId="77777777" w:rsidR="004A397C" w:rsidRDefault="004A397C">
      <w:pPr>
        <w:rPr>
          <w:color w:val="000000"/>
        </w:rPr>
      </w:pPr>
    </w:p>
    <w:p w14:paraId="6F34303D" w14:textId="77777777" w:rsidR="004A397C" w:rsidRDefault="00000000">
      <w:pPr>
        <w:rPr>
          <w:color w:val="000000"/>
        </w:rPr>
      </w:pPr>
      <w:r>
        <w:rPr>
          <w:color w:val="000000"/>
        </w:rPr>
        <w:t>The credit is partially refundable and phases out at income thresholds of $200,000 (or $400,000 for married taxpayers filing jointly)</w:t>
      </w:r>
      <w:proofErr w:type="gramStart"/>
      <w:r>
        <w:rPr>
          <w:color w:val="000000"/>
        </w:rPr>
        <w:t>.</w:t>
      </w:r>
      <w:r>
        <w:rPr>
          <w:color w:val="000000"/>
          <w:vertAlign w:val="superscript"/>
        </w:rPr>
        <w:t>2</w:t>
      </w:r>
      <w:proofErr w:type="gramEnd"/>
    </w:p>
    <w:p w14:paraId="402B88D3" w14:textId="77777777" w:rsidR="004A397C" w:rsidRDefault="004A397C">
      <w:pPr>
        <w:rPr>
          <w:rFonts w:ascii="Times New Roman" w:eastAsia="Times New Roman" w:hAnsi="Times New Roman" w:cs="Times New Roman"/>
        </w:rPr>
      </w:pPr>
    </w:p>
    <w:p w14:paraId="612CD972" w14:textId="77777777" w:rsidR="004A397C" w:rsidRDefault="00000000">
      <w:pPr>
        <w:jc w:val="both"/>
        <w:rPr>
          <w:rFonts w:ascii="Times New Roman" w:eastAsia="Times New Roman" w:hAnsi="Times New Roman" w:cs="Times New Roman"/>
          <w:b/>
          <w:color w:val="6E78D4"/>
          <w:sz w:val="48"/>
          <w:szCs w:val="48"/>
        </w:rPr>
      </w:pPr>
      <w:r>
        <w:rPr>
          <w:b/>
          <w:color w:val="6E78D4"/>
        </w:rPr>
        <w:t>Preparing for the Tax Season</w:t>
      </w:r>
    </w:p>
    <w:p w14:paraId="109EDF9B" w14:textId="77777777" w:rsidR="004A397C" w:rsidRDefault="00000000">
      <w:pPr>
        <w:rPr>
          <w:rFonts w:ascii="Times New Roman" w:eastAsia="Times New Roman" w:hAnsi="Times New Roman" w:cs="Times New Roman"/>
        </w:rPr>
      </w:pPr>
      <w:r>
        <w:t>Planning well before the tax season may help you better prepare for the unexpected. Here are several reasons to begin early</w:t>
      </w:r>
      <w:r>
        <w:rPr>
          <w:color w:val="000000"/>
        </w:rPr>
        <w:t>:</w:t>
      </w:r>
    </w:p>
    <w:p w14:paraId="39F4F415" w14:textId="77777777" w:rsidR="004A397C" w:rsidRDefault="004A397C">
      <w:pPr>
        <w:rPr>
          <w:rFonts w:ascii="Times New Roman" w:eastAsia="Times New Roman" w:hAnsi="Times New Roman" w:cs="Times New Roman"/>
        </w:rPr>
      </w:pPr>
    </w:p>
    <w:p w14:paraId="05449B01" w14:textId="77777777" w:rsidR="004A397C" w:rsidRDefault="00000000">
      <w:pPr>
        <w:numPr>
          <w:ilvl w:val="0"/>
          <w:numId w:val="1"/>
        </w:numPr>
        <w:rPr>
          <w:color w:val="000000"/>
          <w:sz w:val="20"/>
          <w:szCs w:val="20"/>
        </w:rPr>
      </w:pPr>
      <w:r>
        <w:rPr>
          <w:color w:val="000000"/>
        </w:rPr>
        <w:t xml:space="preserve">Your home, job, or relationships </w:t>
      </w:r>
      <w:proofErr w:type="gramStart"/>
      <w:r>
        <w:rPr>
          <w:color w:val="000000"/>
        </w:rPr>
        <w:t>changed</w:t>
      </w:r>
      <w:proofErr w:type="gramEnd"/>
    </w:p>
    <w:p w14:paraId="33FB32E1" w14:textId="77777777" w:rsidR="004A397C" w:rsidRDefault="00000000">
      <w:pPr>
        <w:numPr>
          <w:ilvl w:val="0"/>
          <w:numId w:val="1"/>
        </w:numPr>
        <w:rPr>
          <w:color w:val="000000"/>
          <w:sz w:val="20"/>
          <w:szCs w:val="20"/>
        </w:rPr>
      </w:pPr>
      <w:r>
        <w:rPr>
          <w:color w:val="000000"/>
        </w:rPr>
        <w:t xml:space="preserve">You need to start saving money if you may owe </w:t>
      </w:r>
      <w:proofErr w:type="gramStart"/>
      <w:r>
        <w:rPr>
          <w:color w:val="000000"/>
        </w:rPr>
        <w:t>taxes</w:t>
      </w:r>
      <w:proofErr w:type="gramEnd"/>
    </w:p>
    <w:p w14:paraId="46DBC073" w14:textId="77777777" w:rsidR="004A397C" w:rsidRDefault="00000000">
      <w:pPr>
        <w:numPr>
          <w:ilvl w:val="0"/>
          <w:numId w:val="1"/>
        </w:numPr>
        <w:rPr>
          <w:color w:val="000000"/>
          <w:sz w:val="20"/>
          <w:szCs w:val="20"/>
        </w:rPr>
      </w:pPr>
      <w:r>
        <w:rPr>
          <w:color w:val="000000"/>
        </w:rPr>
        <w:t xml:space="preserve">You want to ensure you qualify for tax </w:t>
      </w:r>
      <w:proofErr w:type="gramStart"/>
      <w:r>
        <w:rPr>
          <w:color w:val="000000"/>
        </w:rPr>
        <w:t>deductions</w:t>
      </w:r>
      <w:proofErr w:type="gramEnd"/>
    </w:p>
    <w:p w14:paraId="7772C607" w14:textId="77777777" w:rsidR="004A397C" w:rsidRDefault="004A397C">
      <w:pPr>
        <w:rPr>
          <w:rFonts w:ascii="Times New Roman" w:eastAsia="Times New Roman" w:hAnsi="Times New Roman" w:cs="Times New Roman"/>
        </w:rPr>
      </w:pPr>
    </w:p>
    <w:p w14:paraId="0923FAF9" w14:textId="77777777" w:rsidR="004A397C" w:rsidRDefault="00000000">
      <w:pPr>
        <w:rPr>
          <w:color w:val="000000"/>
        </w:rPr>
      </w:pPr>
      <w:r>
        <w:t xml:space="preserve">You can make changes throughout the year to ensure your tax preparations go smoothly. </w:t>
      </w:r>
      <w:proofErr w:type="gramStart"/>
      <w:r>
        <w:t>In particular, you</w:t>
      </w:r>
      <w:proofErr w:type="gramEnd"/>
      <w:r>
        <w:t xml:space="preserve"> can periodically assess your paycheck withholdings to get a refund or reduce or eliminate your tax burden</w:t>
      </w:r>
      <w:r>
        <w:rPr>
          <w:color w:val="000000"/>
        </w:rPr>
        <w:t>.</w:t>
      </w:r>
    </w:p>
    <w:p w14:paraId="445FE2D2" w14:textId="77777777" w:rsidR="004A397C" w:rsidRDefault="004A397C">
      <w:pPr>
        <w:rPr>
          <w:rFonts w:ascii="Times New Roman" w:eastAsia="Times New Roman" w:hAnsi="Times New Roman" w:cs="Times New Roman"/>
        </w:rPr>
      </w:pPr>
    </w:p>
    <w:p w14:paraId="2D8D6D41" w14:textId="77777777" w:rsidR="004A397C" w:rsidRDefault="00000000">
      <w:pPr>
        <w:rPr>
          <w:rFonts w:ascii="Times New Roman" w:eastAsia="Times New Roman" w:hAnsi="Times New Roman" w:cs="Times New Roman"/>
        </w:rPr>
      </w:pPr>
      <w:r>
        <w:t>You should track and store your tax and other financial records to avoid delays or frantic preparations as the filing deadline approaches. Records may include W-2 forms, canceled checks, certain receipts, and previous returns</w:t>
      </w:r>
      <w:r>
        <w:rPr>
          <w:color w:val="000000"/>
        </w:rPr>
        <w:t>.</w:t>
      </w:r>
    </w:p>
    <w:p w14:paraId="25A51DB9" w14:textId="77777777" w:rsidR="004A397C" w:rsidRDefault="004A397C">
      <w:pPr>
        <w:rPr>
          <w:rFonts w:ascii="Times New Roman" w:eastAsia="Times New Roman" w:hAnsi="Times New Roman" w:cs="Times New Roman"/>
        </w:rPr>
      </w:pPr>
    </w:p>
    <w:p w14:paraId="4A720425" w14:textId="77777777" w:rsidR="004A397C" w:rsidRDefault="00000000">
      <w:pPr>
        <w:rPr>
          <w:rFonts w:ascii="Times New Roman" w:eastAsia="Times New Roman" w:hAnsi="Times New Roman" w:cs="Times New Roman"/>
        </w:rPr>
      </w:pPr>
      <w:r>
        <w:rPr>
          <w:color w:val="000000"/>
        </w:rPr>
        <w:t>Here is a list of other items to start gathering:</w:t>
      </w:r>
    </w:p>
    <w:p w14:paraId="1315D34A" w14:textId="77777777" w:rsidR="004A397C" w:rsidRDefault="004A397C">
      <w:pPr>
        <w:rPr>
          <w:rFonts w:ascii="Times New Roman" w:eastAsia="Times New Roman" w:hAnsi="Times New Roman" w:cs="Times New Roman"/>
        </w:rPr>
      </w:pPr>
    </w:p>
    <w:p w14:paraId="47577B2D" w14:textId="77777777" w:rsidR="004A397C" w:rsidRDefault="00000000">
      <w:pPr>
        <w:numPr>
          <w:ilvl w:val="0"/>
          <w:numId w:val="2"/>
        </w:numPr>
        <w:rPr>
          <w:color w:val="000000"/>
          <w:sz w:val="20"/>
          <w:szCs w:val="20"/>
        </w:rPr>
      </w:pPr>
      <w:r>
        <w:rPr>
          <w:color w:val="000000"/>
        </w:rPr>
        <w:t xml:space="preserve">Pay </w:t>
      </w:r>
      <w:proofErr w:type="gramStart"/>
      <w:r>
        <w:rPr>
          <w:color w:val="000000"/>
        </w:rPr>
        <w:t>stubs</w:t>
      </w:r>
      <w:proofErr w:type="gramEnd"/>
    </w:p>
    <w:p w14:paraId="021D3728" w14:textId="77777777" w:rsidR="004A397C" w:rsidRDefault="00000000">
      <w:pPr>
        <w:numPr>
          <w:ilvl w:val="0"/>
          <w:numId w:val="2"/>
        </w:numPr>
        <w:rPr>
          <w:color w:val="000000"/>
          <w:sz w:val="20"/>
          <w:szCs w:val="20"/>
        </w:rPr>
      </w:pPr>
      <w:r>
        <w:rPr>
          <w:color w:val="000000"/>
        </w:rPr>
        <w:t xml:space="preserve">Mortgage payment </w:t>
      </w:r>
      <w:proofErr w:type="gramStart"/>
      <w:r>
        <w:rPr>
          <w:color w:val="000000"/>
        </w:rPr>
        <w:t>records</w:t>
      </w:r>
      <w:proofErr w:type="gramEnd"/>
    </w:p>
    <w:p w14:paraId="35D9A9C9" w14:textId="77777777" w:rsidR="004A397C" w:rsidRDefault="00000000">
      <w:pPr>
        <w:numPr>
          <w:ilvl w:val="0"/>
          <w:numId w:val="2"/>
        </w:numPr>
        <w:rPr>
          <w:color w:val="000000"/>
          <w:sz w:val="20"/>
          <w:szCs w:val="20"/>
        </w:rPr>
      </w:pPr>
      <w:r>
        <w:rPr>
          <w:color w:val="000000"/>
        </w:rPr>
        <w:t>Closing paperwork on home purchases</w:t>
      </w:r>
    </w:p>
    <w:p w14:paraId="7A535CF5" w14:textId="77777777" w:rsidR="004A397C" w:rsidRDefault="00000000">
      <w:pPr>
        <w:numPr>
          <w:ilvl w:val="0"/>
          <w:numId w:val="2"/>
        </w:numPr>
        <w:rPr>
          <w:color w:val="000000"/>
          <w:sz w:val="20"/>
          <w:szCs w:val="20"/>
        </w:rPr>
      </w:pPr>
      <w:r>
        <w:rPr>
          <w:color w:val="000000"/>
        </w:rPr>
        <w:t xml:space="preserve">Receipts for items or services you may want to claim as itemized </w:t>
      </w:r>
      <w:proofErr w:type="gramStart"/>
      <w:r>
        <w:rPr>
          <w:color w:val="000000"/>
        </w:rPr>
        <w:t>deductions</w:t>
      </w:r>
      <w:proofErr w:type="gramEnd"/>
    </w:p>
    <w:p w14:paraId="6B222B25" w14:textId="77777777" w:rsidR="004A397C" w:rsidRDefault="00000000">
      <w:pPr>
        <w:numPr>
          <w:ilvl w:val="0"/>
          <w:numId w:val="2"/>
        </w:numPr>
        <w:rPr>
          <w:color w:val="000000"/>
          <w:sz w:val="20"/>
          <w:szCs w:val="20"/>
        </w:rPr>
      </w:pPr>
      <w:r>
        <w:rPr>
          <w:color w:val="000000"/>
        </w:rPr>
        <w:t>Records on charitable giving and donations</w:t>
      </w:r>
    </w:p>
    <w:p w14:paraId="18DE2C4B" w14:textId="77777777" w:rsidR="004A397C" w:rsidRDefault="00000000">
      <w:pPr>
        <w:numPr>
          <w:ilvl w:val="0"/>
          <w:numId w:val="2"/>
        </w:numPr>
        <w:rPr>
          <w:color w:val="000000"/>
          <w:sz w:val="20"/>
          <w:szCs w:val="20"/>
        </w:rPr>
      </w:pPr>
      <w:r>
        <w:rPr>
          <w:color w:val="000000"/>
        </w:rPr>
        <w:t xml:space="preserve">Mileage logs on cars used for </w:t>
      </w:r>
      <w:proofErr w:type="gramStart"/>
      <w:r>
        <w:rPr>
          <w:color w:val="000000"/>
        </w:rPr>
        <w:t>business</w:t>
      </w:r>
      <w:proofErr w:type="gramEnd"/>
    </w:p>
    <w:p w14:paraId="1E560AD8" w14:textId="77777777" w:rsidR="004A397C" w:rsidRDefault="00000000">
      <w:pPr>
        <w:numPr>
          <w:ilvl w:val="0"/>
          <w:numId w:val="2"/>
        </w:numPr>
        <w:rPr>
          <w:color w:val="000000"/>
          <w:sz w:val="20"/>
          <w:szCs w:val="20"/>
        </w:rPr>
      </w:pPr>
      <w:r>
        <w:rPr>
          <w:color w:val="000000"/>
        </w:rPr>
        <w:t>Business travel receipts</w:t>
      </w:r>
    </w:p>
    <w:p w14:paraId="65EAD2E3" w14:textId="77777777" w:rsidR="004A397C" w:rsidRDefault="00000000">
      <w:pPr>
        <w:numPr>
          <w:ilvl w:val="0"/>
          <w:numId w:val="2"/>
        </w:numPr>
        <w:rPr>
          <w:color w:val="000000"/>
          <w:sz w:val="20"/>
          <w:szCs w:val="20"/>
        </w:rPr>
      </w:pPr>
      <w:r>
        <w:rPr>
          <w:color w:val="000000"/>
        </w:rPr>
        <w:t xml:space="preserve">Credit card and bank statements to verify </w:t>
      </w:r>
      <w:proofErr w:type="gramStart"/>
      <w:r>
        <w:rPr>
          <w:color w:val="000000"/>
        </w:rPr>
        <w:t>deductions</w:t>
      </w:r>
      <w:proofErr w:type="gramEnd"/>
    </w:p>
    <w:p w14:paraId="7CA9472C" w14:textId="77777777" w:rsidR="004A397C" w:rsidRDefault="00000000">
      <w:pPr>
        <w:numPr>
          <w:ilvl w:val="0"/>
          <w:numId w:val="2"/>
        </w:numPr>
        <w:rPr>
          <w:color w:val="000000"/>
          <w:sz w:val="20"/>
          <w:szCs w:val="20"/>
        </w:rPr>
      </w:pPr>
      <w:r>
        <w:rPr>
          <w:color w:val="000000"/>
        </w:rPr>
        <w:t>Medical bills</w:t>
      </w:r>
    </w:p>
    <w:p w14:paraId="051C54BB" w14:textId="77777777" w:rsidR="004A397C" w:rsidRDefault="00000000">
      <w:pPr>
        <w:numPr>
          <w:ilvl w:val="0"/>
          <w:numId w:val="2"/>
        </w:numPr>
        <w:rPr>
          <w:color w:val="000000"/>
          <w:sz w:val="20"/>
          <w:szCs w:val="20"/>
        </w:rPr>
      </w:pPr>
      <w:r>
        <w:rPr>
          <w:color w:val="000000"/>
        </w:rPr>
        <w:t>1099-G forms for state and local taxes</w:t>
      </w:r>
    </w:p>
    <w:p w14:paraId="2AEB3338" w14:textId="77777777" w:rsidR="004A397C" w:rsidRDefault="00000000">
      <w:pPr>
        <w:numPr>
          <w:ilvl w:val="0"/>
          <w:numId w:val="2"/>
        </w:numPr>
        <w:rPr>
          <w:color w:val="000000"/>
          <w:sz w:val="20"/>
          <w:szCs w:val="20"/>
        </w:rPr>
      </w:pPr>
      <w:r>
        <w:rPr>
          <w:color w:val="000000"/>
        </w:rPr>
        <w:t>1099 forms for dividends or other income</w:t>
      </w:r>
    </w:p>
    <w:p w14:paraId="1C18C868" w14:textId="77777777" w:rsidR="004A397C" w:rsidRDefault="004A397C">
      <w:pPr>
        <w:rPr>
          <w:rFonts w:ascii="Times New Roman" w:eastAsia="Times New Roman" w:hAnsi="Times New Roman" w:cs="Times New Roman"/>
        </w:rPr>
      </w:pPr>
    </w:p>
    <w:p w14:paraId="7DCD082E" w14:textId="77777777" w:rsidR="004A397C" w:rsidRDefault="00000000">
      <w:pPr>
        <w:rPr>
          <w:rFonts w:ascii="Times New Roman" w:eastAsia="Times New Roman" w:hAnsi="Times New Roman" w:cs="Times New Roman"/>
        </w:rPr>
      </w:pPr>
      <w:r>
        <w:t xml:space="preserve">During the first few months of 2024, ensure you receive your W-2 and 1099 forms and other tax documents. Leave adequate time to collect documents and prepare to file your taxes before the April 15, </w:t>
      </w:r>
      <w:proofErr w:type="gramStart"/>
      <w:r>
        <w:t>2024</w:t>
      </w:r>
      <w:proofErr w:type="gramEnd"/>
      <w:r>
        <w:t xml:space="preserve"> deadline</w:t>
      </w:r>
      <w:r>
        <w:rPr>
          <w:color w:val="000000"/>
        </w:rPr>
        <w:t>.</w:t>
      </w:r>
    </w:p>
    <w:p w14:paraId="3DBFDB13" w14:textId="77777777" w:rsidR="004A397C" w:rsidRDefault="004A397C">
      <w:pPr>
        <w:rPr>
          <w:rFonts w:ascii="Times New Roman" w:eastAsia="Times New Roman" w:hAnsi="Times New Roman" w:cs="Times New Roman"/>
        </w:rPr>
      </w:pPr>
    </w:p>
    <w:p w14:paraId="0444463E" w14:textId="77777777" w:rsidR="004A397C" w:rsidRDefault="00000000">
      <w:pPr>
        <w:rPr>
          <w:rFonts w:ascii="Times New Roman" w:eastAsia="Times New Roman" w:hAnsi="Times New Roman" w:cs="Times New Roman"/>
          <w:b/>
          <w:color w:val="6E78D4"/>
          <w:sz w:val="48"/>
          <w:szCs w:val="48"/>
        </w:rPr>
      </w:pPr>
      <w:r>
        <w:rPr>
          <w:b/>
          <w:color w:val="6E78D4"/>
        </w:rPr>
        <w:t>Tightening the Nuts and Bolts</w:t>
      </w:r>
    </w:p>
    <w:p w14:paraId="4A475FEF" w14:textId="77777777" w:rsidR="004A397C" w:rsidRDefault="00000000">
      <w:pPr>
        <w:rPr>
          <w:rFonts w:ascii="Times New Roman" w:eastAsia="Times New Roman" w:hAnsi="Times New Roman" w:cs="Times New Roman"/>
        </w:rPr>
      </w:pPr>
      <w:r>
        <w:rPr>
          <w:color w:val="000000"/>
        </w:rPr>
        <w:t>Here are some additional ways to prepare this year for next year’s tax season: </w:t>
      </w:r>
    </w:p>
    <w:p w14:paraId="2F38427F" w14:textId="77777777" w:rsidR="004A397C" w:rsidRDefault="004A397C">
      <w:pPr>
        <w:rPr>
          <w:rFonts w:ascii="Times New Roman" w:eastAsia="Times New Roman" w:hAnsi="Times New Roman" w:cs="Times New Roman"/>
        </w:rPr>
      </w:pPr>
    </w:p>
    <w:p w14:paraId="1C5BC07B" w14:textId="77777777" w:rsidR="004A397C" w:rsidRDefault="00000000">
      <w:pPr>
        <w:rPr>
          <w:rFonts w:ascii="Times New Roman" w:eastAsia="Times New Roman" w:hAnsi="Times New Roman" w:cs="Times New Roman"/>
        </w:rPr>
      </w:pPr>
      <w:r>
        <w:rPr>
          <w:b/>
          <w:color w:val="6E78D4"/>
        </w:rPr>
        <w:t xml:space="preserve">Look at last year: </w:t>
      </w:r>
      <w:r>
        <w:t xml:space="preserve">Look at last year’s return. In the months ahead, you may still </w:t>
      </w:r>
      <w:proofErr w:type="gramStart"/>
      <w:r>
        <w:t>have the opportunity to</w:t>
      </w:r>
      <w:proofErr w:type="gramEnd"/>
      <w:r>
        <w:t xml:space="preserve"> contribute more to your retirement plan, which may lower your taxable income</w:t>
      </w:r>
      <w:r>
        <w:rPr>
          <w:color w:val="000000"/>
        </w:rPr>
        <w:t>.</w:t>
      </w:r>
    </w:p>
    <w:p w14:paraId="06F3E6F5" w14:textId="77777777" w:rsidR="004A397C" w:rsidRDefault="004A397C">
      <w:pPr>
        <w:rPr>
          <w:rFonts w:ascii="Times New Roman" w:eastAsia="Times New Roman" w:hAnsi="Times New Roman" w:cs="Times New Roman"/>
        </w:rPr>
      </w:pPr>
    </w:p>
    <w:p w14:paraId="55F0084A" w14:textId="77777777" w:rsidR="004A397C" w:rsidRDefault="00000000">
      <w:pPr>
        <w:rPr>
          <w:rFonts w:ascii="Times New Roman" w:eastAsia="Times New Roman" w:hAnsi="Times New Roman" w:cs="Times New Roman"/>
        </w:rPr>
      </w:pPr>
      <w:r>
        <w:rPr>
          <w:b/>
          <w:color w:val="6E78D4"/>
        </w:rPr>
        <w:t>Donate to charity:</w:t>
      </w:r>
      <w:r>
        <w:rPr>
          <w:color w:val="6E78D4"/>
        </w:rPr>
        <w:t xml:space="preserve"> </w:t>
      </w:r>
      <w:r>
        <w:rPr>
          <w:color w:val="000000"/>
        </w:rPr>
        <w:t>How about “bunching” your charitable donations?</w:t>
      </w:r>
      <w:r>
        <w:rPr>
          <w:rFonts w:ascii="Times New Roman" w:eastAsia="Times New Roman" w:hAnsi="Times New Roman" w:cs="Times New Roman"/>
        </w:rPr>
        <w:t xml:space="preserve"> </w:t>
      </w:r>
      <w:r>
        <w:rPr>
          <w:color w:val="000000"/>
        </w:rPr>
        <w:t>Bunching allows you to optimize your deduction allowances by making two or more years’ worth of charity donations in one year.</w:t>
      </w:r>
    </w:p>
    <w:p w14:paraId="747ADD11" w14:textId="77777777" w:rsidR="004A397C" w:rsidRDefault="004A397C">
      <w:pPr>
        <w:rPr>
          <w:rFonts w:ascii="Times New Roman" w:eastAsia="Times New Roman" w:hAnsi="Times New Roman" w:cs="Times New Roman"/>
        </w:rPr>
      </w:pPr>
    </w:p>
    <w:p w14:paraId="287FBB61" w14:textId="77777777" w:rsidR="004A397C" w:rsidRDefault="00000000">
      <w:pPr>
        <w:rPr>
          <w:rFonts w:ascii="Times New Roman" w:eastAsia="Times New Roman" w:hAnsi="Times New Roman" w:cs="Times New Roman"/>
        </w:rPr>
      </w:pPr>
      <w:r>
        <w:t>Let us say you are married, expect to itemize your deductions, and anticipate making $15,000 in annual donations. By donating $30,000 in one year and skipping the next, you may be able to qualify for a higher deduction</w:t>
      </w:r>
      <w:r>
        <w:rPr>
          <w:color w:val="000000"/>
        </w:rPr>
        <w:t>.</w:t>
      </w:r>
      <w:r>
        <w:rPr>
          <w:color w:val="000000"/>
          <w:vertAlign w:val="superscript"/>
        </w:rPr>
        <w:t>3</w:t>
      </w:r>
    </w:p>
    <w:p w14:paraId="474448C9" w14:textId="77777777" w:rsidR="004A397C" w:rsidRDefault="004A397C">
      <w:pPr>
        <w:rPr>
          <w:rFonts w:ascii="Times New Roman" w:eastAsia="Times New Roman" w:hAnsi="Times New Roman" w:cs="Times New Roman"/>
        </w:rPr>
      </w:pPr>
    </w:p>
    <w:p w14:paraId="21A92AFA" w14:textId="77777777" w:rsidR="004A397C" w:rsidRDefault="00000000">
      <w:pPr>
        <w:rPr>
          <w:color w:val="000000"/>
        </w:rPr>
      </w:pPr>
      <w:r>
        <w:rPr>
          <w:b/>
          <w:color w:val="6E78D4"/>
        </w:rPr>
        <w:t>Review Capital Losses:</w:t>
      </w:r>
      <w:r>
        <w:rPr>
          <w:color w:val="6E78D4"/>
        </w:rPr>
        <w:t xml:space="preserve"> </w:t>
      </w:r>
      <w:r>
        <w:t>Consider deducting capital losses if investing in the financial markets. You can claim deductions if you experience losses, but you can claim losses only if they exceed capital gains. You can claim the difference of up to $3,000 per year if you are married filing jointly or $1,500 if you are filing separate returns. Net losses that exceed $3,000 can carry over into future years</w:t>
      </w:r>
      <w:r>
        <w:rPr>
          <w:color w:val="000000"/>
        </w:rPr>
        <w:t>.</w:t>
      </w:r>
      <w:r>
        <w:rPr>
          <w:color w:val="000000"/>
          <w:vertAlign w:val="superscript"/>
        </w:rPr>
        <w:t>4</w:t>
      </w:r>
    </w:p>
    <w:p w14:paraId="71E27822" w14:textId="77777777" w:rsidR="004A397C" w:rsidRDefault="004A397C">
      <w:pPr>
        <w:rPr>
          <w:color w:val="000000"/>
        </w:rPr>
      </w:pPr>
    </w:p>
    <w:p w14:paraId="18279CDA" w14:textId="77777777" w:rsidR="004A397C" w:rsidRDefault="00000000">
      <w:pPr>
        <w:rPr>
          <w:color w:val="000000"/>
        </w:rPr>
      </w:pPr>
      <w:r>
        <w:t>Deductions for capital losses can only apply to investment property sales, not the sale of investment property held for personal use</w:t>
      </w:r>
      <w:r>
        <w:rPr>
          <w:color w:val="000000"/>
        </w:rPr>
        <w:t>.</w:t>
      </w:r>
    </w:p>
    <w:p w14:paraId="42B90B45" w14:textId="77777777" w:rsidR="004A397C" w:rsidRDefault="004A397C">
      <w:pPr>
        <w:rPr>
          <w:color w:val="000000"/>
        </w:rPr>
      </w:pPr>
    </w:p>
    <w:p w14:paraId="4FF2391F" w14:textId="77777777" w:rsidR="004A397C" w:rsidRDefault="00000000">
      <w:pPr>
        <w:rPr>
          <w:rFonts w:ascii="Times New Roman" w:eastAsia="Times New Roman" w:hAnsi="Times New Roman" w:cs="Times New Roman"/>
        </w:rPr>
      </w:pPr>
      <w:r>
        <w:rPr>
          <w:b/>
          <w:color w:val="6E78D4"/>
        </w:rPr>
        <w:t xml:space="preserve">Get organized: </w:t>
      </w:r>
      <w:r>
        <w:t>Find a place to store your tax documents until it is time to prepare to file. A sound recordkeeping system may alleviate concerns later as the deadline gets closer</w:t>
      </w:r>
      <w:r>
        <w:rPr>
          <w:color w:val="000000"/>
        </w:rPr>
        <w:t>. </w:t>
      </w:r>
    </w:p>
    <w:p w14:paraId="1A86390C" w14:textId="77777777" w:rsidR="004A397C" w:rsidRDefault="004A397C">
      <w:pPr>
        <w:rPr>
          <w:rFonts w:ascii="Times New Roman" w:eastAsia="Times New Roman" w:hAnsi="Times New Roman" w:cs="Times New Roman"/>
        </w:rPr>
      </w:pPr>
    </w:p>
    <w:p w14:paraId="2A475295" w14:textId="77777777" w:rsidR="004A397C" w:rsidRDefault="00000000">
      <w:pPr>
        <w:rPr>
          <w:rFonts w:ascii="Times New Roman" w:eastAsia="Times New Roman" w:hAnsi="Times New Roman" w:cs="Times New Roman"/>
        </w:rPr>
      </w:pPr>
      <w:r>
        <w:t>If you store your documents or prior returns on your computer, back them up on a thumb drive or other device or system in case your computer is hacked or stolen</w:t>
      </w:r>
      <w:r>
        <w:rPr>
          <w:color w:val="000000"/>
        </w:rPr>
        <w:t>. </w:t>
      </w:r>
    </w:p>
    <w:p w14:paraId="0D37F413" w14:textId="77777777" w:rsidR="004A397C" w:rsidRDefault="004A397C">
      <w:pPr>
        <w:rPr>
          <w:rFonts w:ascii="Times New Roman" w:eastAsia="Times New Roman" w:hAnsi="Times New Roman" w:cs="Times New Roman"/>
        </w:rPr>
      </w:pPr>
    </w:p>
    <w:p w14:paraId="369B3D7E" w14:textId="77777777" w:rsidR="004A397C" w:rsidRDefault="00000000">
      <w:pPr>
        <w:rPr>
          <w:rFonts w:ascii="Times New Roman" w:eastAsia="Times New Roman" w:hAnsi="Times New Roman" w:cs="Times New Roman"/>
        </w:rPr>
      </w:pPr>
      <w:r>
        <w:rPr>
          <w:b/>
          <w:color w:val="6E78D4"/>
        </w:rPr>
        <w:t xml:space="preserve">Consider other taxes: </w:t>
      </w:r>
      <w:r>
        <w:t>Monitor local and state government requirements that may affect your tax situation</w:t>
      </w:r>
      <w:r>
        <w:rPr>
          <w:color w:val="000000"/>
        </w:rPr>
        <w:t>.</w:t>
      </w:r>
    </w:p>
    <w:p w14:paraId="7C92D446" w14:textId="77777777" w:rsidR="004A397C" w:rsidRDefault="004A397C">
      <w:pPr>
        <w:rPr>
          <w:rFonts w:ascii="Times New Roman" w:eastAsia="Times New Roman" w:hAnsi="Times New Roman" w:cs="Times New Roman"/>
        </w:rPr>
      </w:pPr>
    </w:p>
    <w:p w14:paraId="27E688E7" w14:textId="77777777" w:rsidR="004A397C" w:rsidRDefault="00000000">
      <w:pPr>
        <w:jc w:val="both"/>
        <w:rPr>
          <w:rFonts w:ascii="Times New Roman" w:eastAsia="Times New Roman" w:hAnsi="Times New Roman" w:cs="Times New Roman"/>
          <w:b/>
          <w:color w:val="6E78D4"/>
          <w:sz w:val="48"/>
          <w:szCs w:val="48"/>
        </w:rPr>
      </w:pPr>
      <w:r>
        <w:rPr>
          <w:b/>
          <w:color w:val="6E78D4"/>
        </w:rPr>
        <w:t>How Long?</w:t>
      </w:r>
    </w:p>
    <w:p w14:paraId="521EC8FA" w14:textId="77777777" w:rsidR="004A397C" w:rsidRDefault="00000000">
      <w:pPr>
        <w:rPr>
          <w:rFonts w:ascii="Times New Roman" w:eastAsia="Times New Roman" w:hAnsi="Times New Roman" w:cs="Times New Roman"/>
        </w:rPr>
      </w:pPr>
      <w:r>
        <w:rPr>
          <w:color w:val="000000"/>
        </w:rPr>
        <w:t>The IRS provides recommended timelines for retaining financial documents:</w:t>
      </w:r>
      <w:proofErr w:type="gramStart"/>
      <w:r>
        <w:rPr>
          <w:color w:val="000000"/>
          <w:vertAlign w:val="superscript"/>
        </w:rPr>
        <w:t>5</w:t>
      </w:r>
      <w:proofErr w:type="gramEnd"/>
      <w:r>
        <w:rPr>
          <w:color w:val="000000"/>
        </w:rPr>
        <w:t> </w:t>
      </w:r>
    </w:p>
    <w:p w14:paraId="02110E78" w14:textId="77777777" w:rsidR="004A397C" w:rsidRDefault="004A397C">
      <w:pPr>
        <w:rPr>
          <w:rFonts w:ascii="Times New Roman" w:eastAsia="Times New Roman" w:hAnsi="Times New Roman" w:cs="Times New Roman"/>
        </w:rPr>
      </w:pPr>
    </w:p>
    <w:p w14:paraId="6364B76E" w14:textId="77777777" w:rsidR="004A397C" w:rsidRDefault="00000000">
      <w:pPr>
        <w:spacing w:before="60"/>
        <w:ind w:left="440" w:hanging="260"/>
        <w:rPr>
          <w:rFonts w:ascii="Times New Roman" w:eastAsia="Times New Roman" w:hAnsi="Times New Roman" w:cs="Times New Roman"/>
        </w:rPr>
      </w:pPr>
      <w:r>
        <w:rPr>
          <w:color w:val="000000"/>
        </w:rPr>
        <w:t xml:space="preserve">1. </w:t>
      </w:r>
      <w:r>
        <w:t>You should keep your tax records for three years if #4 and #5 below do not apply</w:t>
      </w:r>
      <w:r>
        <w:rPr>
          <w:color w:val="000000"/>
        </w:rPr>
        <w:t>. </w:t>
      </w:r>
    </w:p>
    <w:p w14:paraId="29DDECC1" w14:textId="77777777" w:rsidR="004A397C" w:rsidRDefault="00000000">
      <w:pPr>
        <w:spacing w:before="60"/>
        <w:ind w:left="440" w:hanging="260"/>
        <w:rPr>
          <w:rFonts w:ascii="Times New Roman" w:eastAsia="Times New Roman" w:hAnsi="Times New Roman" w:cs="Times New Roman"/>
        </w:rPr>
      </w:pPr>
      <w:r>
        <w:rPr>
          <w:color w:val="000000"/>
        </w:rPr>
        <w:t>2. You should keep records for three years from the original filing date of your return or two years from the date you paid your taxes if you claimed a credit or refund after you filed your return. Select whichever is the later date.</w:t>
      </w:r>
    </w:p>
    <w:p w14:paraId="41D060E9" w14:textId="77777777" w:rsidR="004A397C" w:rsidRDefault="00000000">
      <w:pPr>
        <w:spacing w:before="60"/>
        <w:ind w:left="440" w:hanging="260"/>
        <w:rPr>
          <w:rFonts w:ascii="Times New Roman" w:eastAsia="Times New Roman" w:hAnsi="Times New Roman" w:cs="Times New Roman"/>
        </w:rPr>
      </w:pPr>
      <w:r>
        <w:rPr>
          <w:color w:val="000000"/>
        </w:rPr>
        <w:t xml:space="preserve">3. </w:t>
      </w:r>
      <w:r>
        <w:t>You should keep your records for seven years if you claim a loss from worthless securities or a bad debt deduction</w:t>
      </w:r>
      <w:r>
        <w:rPr>
          <w:color w:val="000000"/>
        </w:rPr>
        <w:t>. </w:t>
      </w:r>
    </w:p>
    <w:p w14:paraId="72229858" w14:textId="77777777" w:rsidR="004A397C" w:rsidRDefault="00000000">
      <w:pPr>
        <w:spacing w:before="60"/>
        <w:ind w:left="440" w:hanging="260"/>
        <w:rPr>
          <w:rFonts w:ascii="Times New Roman" w:eastAsia="Times New Roman" w:hAnsi="Times New Roman" w:cs="Times New Roman"/>
        </w:rPr>
      </w:pPr>
      <w:r>
        <w:rPr>
          <w:color w:val="000000"/>
        </w:rPr>
        <w:t xml:space="preserve">4. </w:t>
      </w:r>
      <w:r>
        <w:t xml:space="preserve">You should keep your records for six years if you failed to report income that you should </w:t>
      </w:r>
      <w:proofErr w:type="gramStart"/>
      <w:r>
        <w:t>have</w:t>
      </w:r>
      <w:proofErr w:type="gramEnd"/>
      <w:r>
        <w:t xml:space="preserve"> and the payment was more than 25 percent of the gross income listed on your return</w:t>
      </w:r>
      <w:r>
        <w:rPr>
          <w:color w:val="000000"/>
        </w:rPr>
        <w:t>. </w:t>
      </w:r>
    </w:p>
    <w:p w14:paraId="343B4FAC" w14:textId="77777777" w:rsidR="004A397C" w:rsidRDefault="00000000">
      <w:pPr>
        <w:spacing w:before="60"/>
        <w:ind w:left="440" w:hanging="260"/>
        <w:rPr>
          <w:rFonts w:ascii="Times New Roman" w:eastAsia="Times New Roman" w:hAnsi="Times New Roman" w:cs="Times New Roman"/>
        </w:rPr>
      </w:pPr>
      <w:r>
        <w:rPr>
          <w:color w:val="000000"/>
        </w:rPr>
        <w:t>5. Keep records indefinitely if you do not file a return.</w:t>
      </w:r>
    </w:p>
    <w:p w14:paraId="626C3BF2" w14:textId="77777777" w:rsidR="004A397C" w:rsidRDefault="00000000">
      <w:pPr>
        <w:spacing w:before="60"/>
        <w:ind w:left="440" w:hanging="260"/>
        <w:rPr>
          <w:rFonts w:ascii="Times New Roman" w:eastAsia="Times New Roman" w:hAnsi="Times New Roman" w:cs="Times New Roman"/>
        </w:rPr>
      </w:pPr>
      <w:r>
        <w:rPr>
          <w:color w:val="000000"/>
        </w:rPr>
        <w:t xml:space="preserve">6. </w:t>
      </w:r>
      <w:r>
        <w:t>You should keep employment tax records for at least four years after the due date or after you paid the taxes. Select whichever is later</w:t>
      </w:r>
      <w:r>
        <w:rPr>
          <w:color w:val="000000"/>
        </w:rPr>
        <w:t>. </w:t>
      </w:r>
    </w:p>
    <w:p w14:paraId="6D44912C" w14:textId="77777777" w:rsidR="004A397C" w:rsidRDefault="004A397C">
      <w:pPr>
        <w:jc w:val="center"/>
        <w:rPr>
          <w:color w:val="808080"/>
          <w:sz w:val="20"/>
          <w:szCs w:val="20"/>
        </w:rPr>
      </w:pPr>
    </w:p>
    <w:p w14:paraId="7A823227" w14:textId="77777777" w:rsidR="004A397C" w:rsidRDefault="004A397C">
      <w:pPr>
        <w:jc w:val="center"/>
        <w:rPr>
          <w:color w:val="808080"/>
          <w:sz w:val="20"/>
          <w:szCs w:val="20"/>
        </w:rPr>
      </w:pPr>
    </w:p>
    <w:p w14:paraId="6FCAF508" w14:textId="77777777" w:rsidR="004A397C" w:rsidRDefault="00000000">
      <w:pPr>
        <w:jc w:val="center"/>
        <w:rPr>
          <w:rFonts w:ascii="Times New Roman" w:eastAsia="Times New Roman" w:hAnsi="Times New Roman" w:cs="Times New Roman"/>
        </w:rPr>
      </w:pPr>
      <w:r>
        <w:rPr>
          <w:color w:val="808080"/>
          <w:sz w:val="20"/>
          <w:szCs w:val="20"/>
        </w:rPr>
        <w:t>This Special Report is not intended as a guide for the preparation of tax returns. The information contained herein is general in nature and is not intended to be, and should not be construed as, legal, accounting or tax advice or opinion. No information herein was intended or written to be used by readers for the purpose of avoiding penalties that may be imposed under the Internal Revenue Code or applicable state or local tax law provisions. Readers are cautioned that this material may not be applicable to, or suitable for, their specific circumstances or needs, and may require consideration of non-tax and other tax factors if any action is to be contemplated. Readers are encouraged to consult with professional advisors for advice concerning specific matters before making any decision.</w:t>
      </w:r>
      <w:r>
        <w:rPr>
          <w:rFonts w:ascii="Times New Roman" w:eastAsia="Times New Roman" w:hAnsi="Times New Roman" w:cs="Times New Roman"/>
          <w:color w:val="000000"/>
        </w:rPr>
        <w:t xml:space="preserve"> </w:t>
      </w:r>
      <w:r>
        <w:rPr>
          <w:color w:val="808080"/>
          <w:sz w:val="20"/>
          <w:szCs w:val="20"/>
        </w:rPr>
        <w:t>This material was prepared by FMG, and the information given has been derived from sources believed to be accurate. This is not intended as a guide for the preparation of tax returns, nor should it be construed as legal, accounting or tax advice. This information is subject to legislative changes and is offered “as is”, without warranty of any kind. Publisher and provider assume no obligation to inform readers of any changes in tax laws or other factors that could affect the information contained herein.</w:t>
      </w:r>
    </w:p>
    <w:p w14:paraId="58271F47" w14:textId="77777777" w:rsidR="004A397C" w:rsidRDefault="004A397C">
      <w:pPr>
        <w:rPr>
          <w:rFonts w:ascii="Times New Roman" w:eastAsia="Times New Roman" w:hAnsi="Times New Roman" w:cs="Times New Roman"/>
        </w:rPr>
      </w:pPr>
    </w:p>
    <w:p w14:paraId="21C0EB2D" w14:textId="77777777" w:rsidR="001240F1" w:rsidRPr="001240F1" w:rsidRDefault="001240F1" w:rsidP="001240F1">
      <w:pPr>
        <w:jc w:val="center"/>
        <w:rPr>
          <w:rFonts w:ascii="Times New Roman" w:eastAsia="Times New Roman" w:hAnsi="Times New Roman" w:cs="Times New Roman"/>
        </w:rPr>
      </w:pPr>
      <w:r w:rsidRPr="001240F1">
        <w:rPr>
          <w:rFonts w:ascii="Times New Roman" w:eastAsia="Times New Roman" w:hAnsi="Times New Roman" w:cs="Times New Roman"/>
        </w:rPr>
        <w:t xml:space="preserve">Securities and advisory services offered through LPL Financial, a registered investment advisor. Member </w:t>
      </w:r>
      <w:hyperlink r:id="rId7" w:anchor="/" w:history="1">
        <w:r w:rsidRPr="001240F1">
          <w:rPr>
            <w:rStyle w:val="Hyperlink"/>
            <w:rFonts w:ascii="Times New Roman" w:eastAsia="Times New Roman" w:hAnsi="Times New Roman" w:cs="Times New Roman"/>
          </w:rPr>
          <w:t>FINRA</w:t>
        </w:r>
      </w:hyperlink>
      <w:r w:rsidRPr="001240F1">
        <w:rPr>
          <w:rFonts w:ascii="Times New Roman" w:eastAsia="Times New Roman" w:hAnsi="Times New Roman" w:cs="Times New Roman"/>
        </w:rPr>
        <w:t>/</w:t>
      </w:r>
      <w:hyperlink r:id="rId8" w:history="1">
        <w:r w:rsidRPr="001240F1">
          <w:rPr>
            <w:rStyle w:val="Hyperlink"/>
            <w:rFonts w:ascii="Times New Roman" w:eastAsia="Times New Roman" w:hAnsi="Times New Roman" w:cs="Times New Roman"/>
          </w:rPr>
          <w:t>SIPC</w:t>
        </w:r>
      </w:hyperlink>
    </w:p>
    <w:p w14:paraId="010AD64C" w14:textId="77777777" w:rsidR="001240F1" w:rsidRPr="001240F1" w:rsidRDefault="001240F1" w:rsidP="001240F1">
      <w:pPr>
        <w:jc w:val="center"/>
        <w:rPr>
          <w:rFonts w:ascii="Times New Roman" w:eastAsia="Times New Roman" w:hAnsi="Times New Roman" w:cs="Times New Roman"/>
        </w:rPr>
      </w:pPr>
      <w:r w:rsidRPr="001240F1">
        <w:rPr>
          <w:rFonts w:ascii="Times New Roman" w:eastAsia="Times New Roman" w:hAnsi="Times New Roman" w:cs="Times New Roman"/>
        </w:rPr>
        <w:t>Any LPL Financial registered representative associated with this website may discuss and/or transact business only with residents of the states in which they are properly registered or licensed. No offers may be made or accepted from any resident of any other state.</w:t>
      </w:r>
    </w:p>
    <w:p w14:paraId="6FE7CBDE" w14:textId="4B8430DA" w:rsidR="004A397C" w:rsidRDefault="004A397C">
      <w:pPr>
        <w:jc w:val="center"/>
        <w:rPr>
          <w:rFonts w:ascii="Times New Roman" w:eastAsia="Times New Roman" w:hAnsi="Times New Roman" w:cs="Times New Roman"/>
        </w:rPr>
      </w:pPr>
    </w:p>
    <w:p w14:paraId="2A850520" w14:textId="77777777" w:rsidR="004A397C" w:rsidRDefault="004A397C">
      <w:pPr>
        <w:spacing w:after="240"/>
        <w:rPr>
          <w:rFonts w:ascii="Times New Roman" w:eastAsia="Times New Roman" w:hAnsi="Times New Roman" w:cs="Times New Roman"/>
        </w:rPr>
      </w:pPr>
    </w:p>
    <w:p w14:paraId="4C2271AB" w14:textId="77777777" w:rsidR="004A397C" w:rsidRDefault="00000000">
      <w:pPr>
        <w:rPr>
          <w:rFonts w:ascii="Times New Roman" w:eastAsia="Times New Roman" w:hAnsi="Times New Roman" w:cs="Times New Roman"/>
        </w:rPr>
      </w:pPr>
      <w:r>
        <w:rPr>
          <w:b/>
          <w:color w:val="808080"/>
          <w:sz w:val="20"/>
          <w:szCs w:val="20"/>
        </w:rPr>
        <w:t>Citations.</w:t>
      </w:r>
      <w:r>
        <w:rPr>
          <w:b/>
          <w:color w:val="808080"/>
          <w:sz w:val="16"/>
          <w:szCs w:val="16"/>
        </w:rPr>
        <w:t> </w:t>
      </w:r>
    </w:p>
    <w:p w14:paraId="606F8D2D" w14:textId="77777777" w:rsidR="004A397C" w:rsidRDefault="00000000">
      <w:pPr>
        <w:rPr>
          <w:color w:val="7F7F7F"/>
          <w:sz w:val="18"/>
          <w:szCs w:val="18"/>
        </w:rPr>
      </w:pPr>
      <w:r>
        <w:rPr>
          <w:color w:val="7F7F7F"/>
          <w:sz w:val="18"/>
          <w:szCs w:val="18"/>
        </w:rPr>
        <w:t>1. IRS.gov, 2023</w:t>
      </w:r>
    </w:p>
    <w:p w14:paraId="3287F24E" w14:textId="77777777" w:rsidR="004A397C" w:rsidRDefault="00000000">
      <w:pPr>
        <w:rPr>
          <w:color w:val="7F7F7F"/>
          <w:sz w:val="18"/>
          <w:szCs w:val="18"/>
        </w:rPr>
      </w:pPr>
      <w:r>
        <w:rPr>
          <w:color w:val="7F7F7F"/>
          <w:sz w:val="18"/>
          <w:szCs w:val="18"/>
        </w:rPr>
        <w:t>2. IRS.gov, 2023</w:t>
      </w:r>
    </w:p>
    <w:p w14:paraId="246776F3" w14:textId="77777777" w:rsidR="004A397C" w:rsidRDefault="00000000">
      <w:pPr>
        <w:rPr>
          <w:color w:val="7F7F7F"/>
          <w:sz w:val="18"/>
          <w:szCs w:val="18"/>
        </w:rPr>
      </w:pPr>
      <w:r>
        <w:rPr>
          <w:color w:val="7F7F7F"/>
          <w:sz w:val="18"/>
          <w:szCs w:val="18"/>
        </w:rPr>
        <w:t>3. IRS.gov, 2023</w:t>
      </w:r>
    </w:p>
    <w:p w14:paraId="304B0F3C" w14:textId="77777777" w:rsidR="004A397C" w:rsidRDefault="00000000">
      <w:pPr>
        <w:rPr>
          <w:color w:val="7F7F7F"/>
          <w:sz w:val="18"/>
          <w:szCs w:val="18"/>
        </w:rPr>
      </w:pPr>
      <w:r>
        <w:rPr>
          <w:color w:val="7F7F7F"/>
          <w:sz w:val="18"/>
          <w:szCs w:val="18"/>
        </w:rPr>
        <w:t>4. IRS.gov, 2023</w:t>
      </w:r>
    </w:p>
    <w:p w14:paraId="4A944B29" w14:textId="77777777" w:rsidR="004A397C" w:rsidRDefault="00000000">
      <w:pPr>
        <w:rPr>
          <w:color w:val="7F7F7F"/>
          <w:sz w:val="18"/>
          <w:szCs w:val="18"/>
        </w:rPr>
      </w:pPr>
      <w:r>
        <w:rPr>
          <w:color w:val="7F7F7F"/>
          <w:sz w:val="18"/>
          <w:szCs w:val="18"/>
        </w:rPr>
        <w:t>5. IRS.gov, 2023</w:t>
      </w:r>
    </w:p>
    <w:p w14:paraId="36143FFB" w14:textId="77777777" w:rsidR="004A397C" w:rsidRDefault="004A397C">
      <w:pPr>
        <w:rPr>
          <w:rFonts w:ascii="Times New Roman" w:eastAsia="Times New Roman" w:hAnsi="Times New Roman" w:cs="Times New Roman"/>
        </w:rPr>
      </w:pPr>
    </w:p>
    <w:p w14:paraId="41E76317" w14:textId="77777777" w:rsidR="004A397C" w:rsidRDefault="00000000">
      <w:pPr>
        <w:rPr>
          <w:rFonts w:ascii="Times New Roman" w:eastAsia="Times New Roman" w:hAnsi="Times New Roman" w:cs="Times New Roman"/>
        </w:rPr>
      </w:pPr>
      <w:r>
        <w:rPr>
          <w:noProof/>
          <w:color w:val="7F7F7F"/>
          <w:sz w:val="18"/>
          <w:szCs w:val="18"/>
        </w:rPr>
        <w:drawing>
          <wp:inline distT="0" distB="0" distL="0" distR="0" wp14:anchorId="7933033E" wp14:editId="3510543D">
            <wp:extent cx="5906831" cy="6845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06831" cy="684530"/>
                    </a:xfrm>
                    <a:prstGeom prst="rect">
                      <a:avLst/>
                    </a:prstGeom>
                    <a:ln/>
                  </pic:spPr>
                </pic:pic>
              </a:graphicData>
            </a:graphic>
          </wp:inline>
        </w:drawing>
      </w:r>
    </w:p>
    <w:p w14:paraId="64D13A34" w14:textId="77777777" w:rsidR="004A397C" w:rsidRDefault="004A397C"/>
    <w:sectPr w:rsidR="004A39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DE5"/>
    <w:multiLevelType w:val="multilevel"/>
    <w:tmpl w:val="20002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1316F0F"/>
    <w:multiLevelType w:val="multilevel"/>
    <w:tmpl w:val="C42076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14531509">
    <w:abstractNumId w:val="0"/>
  </w:num>
  <w:num w:numId="2" w16cid:durableId="75714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7C"/>
    <w:rsid w:val="001240F1"/>
    <w:rsid w:val="00297EF4"/>
    <w:rsid w:val="004A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79A1"/>
  <w15:docId w15:val="{57A29A5F-F114-4411-80AE-62CF28F6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240F1"/>
    <w:rPr>
      <w:color w:val="0000FF" w:themeColor="hyperlink"/>
      <w:u w:val="single"/>
    </w:rPr>
  </w:style>
  <w:style w:type="character" w:styleId="UnresolvedMention">
    <w:name w:val="Unresolved Mention"/>
    <w:basedOn w:val="DefaultParagraphFont"/>
    <w:uiPriority w:val="99"/>
    <w:semiHidden/>
    <w:unhideWhenUsed/>
    <w:rsid w:val="0012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02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pc.org/" TargetMode="External"/><Relationship Id="rId3" Type="http://schemas.openxmlformats.org/officeDocument/2006/relationships/styles" Target="styles.xml"/><Relationship Id="rId7" Type="http://schemas.openxmlformats.org/officeDocument/2006/relationships/hyperlink" Target="https://www.finr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IKgBP+uxZBJQM0tKT6NCiwhSg==">CgMxLjA4AHIhMS1la0ZpSzhreDRVZ1o4ZWhTb1hxN3loaUlqYXFuQ2s5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1424</Words>
  <Characters>8123</Characters>
  <Application>Microsoft Office Word</Application>
  <DocSecurity>8</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Coleman</cp:lastModifiedBy>
  <cp:revision>4</cp:revision>
  <dcterms:created xsi:type="dcterms:W3CDTF">2024-02-07T20:28:00Z</dcterms:created>
  <dcterms:modified xsi:type="dcterms:W3CDTF">2024-02-07T22:07:00Z</dcterms:modified>
</cp:coreProperties>
</file>