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3093" w14:textId="53F14B67" w:rsidR="00846B6E" w:rsidRPr="005C32C3" w:rsidRDefault="005C32C3" w:rsidP="005C32C3">
      <w:pPr>
        <w:jc w:val="center"/>
        <w:rPr>
          <w:b/>
          <w:bCs/>
        </w:rPr>
      </w:pPr>
      <w:r w:rsidRPr="005C32C3">
        <w:rPr>
          <w:b/>
          <w:bCs/>
        </w:rPr>
        <w:t>LANCE S. LORIA, CPA, LFACHE, FAAMA</w:t>
      </w:r>
    </w:p>
    <w:p w14:paraId="2C3678EC" w14:textId="63D8A3BD" w:rsidR="005C32C3" w:rsidRPr="005C32C3" w:rsidRDefault="005C32C3" w:rsidP="005C32C3">
      <w:pPr>
        <w:jc w:val="center"/>
        <w:rPr>
          <w:b/>
          <w:bCs/>
        </w:rPr>
      </w:pPr>
      <w:r w:rsidRPr="005C32C3">
        <w:rPr>
          <w:b/>
          <w:bCs/>
        </w:rPr>
        <w:t>Illustrative Primary Research Services</w:t>
      </w:r>
    </w:p>
    <w:p w14:paraId="09FD40CD" w14:textId="77777777" w:rsidR="005C32C3" w:rsidRDefault="005C32C3"/>
    <w:p w14:paraId="7E43602D" w14:textId="3A073781" w:rsidR="005C32C3" w:rsidRDefault="005C32C3" w:rsidP="00644368">
      <w:pPr>
        <w:jc w:val="both"/>
      </w:pPr>
      <w:r>
        <w:t>Loria Associates stands out from other Expert Witness firms by the Primary Research Services that we offer to clients.  Mr. Loria is a fact-based expert witness.  What this means, he doesn’t just testify that something is “so” because of his years of experience; it is “so” supported by facts and evidence.  Loria Associates has the capability to conduct research studies, market surveys, provider surveys, data mining, etc. as a means to accumulate evidence which otherwise doesn’t exist in a readily available format. These services are optional and when identified will be proposed on the basis of a separately negotiated fee-for-service basis.  Following are several examples of actual Primary Research Services performed by Loria Associates on behalf of litigation support and expert witness clients.</w:t>
      </w:r>
    </w:p>
    <w:p w14:paraId="29E32533" w14:textId="77777777" w:rsidR="005C32C3" w:rsidRDefault="005C32C3"/>
    <w:p w14:paraId="2CB5FD26" w14:textId="105F865A" w:rsidR="005C32C3" w:rsidRPr="008A203F" w:rsidRDefault="005C32C3">
      <w:pPr>
        <w:rPr>
          <w:b/>
          <w:bCs/>
          <w:i/>
          <w:iCs/>
          <w:u w:val="single"/>
        </w:rPr>
      </w:pPr>
      <w:r w:rsidRPr="008A203F">
        <w:rPr>
          <w:b/>
          <w:bCs/>
          <w:i/>
          <w:iCs/>
          <w:u w:val="single"/>
        </w:rPr>
        <w:t xml:space="preserve">Survey of Managed Care Payor Rates to Assess Actual Damages and </w:t>
      </w:r>
      <w:r w:rsidR="008A203F" w:rsidRPr="008A203F">
        <w:rPr>
          <w:b/>
          <w:bCs/>
          <w:i/>
          <w:iCs/>
          <w:u w:val="single"/>
        </w:rPr>
        <w:t>Lower Sentencing Under Federal Guidelines in a Criminal Fraud Case.</w:t>
      </w:r>
    </w:p>
    <w:p w14:paraId="3140742F" w14:textId="25406640" w:rsidR="008A203F" w:rsidRDefault="008A203F" w:rsidP="00644368">
      <w:pPr>
        <w:jc w:val="both"/>
      </w:pPr>
      <w:r>
        <w:t xml:space="preserve">The defendant was alleged guilty of $55 million of fraudulent billings and sentencing was going to be based upon that dollar amount.  The case involved reference laboratory billing through a hospital and the DoJ was focused on the gross charges.  Loria Associates performed a survey of contract rates with the major four payors and confirmed payment was at 300% of Medicare UCR and billed charges were not relevant.  This resulted in a substantial reduction to approximately $8 million of fraudulent damages and the Court accepted this value for application to the Federal Sentencing Guidelines.  </w:t>
      </w:r>
    </w:p>
    <w:p w14:paraId="2A5198BF" w14:textId="77777777" w:rsidR="008A203F" w:rsidRDefault="008A203F"/>
    <w:p w14:paraId="7EB2C344" w14:textId="267A0E3A" w:rsidR="008A203F" w:rsidRPr="008A203F" w:rsidRDefault="008A203F">
      <w:pPr>
        <w:rPr>
          <w:b/>
          <w:bCs/>
          <w:i/>
          <w:iCs/>
          <w:u w:val="single"/>
        </w:rPr>
      </w:pPr>
      <w:r>
        <w:rPr>
          <w:b/>
          <w:bCs/>
          <w:i/>
          <w:iCs/>
          <w:u w:val="single"/>
        </w:rPr>
        <w:t xml:space="preserve">Survey of </w:t>
      </w:r>
      <w:r w:rsidRPr="008A203F">
        <w:rPr>
          <w:b/>
          <w:bCs/>
          <w:i/>
          <w:iCs/>
          <w:u w:val="single"/>
        </w:rPr>
        <w:t>Allocation of Overhead Costs for SNF Medicare Cost Report in PRRB Appeal</w:t>
      </w:r>
    </w:p>
    <w:p w14:paraId="310DFB5D" w14:textId="5BF8AE08" w:rsidR="008A203F" w:rsidRDefault="00CD11F2" w:rsidP="00644368">
      <w:pPr>
        <w:jc w:val="both"/>
      </w:pPr>
      <w:r>
        <w:t>A chain provider of SNFs reported certain costs in the Nursing Administration cost center which was almost entirely allocated to the Routine cost center.  CMS stated that existing “policy” was to assign such costs to the Social Services cost center which was allocated to numerous cost centers and resulted in a much lower level of reimbursement.  If CMS presented a witness to testify, they would be given great deference by the PRRB and the provider needed evidence to support their position.</w:t>
      </w:r>
    </w:p>
    <w:p w14:paraId="28578D51" w14:textId="63005B58" w:rsidR="00CD11F2" w:rsidRDefault="00CD11F2" w:rsidP="00644368">
      <w:pPr>
        <w:jc w:val="both"/>
      </w:pPr>
      <w:r>
        <w:t xml:space="preserve">Loria Associates was convinced the CMS “policy” was false and proposed a nationwide survey of nursing home chains to document the cost finding method followed among SNFs.  A survey was completed of national and regional chains which were comprised of over 17,000 individual SNFs.  </w:t>
      </w:r>
      <w:r w:rsidR="008D2483">
        <w:lastRenderedPageBreak/>
        <w:t xml:space="preserve">Due to the industry consolidation, we were able to achieve this result by only contacting less than 40 SNF chains.  Existing relationships allowed us easy telephone access and we promptly completed the survey.  </w:t>
      </w:r>
      <w:r>
        <w:t>The result was approximately 97% reported the disputed costs in Nursing Administration.</w:t>
      </w:r>
      <w:r w:rsidR="008D2483">
        <w:t xml:space="preserve">  We submitted the survey results as an exhibit and CMS immediately  entered into an Administrative Resolution and confidential settlement of the appeal.</w:t>
      </w:r>
    </w:p>
    <w:p w14:paraId="0F03EFB3" w14:textId="227C3C19" w:rsidR="00CD11F2" w:rsidRDefault="00CD11F2">
      <w:r>
        <w:t xml:space="preserve"> </w:t>
      </w:r>
    </w:p>
    <w:p w14:paraId="3695760B" w14:textId="469731C0" w:rsidR="008D2483" w:rsidRPr="008D2483" w:rsidRDefault="008D2483">
      <w:pPr>
        <w:rPr>
          <w:b/>
          <w:bCs/>
          <w:i/>
          <w:iCs/>
          <w:u w:val="single"/>
        </w:rPr>
      </w:pPr>
      <w:r w:rsidRPr="008D2483">
        <w:rPr>
          <w:b/>
          <w:bCs/>
          <w:i/>
          <w:iCs/>
          <w:u w:val="single"/>
        </w:rPr>
        <w:t>Home Health Agency Dispute with Patient Estate Over Private Duty Billings</w:t>
      </w:r>
    </w:p>
    <w:p w14:paraId="3FA526B6" w14:textId="093702E3" w:rsidR="008D2483" w:rsidRDefault="008D2483" w:rsidP="00644368">
      <w:pPr>
        <w:jc w:val="both"/>
      </w:pPr>
      <w:r>
        <w:t xml:space="preserve">The patient estate disputed the monthly rate charged for Private Duty clinical, homemaker and personal care services.  They claimed the rates were not Usual, Customary or Reasonable.  Loria was quick to identify that Private Duty is not covered by commercial insurance and therefore the concept Usual and Customary do not apply to those services.  With respect to the challenge based on Reasonable prices Loria had the knowledge that such services were negotiated on a case-by-case basis.  Therefore, no two patient cases were the same and there was no basis for making a reasonable price comparison.  So rather than argue based on </w:t>
      </w:r>
      <w:r w:rsidR="00BE5B60">
        <w:t xml:space="preserve">inconclusive and messy </w:t>
      </w:r>
      <w:r>
        <w:t>price</w:t>
      </w:r>
      <w:r w:rsidR="00BE5B60">
        <w:t xml:space="preserve"> information,</w:t>
      </w:r>
      <w:r>
        <w:t xml:space="preserve"> we performed a survey of 40 home health agencies to confirm our understanding.  100% responded that </w:t>
      </w:r>
      <w:r w:rsidR="00BE5B60">
        <w:t>rates for Private Duty were negotiated on a case-by-case basis.  As a result, the final written contract signed between the parties was between a willing buyer and willing seller; thus, representing fair market value.  There was no other credible evidence presented in the case.</w:t>
      </w:r>
    </w:p>
    <w:p w14:paraId="2D87BCA2" w14:textId="77777777" w:rsidR="008D2483" w:rsidRDefault="008D2483"/>
    <w:p w14:paraId="5B03035A" w14:textId="77777777" w:rsidR="00CD11F2" w:rsidRDefault="00CD11F2"/>
    <w:sectPr w:rsidR="00CD1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C3"/>
    <w:rsid w:val="005C32C3"/>
    <w:rsid w:val="00644368"/>
    <w:rsid w:val="00846B6E"/>
    <w:rsid w:val="00857E8F"/>
    <w:rsid w:val="008A203F"/>
    <w:rsid w:val="008D2483"/>
    <w:rsid w:val="008E10C1"/>
    <w:rsid w:val="00BE5B60"/>
    <w:rsid w:val="00CD11F2"/>
    <w:rsid w:val="00E554EF"/>
    <w:rsid w:val="00EB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8CFB"/>
  <w15:chartTrackingRefBased/>
  <w15:docId w15:val="{D143B271-FFD9-4564-868E-B131E9D2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2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2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2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2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2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2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2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2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2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2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2C3"/>
    <w:rPr>
      <w:rFonts w:eastAsiaTheme="majorEastAsia" w:cstheme="majorBidi"/>
      <w:color w:val="272727" w:themeColor="text1" w:themeTint="D8"/>
    </w:rPr>
  </w:style>
  <w:style w:type="paragraph" w:styleId="Title">
    <w:name w:val="Title"/>
    <w:basedOn w:val="Normal"/>
    <w:next w:val="Normal"/>
    <w:link w:val="TitleChar"/>
    <w:uiPriority w:val="10"/>
    <w:qFormat/>
    <w:rsid w:val="005C3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2C3"/>
    <w:pPr>
      <w:spacing w:before="160"/>
      <w:jc w:val="center"/>
    </w:pPr>
    <w:rPr>
      <w:i/>
      <w:iCs/>
      <w:color w:val="404040" w:themeColor="text1" w:themeTint="BF"/>
    </w:rPr>
  </w:style>
  <w:style w:type="character" w:customStyle="1" w:styleId="QuoteChar">
    <w:name w:val="Quote Char"/>
    <w:basedOn w:val="DefaultParagraphFont"/>
    <w:link w:val="Quote"/>
    <w:uiPriority w:val="29"/>
    <w:rsid w:val="005C32C3"/>
    <w:rPr>
      <w:i/>
      <w:iCs/>
      <w:color w:val="404040" w:themeColor="text1" w:themeTint="BF"/>
    </w:rPr>
  </w:style>
  <w:style w:type="paragraph" w:styleId="ListParagraph">
    <w:name w:val="List Paragraph"/>
    <w:basedOn w:val="Normal"/>
    <w:uiPriority w:val="34"/>
    <w:qFormat/>
    <w:rsid w:val="005C32C3"/>
    <w:pPr>
      <w:ind w:left="720"/>
      <w:contextualSpacing/>
    </w:pPr>
  </w:style>
  <w:style w:type="character" w:styleId="IntenseEmphasis">
    <w:name w:val="Intense Emphasis"/>
    <w:basedOn w:val="DefaultParagraphFont"/>
    <w:uiPriority w:val="21"/>
    <w:qFormat/>
    <w:rsid w:val="005C32C3"/>
    <w:rPr>
      <w:i/>
      <w:iCs/>
      <w:color w:val="2F5496" w:themeColor="accent1" w:themeShade="BF"/>
    </w:rPr>
  </w:style>
  <w:style w:type="paragraph" w:styleId="IntenseQuote">
    <w:name w:val="Intense Quote"/>
    <w:basedOn w:val="Normal"/>
    <w:next w:val="Normal"/>
    <w:link w:val="IntenseQuoteChar"/>
    <w:uiPriority w:val="30"/>
    <w:qFormat/>
    <w:rsid w:val="005C3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2C3"/>
    <w:rPr>
      <w:i/>
      <w:iCs/>
      <w:color w:val="2F5496" w:themeColor="accent1" w:themeShade="BF"/>
    </w:rPr>
  </w:style>
  <w:style w:type="character" w:styleId="IntenseReference">
    <w:name w:val="Intense Reference"/>
    <w:basedOn w:val="DefaultParagraphFont"/>
    <w:uiPriority w:val="32"/>
    <w:qFormat/>
    <w:rsid w:val="005C3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Loria</dc:creator>
  <cp:keywords/>
  <dc:description/>
  <cp:lastModifiedBy>Lance Loria</cp:lastModifiedBy>
  <cp:revision>2</cp:revision>
  <dcterms:created xsi:type="dcterms:W3CDTF">2025-12-11T21:17:00Z</dcterms:created>
  <dcterms:modified xsi:type="dcterms:W3CDTF">2025-12-11T22:05:00Z</dcterms:modified>
</cp:coreProperties>
</file>