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kurtis-d.-bertram-dpm-facfas"/>
    <w:p>
      <w:pPr>
        <w:pStyle w:val="Heading1"/>
      </w:pPr>
      <w:r>
        <w:t xml:space="preserve">Kurtis D. Bertram, DPM, FACFAS</w:t>
      </w:r>
    </w:p>
    <w:p>
      <w:pPr>
        <w:pStyle w:val="FirstParagraph"/>
      </w:pPr>
      <w:r>
        <w:rPr>
          <w:b/>
          <w:bCs/>
        </w:rPr>
        <w:t xml:space="preserve">Foot and Ankle Surgeon • Expert Medical-Legal Consultant</w:t>
      </w:r>
      <w:r>
        <w:br/>
      </w:r>
      <w:r>
        <w:t xml:space="preserve">Washington, DC</w:t>
      </w:r>
      <w:r>
        <w:br/>
      </w:r>
      <w:r>
        <w:t xml:space="preserve">Email: kurtis.bertram@medstar.net • Phone: 631-645-8110</w:t>
      </w:r>
    </w:p>
    <w:p>
      <w:r>
        <w:pict>
          <v:rect style="width:0;height:1.5pt" o:hralign="center" o:hrstd="t" o:hr="t"/>
        </w:pict>
      </w:r>
    </w:p>
    <w:bookmarkEnd w:id="20"/>
    <w:bookmarkStart w:id="29" w:name="expert-witness-fee-schedule"/>
    <w:p>
      <w:pPr>
        <w:pStyle w:val="Heading1"/>
      </w:pPr>
      <w:r>
        <w:rPr>
          <w:b/>
          <w:bCs/>
        </w:rPr>
        <w:t xml:space="preserve">Expert Witness Fee Schedule</w:t>
      </w:r>
    </w:p>
    <w:bookmarkStart w:id="21" w:name="record-review-case-analysis"/>
    <w:p>
      <w:pPr>
        <w:pStyle w:val="Heading2"/>
      </w:pPr>
      <w:r>
        <w:rPr>
          <w:b/>
          <w:bCs/>
        </w:rPr>
        <w:t xml:space="preserve">Record Review / Case Analysis</w:t>
      </w:r>
    </w:p>
    <w:p>
      <w:pPr>
        <w:pStyle w:val="Compact"/>
        <w:numPr>
          <w:ilvl w:val="0"/>
          <w:numId w:val="1001"/>
        </w:numPr>
      </w:pPr>
      <w:r>
        <w:t xml:space="preserve">$600 per hour</w:t>
      </w:r>
    </w:p>
    <w:p>
      <w:pPr>
        <w:pStyle w:val="Compact"/>
        <w:numPr>
          <w:ilvl w:val="0"/>
          <w:numId w:val="1001"/>
        </w:numPr>
      </w:pPr>
      <w:r>
        <w:t xml:space="preserve">Billed in 0.25‑hour increments</w:t>
      </w:r>
    </w:p>
    <w:p>
      <w:pPr>
        <w:pStyle w:val="Compact"/>
        <w:numPr>
          <w:ilvl w:val="0"/>
          <w:numId w:val="1001"/>
        </w:numPr>
      </w:pPr>
      <w:r>
        <w:t xml:space="preserve">Includes chart review, imaging interpretation, literature review, and written opinions</w:t>
      </w:r>
    </w:p>
    <w:bookmarkEnd w:id="21"/>
    <w:bookmarkStart w:id="22" w:name="independent-medical-examination-ime"/>
    <w:p>
      <w:pPr>
        <w:pStyle w:val="Heading2"/>
      </w:pPr>
      <w:r>
        <w:rPr>
          <w:b/>
          <w:bCs/>
        </w:rPr>
        <w:t xml:space="preserve">Independent Medical Examination (IME)</w:t>
      </w:r>
    </w:p>
    <w:p>
      <w:pPr>
        <w:pStyle w:val="Compact"/>
        <w:numPr>
          <w:ilvl w:val="0"/>
          <w:numId w:val="1002"/>
        </w:numPr>
      </w:pPr>
      <w:r>
        <w:t xml:space="preserve">$1,750 flat rate (standard exam)</w:t>
      </w:r>
    </w:p>
    <w:p>
      <w:pPr>
        <w:pStyle w:val="Compact"/>
        <w:numPr>
          <w:ilvl w:val="0"/>
          <w:numId w:val="1002"/>
        </w:numPr>
      </w:pPr>
      <w:r>
        <w:t xml:space="preserve">Includes physical examination, chart review up to 200 pages, and finalized report</w:t>
      </w:r>
    </w:p>
    <w:p>
      <w:pPr>
        <w:pStyle w:val="Compact"/>
        <w:numPr>
          <w:ilvl w:val="0"/>
          <w:numId w:val="1002"/>
        </w:numPr>
      </w:pPr>
      <w:r>
        <w:t xml:space="preserve">Additional records beyond 200 pages billed at $550/hour</w:t>
      </w:r>
    </w:p>
    <w:bookmarkEnd w:id="22"/>
    <w:bookmarkStart w:id="23" w:name="depositions"/>
    <w:p>
      <w:pPr>
        <w:pStyle w:val="Heading2"/>
      </w:pPr>
      <w:r>
        <w:rPr>
          <w:b/>
          <w:bCs/>
        </w:rPr>
        <w:t xml:space="preserve">Depositions</w:t>
      </w:r>
    </w:p>
    <w:p>
      <w:pPr>
        <w:pStyle w:val="Compact"/>
        <w:numPr>
          <w:ilvl w:val="0"/>
          <w:numId w:val="1003"/>
        </w:numPr>
      </w:pPr>
      <w:r>
        <w:t xml:space="preserve">$650 per hour</w:t>
      </w:r>
    </w:p>
    <w:p>
      <w:pPr>
        <w:pStyle w:val="Compact"/>
        <w:numPr>
          <w:ilvl w:val="0"/>
          <w:numId w:val="1003"/>
        </w:numPr>
      </w:pPr>
      <w:r>
        <w:t xml:space="preserve">2‑hour minimum</w:t>
      </w:r>
    </w:p>
    <w:p>
      <w:pPr>
        <w:pStyle w:val="Compact"/>
        <w:numPr>
          <w:ilvl w:val="0"/>
          <w:numId w:val="1003"/>
        </w:numPr>
      </w:pPr>
      <w:r>
        <w:t xml:space="preserve">Portal-to-portal billing (time spent traveling or waiting is billed)</w:t>
      </w:r>
    </w:p>
    <w:p>
      <w:pPr>
        <w:pStyle w:val="Compact"/>
        <w:numPr>
          <w:ilvl w:val="0"/>
          <w:numId w:val="1003"/>
        </w:numPr>
      </w:pPr>
      <w:r>
        <w:t xml:space="preserve">Must be scheduled in advance</w:t>
      </w:r>
    </w:p>
    <w:bookmarkEnd w:id="23"/>
    <w:bookmarkStart w:id="24" w:name="trial-testimony"/>
    <w:p>
      <w:pPr>
        <w:pStyle w:val="Heading2"/>
      </w:pPr>
      <w:r>
        <w:rPr>
          <w:b/>
          <w:bCs/>
        </w:rPr>
        <w:t xml:space="preserve">Trial Testimony</w:t>
      </w:r>
    </w:p>
    <w:p>
      <w:pPr>
        <w:pStyle w:val="Compact"/>
        <w:numPr>
          <w:ilvl w:val="0"/>
          <w:numId w:val="1004"/>
        </w:numPr>
      </w:pPr>
      <w:r>
        <w:t xml:space="preserve">$750 per hour</w:t>
      </w:r>
    </w:p>
    <w:p>
      <w:pPr>
        <w:pStyle w:val="Compact"/>
        <w:numPr>
          <w:ilvl w:val="0"/>
          <w:numId w:val="1004"/>
        </w:numPr>
      </w:pPr>
      <w:r>
        <w:t xml:space="preserve">3‑hour minimum</w:t>
      </w:r>
    </w:p>
    <w:p>
      <w:pPr>
        <w:pStyle w:val="Compact"/>
        <w:numPr>
          <w:ilvl w:val="0"/>
          <w:numId w:val="1004"/>
        </w:numPr>
      </w:pPr>
      <w:r>
        <w:t xml:space="preserve">Portal-to-portal billing</w:t>
      </w:r>
    </w:p>
    <w:p>
      <w:pPr>
        <w:pStyle w:val="Compact"/>
        <w:numPr>
          <w:ilvl w:val="0"/>
          <w:numId w:val="1004"/>
        </w:numPr>
      </w:pPr>
      <w:r>
        <w:t xml:space="preserve">If testimony is canceled with &lt;48 hours’ notice, minimum is still billed</w:t>
      </w:r>
    </w:p>
    <w:bookmarkEnd w:id="24"/>
    <w:bookmarkStart w:id="25" w:name="meetings-attorney-conferences"/>
    <w:p>
      <w:pPr>
        <w:pStyle w:val="Heading2"/>
      </w:pPr>
      <w:r>
        <w:rPr>
          <w:b/>
          <w:bCs/>
        </w:rPr>
        <w:t xml:space="preserve">Meetings / Attorney Conferences</w:t>
      </w:r>
    </w:p>
    <w:p>
      <w:pPr>
        <w:pStyle w:val="Compact"/>
        <w:numPr>
          <w:ilvl w:val="0"/>
          <w:numId w:val="1005"/>
        </w:numPr>
      </w:pPr>
      <w:r>
        <w:t xml:space="preserve">$600 per hour</w:t>
      </w:r>
    </w:p>
    <w:p>
      <w:pPr>
        <w:pStyle w:val="Compact"/>
        <w:numPr>
          <w:ilvl w:val="0"/>
          <w:numId w:val="1005"/>
        </w:numPr>
      </w:pPr>
      <w:r>
        <w:t xml:space="preserve">Phone, Zoom, or in-person</w:t>
      </w:r>
    </w:p>
    <w:bookmarkEnd w:id="25"/>
    <w:bookmarkStart w:id="26" w:name="travel-time"/>
    <w:p>
      <w:pPr>
        <w:pStyle w:val="Heading2"/>
      </w:pPr>
      <w:r>
        <w:rPr>
          <w:b/>
          <w:bCs/>
        </w:rPr>
        <w:t xml:space="preserve">Travel Time</w:t>
      </w:r>
    </w:p>
    <w:p>
      <w:pPr>
        <w:pStyle w:val="Compact"/>
        <w:numPr>
          <w:ilvl w:val="0"/>
          <w:numId w:val="1006"/>
        </w:numPr>
      </w:pPr>
      <w:r>
        <w:t xml:space="preserve">$300 per hour</w:t>
      </w:r>
    </w:p>
    <w:p>
      <w:pPr>
        <w:pStyle w:val="Compact"/>
        <w:numPr>
          <w:ilvl w:val="0"/>
          <w:numId w:val="1006"/>
        </w:numPr>
      </w:pPr>
      <w:r>
        <w:t xml:space="preserve">Plus airfare, lodging, meals, and ground transportation if applicable</w:t>
      </w:r>
    </w:p>
    <w:bookmarkEnd w:id="26"/>
    <w:bookmarkStart w:id="27" w:name="retainer-prepayment-policy"/>
    <w:p>
      <w:pPr>
        <w:pStyle w:val="Heading2"/>
      </w:pPr>
      <w:r>
        <w:rPr>
          <w:b/>
          <w:bCs/>
        </w:rPr>
        <w:t xml:space="preserve">Retainer / Prepayment Policy</w:t>
      </w:r>
    </w:p>
    <w:p>
      <w:pPr>
        <w:pStyle w:val="Compact"/>
        <w:numPr>
          <w:ilvl w:val="0"/>
          <w:numId w:val="1007"/>
        </w:numPr>
      </w:pPr>
      <w:r>
        <w:t xml:space="preserve">Initial retainer:</w:t>
      </w:r>
      <w:r>
        <w:t xml:space="preserve"> </w:t>
      </w:r>
      <w:r>
        <w:rPr>
          <w:b/>
          <w:bCs/>
        </w:rPr>
        <w:t xml:space="preserve">$2,500</w:t>
      </w:r>
      <w:r>
        <w:t xml:space="preserve"> </w:t>
      </w:r>
      <w:r>
        <w:t xml:space="preserve">(applied toward review and consulting time)</w:t>
      </w:r>
    </w:p>
    <w:p>
      <w:pPr>
        <w:pStyle w:val="Compact"/>
        <w:numPr>
          <w:ilvl w:val="0"/>
          <w:numId w:val="1007"/>
        </w:numPr>
      </w:pPr>
      <w:r>
        <w:t xml:space="preserve">Required prior to beginning work</w:t>
      </w:r>
    </w:p>
    <w:bookmarkEnd w:id="27"/>
    <w:bookmarkStart w:id="28" w:name="payment-terms"/>
    <w:p>
      <w:pPr>
        <w:pStyle w:val="Heading2"/>
      </w:pPr>
      <w:r>
        <w:rPr>
          <w:b/>
          <w:bCs/>
        </w:rPr>
        <w:t xml:space="preserve">Payment Terms</w:t>
      </w:r>
    </w:p>
    <w:p>
      <w:pPr>
        <w:pStyle w:val="Compact"/>
        <w:numPr>
          <w:ilvl w:val="0"/>
          <w:numId w:val="1008"/>
        </w:numPr>
      </w:pPr>
      <w:r>
        <w:t xml:space="preserve">Invoices due within 15 days</w:t>
      </w:r>
    </w:p>
    <w:p>
      <w:pPr>
        <w:pStyle w:val="Compact"/>
        <w:numPr>
          <w:ilvl w:val="0"/>
          <w:numId w:val="1008"/>
        </w:numPr>
      </w:pPr>
      <w:r>
        <w:t xml:space="preserve">Late payments subject to a 10% monthly service charge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fee schedule is subject to change and provided upon request to attorneys and firms engaging Dr. Bertram for expert review, IMEs, depositions, or testimony.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2025-11-15T02:45:10Z</dcterms:created>
  <dcterms:modified xsi:type="dcterms:W3CDTF">2025-11-15T02:45:10Z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