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67020" w14:textId="77777777" w:rsidR="00C10F2A" w:rsidRDefault="00C10F2A">
      <w:pPr>
        <w:pStyle w:val="BodyA"/>
        <w:jc w:val="center"/>
        <w:rPr>
          <w:rFonts w:ascii="Times New Roman" w:eastAsia="Times New Roman" w:hAnsi="Times New Roman" w:cs="Times New Roman"/>
          <w:b/>
          <w:bCs/>
          <w:sz w:val="28"/>
          <w:szCs w:val="28"/>
        </w:rPr>
      </w:pPr>
    </w:p>
    <w:p w14:paraId="2D8ECB53" w14:textId="1A832FEB" w:rsidR="00C10F2A" w:rsidRDefault="00B5215A">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 xml:space="preserve"> </w:t>
      </w:r>
      <w:r w:rsidR="007F338C">
        <w:rPr>
          <w:rFonts w:ascii="Times New Roman" w:hAnsi="Times New Roman"/>
          <w:b/>
          <w:bCs/>
          <w:sz w:val="28"/>
          <w:szCs w:val="28"/>
        </w:rPr>
        <w:t>THE NEW CLASS OF HEARING PROTECTION DEVICES FOR WORKERS WITH MODERATE TO SEVERE HEARING LOSS</w:t>
      </w:r>
    </w:p>
    <w:p w14:paraId="5A1AEC38" w14:textId="77777777" w:rsidR="00C10F2A" w:rsidRDefault="00C10F2A">
      <w:pPr>
        <w:pStyle w:val="BodyAA"/>
        <w:jc w:val="center"/>
        <w:rPr>
          <w:rFonts w:ascii="Times New Roman" w:eastAsia="Times New Roman" w:hAnsi="Times New Roman" w:cs="Times New Roman"/>
          <w:b/>
          <w:bCs/>
          <w:sz w:val="32"/>
          <w:szCs w:val="32"/>
        </w:rPr>
      </w:pPr>
    </w:p>
    <w:p w14:paraId="55E4FB9B" w14:textId="77777777" w:rsidR="00C10F2A" w:rsidRDefault="00C10F2A">
      <w:pPr>
        <w:pStyle w:val="BodyAA"/>
        <w:rPr>
          <w:rFonts w:ascii="Times New Roman" w:eastAsia="Times New Roman" w:hAnsi="Times New Roman" w:cs="Times New Roman"/>
          <w:b/>
          <w:bCs/>
          <w:sz w:val="26"/>
          <w:szCs w:val="26"/>
        </w:rPr>
      </w:pPr>
    </w:p>
    <w:p w14:paraId="4C954C4A" w14:textId="77777777" w:rsidR="00C10F2A" w:rsidRDefault="00B5215A">
      <w:pPr>
        <w:pStyle w:val="BodyAA"/>
        <w:rPr>
          <w:rFonts w:ascii="Times New Roman" w:eastAsia="Times New Roman" w:hAnsi="Times New Roman" w:cs="Times New Roman"/>
          <w:b/>
          <w:bCs/>
        </w:rPr>
      </w:pPr>
      <w:r>
        <w:rPr>
          <w:rFonts w:ascii="Times New Roman" w:hAnsi="Times New Roman"/>
          <w:b/>
          <w:bCs/>
        </w:rPr>
        <w:t xml:space="preserve">         Robert M. Traynor, Ed.D., MBA, FNAP, Robert Traynor Audiology, LLC, Ft Collins, CO.</w:t>
      </w:r>
    </w:p>
    <w:p w14:paraId="169C8AB4" w14:textId="77777777" w:rsidR="00C10F2A" w:rsidRDefault="00C10F2A">
      <w:pPr>
        <w:pStyle w:val="BodyAA"/>
        <w:rPr>
          <w:rFonts w:ascii="Times New Roman" w:eastAsia="Times New Roman" w:hAnsi="Times New Roman" w:cs="Times New Roman"/>
          <w:b/>
          <w:bCs/>
        </w:rPr>
      </w:pPr>
    </w:p>
    <w:p w14:paraId="0E81CA60" w14:textId="77777777" w:rsidR="00C10F2A" w:rsidRDefault="00B5215A">
      <w:pPr>
        <w:pStyle w:val="BodyAA"/>
        <w:rPr>
          <w:rFonts w:ascii="Times New Roman" w:eastAsia="Times New Roman" w:hAnsi="Times New Roman" w:cs="Times New Roman"/>
          <w:b/>
          <w:bCs/>
        </w:rPr>
      </w:pPr>
      <w:r>
        <w:rPr>
          <w:rFonts w:ascii="Times New Roman" w:hAnsi="Times New Roman"/>
          <w:b/>
          <w:bCs/>
          <w:sz w:val="24"/>
          <w:szCs w:val="24"/>
        </w:rPr>
        <w:t xml:space="preserve">                          </w:t>
      </w:r>
      <w:r>
        <w:rPr>
          <w:rFonts w:ascii="Times New Roman" w:hAnsi="Times New Roman"/>
          <w:b/>
          <w:bCs/>
        </w:rPr>
        <w:t>Garry G. Gordon, M.S. Audiologist /CEO, E.A.R., Inc., Boulder CO.</w:t>
      </w:r>
    </w:p>
    <w:p w14:paraId="243D7415" w14:textId="77777777" w:rsidR="00C10F2A" w:rsidRDefault="00C10F2A">
      <w:pPr>
        <w:pStyle w:val="Body"/>
      </w:pPr>
    </w:p>
    <w:p w14:paraId="0D09993D" w14:textId="77777777" w:rsidR="004922C5" w:rsidRDefault="004922C5">
      <w:pPr>
        <w:pStyle w:val="BodyAA"/>
        <w:rPr>
          <w:rFonts w:ascii="Times New Roman" w:hAnsi="Times New Roman"/>
          <w:b/>
          <w:bCs/>
        </w:rPr>
      </w:pPr>
    </w:p>
    <w:p w14:paraId="649B0DBD" w14:textId="63674D33" w:rsidR="00C10F2A" w:rsidRDefault="00B5215A">
      <w:pPr>
        <w:pStyle w:val="BodyAA"/>
        <w:rPr>
          <w:rFonts w:ascii="Times New Roman" w:eastAsia="Times New Roman" w:hAnsi="Times New Roman" w:cs="Times New Roman"/>
          <w:b/>
          <w:bCs/>
        </w:rPr>
      </w:pPr>
      <w:r>
        <w:rPr>
          <w:rFonts w:ascii="Times New Roman" w:hAnsi="Times New Roman"/>
          <w:b/>
          <w:bCs/>
        </w:rPr>
        <w:t>INTRODUCTION</w:t>
      </w:r>
    </w:p>
    <w:p w14:paraId="2B6AE9C6" w14:textId="77777777" w:rsidR="00C10F2A" w:rsidRDefault="00C10F2A">
      <w:pPr>
        <w:pStyle w:val="BodyAA"/>
        <w:rPr>
          <w:rFonts w:ascii="Times New Roman" w:eastAsia="Times New Roman" w:hAnsi="Times New Roman" w:cs="Times New Roman"/>
          <w:b/>
          <w:bCs/>
        </w:rPr>
      </w:pPr>
    </w:p>
    <w:p w14:paraId="3F9709CD" w14:textId="77777777" w:rsidR="00C10F2A" w:rsidRDefault="00C10F2A">
      <w:pPr>
        <w:pStyle w:val="BodyAA"/>
        <w:rPr>
          <w:rFonts w:ascii="Times New Roman" w:eastAsia="Times New Roman" w:hAnsi="Times New Roman" w:cs="Times New Roman"/>
        </w:rPr>
      </w:pPr>
    </w:p>
    <w:p w14:paraId="205FD225" w14:textId="43EF59BD" w:rsidR="00C10F2A" w:rsidRDefault="00B5215A">
      <w:pPr>
        <w:pStyle w:val="Body"/>
        <w:spacing w:line="480" w:lineRule="auto"/>
      </w:pPr>
      <w:r>
        <w:t>In today</w:t>
      </w:r>
      <w:r>
        <w:rPr>
          <w:rtl/>
        </w:rPr>
        <w:t>’</w:t>
      </w:r>
      <w:r>
        <w:t xml:space="preserve">s global environment the ramifications of excessive noise exposure could not be more apparent. According to the </w:t>
      </w:r>
      <w:r w:rsidR="0065642D">
        <w:t xml:space="preserve">World Health Organization, </w:t>
      </w:r>
      <w:r>
        <w:t>unaddressed hearing loss is the third largest health disability. It is more common than diabetes, vision disability, or cancer. The two primary factors causing hearing loss are excessive noise exposure in addition to aging or presbycusis</w:t>
      </w:r>
      <w:r w:rsidR="0065642D">
        <w:t xml:space="preserve"> (WHO, 2021),</w:t>
      </w:r>
      <w:r>
        <w:t xml:space="preserve"> </w:t>
      </w:r>
    </w:p>
    <w:p w14:paraId="170D92A9" w14:textId="77777777" w:rsidR="00C10F2A" w:rsidRDefault="00C10F2A">
      <w:pPr>
        <w:pStyle w:val="Body"/>
        <w:spacing w:line="480" w:lineRule="auto"/>
      </w:pPr>
    </w:p>
    <w:p w14:paraId="516D29D9" w14:textId="6E351D67" w:rsidR="004922C5" w:rsidRDefault="00B5215A">
      <w:pPr>
        <w:pStyle w:val="Body"/>
        <w:spacing w:line="480" w:lineRule="auto"/>
      </w:pPr>
      <w:r>
        <w:t>Traditionally</w:t>
      </w:r>
      <w:r w:rsidR="0065642D">
        <w:t>,</w:t>
      </w:r>
      <w:r>
        <w:t xml:space="preserve"> reaching 65</w:t>
      </w:r>
      <w:r w:rsidR="001304E4">
        <w:t xml:space="preserve"> years of age</w:t>
      </w:r>
      <w:r>
        <w:t xml:space="preserve"> meant a person had become an </w:t>
      </w:r>
      <w:r>
        <w:rPr>
          <w:rtl/>
          <w:lang w:val="ar-SA"/>
        </w:rPr>
        <w:t>“</w:t>
      </w:r>
      <w:r>
        <w:t xml:space="preserve">old timer” needing to consider retirement.  Due to better healthcare and knowledge of successful medical treatments, the 21st century finds that people are working longer and, simultaneously, experiencing  hearing loss due to aging in addition to excessive noise exposure.   Kachcan et al (2015), in a study of 83,000 subjects compared people who </w:t>
      </w:r>
      <w:r w:rsidR="00D54E84">
        <w:rPr>
          <w:noProof/>
        </w:rPr>
        <w:drawing>
          <wp:anchor distT="57150" distB="57150" distL="57150" distR="57150" simplePos="0" relativeHeight="251631616" behindDoc="0" locked="0" layoutInCell="1" allowOverlap="1" wp14:anchorId="2F26B7DA" wp14:editId="07AD5E89">
            <wp:simplePos x="0" y="0"/>
            <wp:positionH relativeFrom="page">
              <wp:posOffset>666115</wp:posOffset>
            </wp:positionH>
            <wp:positionV relativeFrom="line">
              <wp:posOffset>133985</wp:posOffset>
            </wp:positionV>
            <wp:extent cx="4086225" cy="2503805"/>
            <wp:effectExtent l="0" t="0" r="9525" b="0"/>
            <wp:wrapSquare wrapText="bothSides" distT="57150" distB="57150" distL="57150" distR="5715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6"/>
                    <a:stretch>
                      <a:fillRect/>
                    </a:stretch>
                  </pic:blipFill>
                  <pic:spPr>
                    <a:xfrm>
                      <a:off x="0" y="0"/>
                      <a:ext cx="4086225" cy="25038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retired to </w:t>
      </w:r>
      <w:r w:rsidR="001304E4">
        <w:t>those</w:t>
      </w:r>
      <w:r>
        <w:t xml:space="preserve"> who worked past age 65.  </w:t>
      </w:r>
      <w:r w:rsidR="0065642D">
        <w:t>Results</w:t>
      </w:r>
      <w:r>
        <w:t xml:space="preserve"> discovered that those who worked past </w:t>
      </w:r>
      <w:r w:rsidR="001304E4">
        <w:t xml:space="preserve">age </w:t>
      </w:r>
      <w:r>
        <w:t>65 were about three times more likely to report good health and about half as likely to have serious health problems, such as cancer</w:t>
      </w:r>
      <w:r w:rsidR="00274CB4">
        <w:t>,</w:t>
      </w:r>
      <w:r>
        <w:t xml:space="preserve"> heart disease</w:t>
      </w:r>
      <w:r w:rsidR="00274CB4">
        <w:t>,</w:t>
      </w:r>
      <w:r>
        <w:t xml:space="preserve"> or severe hearing loss. Workers beyond age 65 have been increasing for some time.  For </w:t>
      </w:r>
      <w:r w:rsidR="004922C5">
        <w:t>example,</w:t>
      </w:r>
      <w:r>
        <w:t xml:space="preserve"> the data displayed in </w:t>
      </w:r>
      <w:r w:rsidR="0065642D">
        <w:t>F</w:t>
      </w:r>
      <w:r>
        <w:rPr>
          <w:lang w:val="fr-FR"/>
        </w:rPr>
        <w:t xml:space="preserve">igure </w:t>
      </w:r>
      <w:r w:rsidR="0065642D">
        <w:rPr>
          <w:lang w:val="fr-FR"/>
        </w:rPr>
        <w:t>1</w:t>
      </w:r>
      <w:r>
        <w:t xml:space="preserve"> from the U.S. Bureau of Labor Statistics indicates that from 1977 to 2007 there was a 101% increase </w:t>
      </w:r>
      <w:r w:rsidR="0065642D">
        <w:t>in employed</w:t>
      </w:r>
      <w:r>
        <w:t xml:space="preserve"> workers beyond the age of 65.   </w:t>
      </w:r>
    </w:p>
    <w:p w14:paraId="563650A2" w14:textId="77777777" w:rsidR="004922C5" w:rsidRDefault="004922C5">
      <w:pPr>
        <w:pStyle w:val="Body"/>
        <w:spacing w:line="480" w:lineRule="auto"/>
      </w:pPr>
    </w:p>
    <w:p w14:paraId="7EC0203A" w14:textId="77C1DDCF" w:rsidR="00C10F2A" w:rsidRDefault="00B5215A">
      <w:pPr>
        <w:pStyle w:val="Body"/>
        <w:spacing w:line="480" w:lineRule="auto"/>
      </w:pPr>
      <w:r>
        <w:t>According to Loudenback (2019)</w:t>
      </w:r>
      <w:r w:rsidR="0065642D">
        <w:t>,</w:t>
      </w:r>
      <w:r>
        <w:t xml:space="preserve"> not all baby boomers are itching to retire. While such </w:t>
      </w:r>
      <w:r>
        <w:rPr>
          <w:lang w:val="de-DE"/>
        </w:rPr>
        <w:t xml:space="preserve">studies </w:t>
      </w:r>
      <w:r w:rsidR="004922C5">
        <w:t>support the</w:t>
      </w:r>
      <w:r>
        <w:t xml:space="preserve"> observation that the U.S. work force continues to support an aging population</w:t>
      </w:r>
      <w:r w:rsidR="0065642D">
        <w:t>,</w:t>
      </w:r>
      <w:r>
        <w:t xml:space="preserve"> it is imperative to recognize the possibilities that one of the potential issues </w:t>
      </w:r>
      <w:r w:rsidR="0065642D">
        <w:t xml:space="preserve">in this group of employed workers over age 65 </w:t>
      </w:r>
      <w:r>
        <w:t xml:space="preserve">can be a moderate to severe hearing loss. </w:t>
      </w:r>
    </w:p>
    <w:p w14:paraId="2BA1522C" w14:textId="77777777" w:rsidR="00C10F2A" w:rsidRDefault="00C10F2A">
      <w:pPr>
        <w:pStyle w:val="Body"/>
        <w:spacing w:line="480" w:lineRule="auto"/>
      </w:pPr>
    </w:p>
    <w:p w14:paraId="66DA3A9F" w14:textId="77777777" w:rsidR="00C10F2A" w:rsidRDefault="00B5215A">
      <w:pPr>
        <w:pStyle w:val="Body"/>
        <w:spacing w:line="480" w:lineRule="auto"/>
        <w:rPr>
          <w:b/>
          <w:bCs/>
        </w:rPr>
      </w:pPr>
      <w:r>
        <w:rPr>
          <w:b/>
          <w:bCs/>
        </w:rPr>
        <w:t xml:space="preserve">THE PLIGHT OF MODERATE-SEVERE HEARING-IMPAIRED WORKERS </w:t>
      </w:r>
    </w:p>
    <w:p w14:paraId="3609D746" w14:textId="0DD9FC69" w:rsidR="00D54E84" w:rsidRDefault="004922C5">
      <w:pPr>
        <w:pStyle w:val="Body"/>
        <w:spacing w:line="480" w:lineRule="auto"/>
      </w:pPr>
      <w:r>
        <w:rPr>
          <w:noProof/>
        </w:rPr>
        <w:drawing>
          <wp:anchor distT="0" distB="0" distL="114300" distR="114300" simplePos="0" relativeHeight="251665408" behindDoc="0" locked="0" layoutInCell="1" allowOverlap="1" wp14:anchorId="5EF8A124" wp14:editId="5F4C557A">
            <wp:simplePos x="0" y="0"/>
            <wp:positionH relativeFrom="margin">
              <wp:align>right</wp:align>
            </wp:positionH>
            <wp:positionV relativeFrom="paragraph">
              <wp:posOffset>3151505</wp:posOffset>
            </wp:positionV>
            <wp:extent cx="2075180" cy="211455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5180" cy="21145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7CDFC72" wp14:editId="725FA937">
            <wp:simplePos x="0" y="0"/>
            <wp:positionH relativeFrom="column">
              <wp:posOffset>-114300</wp:posOffset>
            </wp:positionH>
            <wp:positionV relativeFrom="paragraph">
              <wp:posOffset>474980</wp:posOffset>
            </wp:positionV>
            <wp:extent cx="3657600" cy="2432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432050"/>
                    </a:xfrm>
                    <a:prstGeom prst="rect">
                      <a:avLst/>
                    </a:prstGeom>
                    <a:noFill/>
                  </pic:spPr>
                </pic:pic>
              </a:graphicData>
            </a:graphic>
          </wp:anchor>
        </w:drawing>
      </w:r>
      <w:r w:rsidR="00B5215A">
        <w:t xml:space="preserve">Among all noise-exposed workers, 19% have hearing impairment that impacts day-to-day activities, such as making it difficult to understand speech and enjoy normal routine activities. The incidence of hearing loss in the United States is well known. Figure </w:t>
      </w:r>
      <w:r w:rsidR="00D54E84">
        <w:t>2</w:t>
      </w:r>
      <w:r w:rsidR="00B5215A">
        <w:t xml:space="preserve"> presents from Hoffman et al (2016) suggesting that due to a combination of possible previous noise exposure complicated by presbycusis (old age hearing loss), the likelihood of older workers with a significant hearing loss is much greater than younger workers, Figure </w:t>
      </w:r>
      <w:r w:rsidR="00D54E84">
        <w:t>3</w:t>
      </w:r>
      <w:r w:rsidR="00B5215A">
        <w:t>. The concern with this issue is that in most cases younger workers can use traditional hearing protection devices (HPDs), while older workers with a hearing loss may require filtered or electronic devices that provide situational awareness.</w:t>
      </w:r>
    </w:p>
    <w:p w14:paraId="56A0A37D" w14:textId="77777777" w:rsidR="00D54E84" w:rsidRPr="00D54E84" w:rsidRDefault="00D54E84">
      <w:pPr>
        <w:pStyle w:val="Body"/>
        <w:spacing w:line="480" w:lineRule="auto"/>
      </w:pPr>
    </w:p>
    <w:p w14:paraId="55513B7A" w14:textId="23773B63" w:rsidR="00C10F2A" w:rsidRDefault="00B5215A">
      <w:pPr>
        <w:pStyle w:val="Body"/>
        <w:spacing w:line="480" w:lineRule="auto"/>
        <w:rPr>
          <w:b/>
          <w:bCs/>
          <w:sz w:val="28"/>
          <w:szCs w:val="28"/>
        </w:rPr>
      </w:pPr>
      <w:r>
        <w:rPr>
          <w:b/>
          <w:bCs/>
          <w:sz w:val="28"/>
          <w:szCs w:val="28"/>
        </w:rPr>
        <w:t xml:space="preserve">Situational Awareness </w:t>
      </w:r>
      <w:r w:rsidR="00D54E84">
        <w:rPr>
          <w:b/>
          <w:bCs/>
          <w:sz w:val="28"/>
          <w:szCs w:val="28"/>
        </w:rPr>
        <w:t xml:space="preserve">&amp; </w:t>
      </w:r>
      <w:r>
        <w:rPr>
          <w:b/>
          <w:bCs/>
          <w:sz w:val="28"/>
          <w:szCs w:val="28"/>
        </w:rPr>
        <w:t>Hearing Protection Devices</w:t>
      </w:r>
    </w:p>
    <w:p w14:paraId="08CC03E9" w14:textId="77777777" w:rsidR="004922C5" w:rsidRDefault="0065642D" w:rsidP="00274CB4">
      <w:pPr>
        <w:pStyle w:val="Body"/>
        <w:spacing w:line="480" w:lineRule="auto"/>
      </w:pPr>
      <w:r>
        <w:t>Situational awareness is</w:t>
      </w:r>
      <w:r w:rsidR="00274CB4">
        <w:t xml:space="preserve"> described as an </w:t>
      </w:r>
      <w:r>
        <w:t>acoustical aware</w:t>
      </w:r>
      <w:r w:rsidR="00274CB4">
        <w:t>ness</w:t>
      </w:r>
      <w:r>
        <w:t xml:space="preserve"> of environmental surroundings.  Berger and Voix (2022) describe this concept as being able to detect, recognize, and identify the source of the </w:t>
      </w:r>
    </w:p>
    <w:p w14:paraId="502318D7" w14:textId="77777777" w:rsidR="004922C5" w:rsidRDefault="004922C5" w:rsidP="00274CB4">
      <w:pPr>
        <w:pStyle w:val="Body"/>
        <w:spacing w:line="480" w:lineRule="auto"/>
      </w:pPr>
    </w:p>
    <w:p w14:paraId="781D2A60" w14:textId="08DFC281" w:rsidR="00274CB4" w:rsidRPr="00274CB4" w:rsidRDefault="0065642D" w:rsidP="00274CB4">
      <w:pPr>
        <w:pStyle w:val="Body"/>
        <w:spacing w:line="480" w:lineRule="auto"/>
      </w:pPr>
      <w:r>
        <w:t xml:space="preserve">sound. </w:t>
      </w:r>
      <w:r w:rsidR="00274CB4" w:rsidRPr="00274CB4">
        <w:t>Hearing warning sounds from alarms or machinery in addition to localizing environmental sounds is a critical concern for the safety of the employees in addition to those who work nearby.</w:t>
      </w:r>
    </w:p>
    <w:p w14:paraId="2863950F" w14:textId="0F43CA18" w:rsidR="00C10F2A" w:rsidRPr="00274CB4" w:rsidRDefault="00274CB4">
      <w:pPr>
        <w:pStyle w:val="Body"/>
        <w:spacing w:line="480" w:lineRule="auto"/>
        <w:rPr>
          <w:b/>
          <w:bCs/>
          <w:sz w:val="28"/>
          <w:szCs w:val="28"/>
        </w:rPr>
      </w:pPr>
      <w:r>
        <w:rPr>
          <w:noProof/>
        </w:rPr>
        <w:drawing>
          <wp:anchor distT="0" distB="0" distL="114300" distR="114300" simplePos="0" relativeHeight="251674624" behindDoc="0" locked="0" layoutInCell="1" allowOverlap="1" wp14:anchorId="0EB7CD52" wp14:editId="1ABB615B">
            <wp:simplePos x="0" y="0"/>
            <wp:positionH relativeFrom="margin">
              <wp:align>left</wp:align>
            </wp:positionH>
            <wp:positionV relativeFrom="paragraph">
              <wp:posOffset>1227455</wp:posOffset>
            </wp:positionV>
            <wp:extent cx="3620135" cy="22574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0135" cy="2257425"/>
                    </a:xfrm>
                    <a:prstGeom prst="rect">
                      <a:avLst/>
                    </a:prstGeom>
                    <a:noFill/>
                  </pic:spPr>
                </pic:pic>
              </a:graphicData>
            </a:graphic>
            <wp14:sizeRelH relativeFrom="margin">
              <wp14:pctWidth>0</wp14:pctWidth>
            </wp14:sizeRelH>
            <wp14:sizeRelV relativeFrom="margin">
              <wp14:pctHeight>0</wp14:pctHeight>
            </wp14:sizeRelV>
          </wp:anchor>
        </w:drawing>
      </w:r>
      <w:r w:rsidR="0065642D">
        <w:t xml:space="preserve"> </w:t>
      </w:r>
      <w:r>
        <w:t>As a means to preserve situational awareness but maintain hearing protection is to attenuate damaging noise, however, t</w:t>
      </w:r>
      <w:r w:rsidR="0065642D">
        <w:t>oo much attenuation has long been recognized as a serious concern in</w:t>
      </w:r>
      <w:r w:rsidR="0065642D">
        <w:rPr>
          <w:lang w:val="it-IT"/>
        </w:rPr>
        <w:t xml:space="preserve"> industrial</w:t>
      </w:r>
      <w:r w:rsidR="0065642D">
        <w:t>, military</w:t>
      </w:r>
      <w:r>
        <w:t>,</w:t>
      </w:r>
      <w:r w:rsidR="0065642D">
        <w:t xml:space="preserve"> and</w:t>
      </w:r>
      <w:r w:rsidR="00B5215A">
        <w:t xml:space="preserve"> recreational hearing conservation.  Quite some time ago, Nighswonger (2002) recognized major problems with the use of excess attenuation (sound reduction).  Over attenuating may contribute to employees being unable to adequately </w:t>
      </w:r>
      <w:r w:rsidR="00D54E84">
        <w:rPr>
          <w:lang w:val="fr-FR"/>
        </w:rPr>
        <w:t>communicante</w:t>
      </w:r>
      <w:r w:rsidR="00B5215A">
        <w:t xml:space="preserve"> with co-workers or hear critical sounds such as alarms or equipment noise resulting in modifying the fit of the assigned (HPD) device. </w:t>
      </w:r>
    </w:p>
    <w:p w14:paraId="0F5A1CD8" w14:textId="66814AE0" w:rsidR="00C10F2A" w:rsidRDefault="00C10F2A">
      <w:pPr>
        <w:pStyle w:val="Body"/>
        <w:spacing w:line="480" w:lineRule="auto"/>
      </w:pPr>
    </w:p>
    <w:p w14:paraId="0F114D62" w14:textId="3205AF6E" w:rsidR="00C10F2A" w:rsidRDefault="004922C5">
      <w:pPr>
        <w:pStyle w:val="Body"/>
        <w:spacing w:line="480" w:lineRule="auto"/>
      </w:pPr>
      <w:r>
        <w:rPr>
          <w:noProof/>
        </w:rPr>
        <w:drawing>
          <wp:anchor distT="0" distB="0" distL="114300" distR="114300" simplePos="0" relativeHeight="251681792" behindDoc="0" locked="0" layoutInCell="1" allowOverlap="1" wp14:anchorId="2D3D4211" wp14:editId="1BE3764A">
            <wp:simplePos x="0" y="0"/>
            <wp:positionH relativeFrom="column">
              <wp:posOffset>3162300</wp:posOffset>
            </wp:positionH>
            <wp:positionV relativeFrom="paragraph">
              <wp:posOffset>2011045</wp:posOffset>
            </wp:positionV>
            <wp:extent cx="3057525" cy="21653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165350"/>
                    </a:xfrm>
                    <a:prstGeom prst="rect">
                      <a:avLst/>
                    </a:prstGeom>
                    <a:noFill/>
                  </pic:spPr>
                </pic:pic>
              </a:graphicData>
            </a:graphic>
            <wp14:sizeRelH relativeFrom="margin">
              <wp14:pctWidth>0</wp14:pctWidth>
            </wp14:sizeRelH>
            <wp14:sizeRelV relativeFrom="margin">
              <wp14:pctHeight>0</wp14:pctHeight>
            </wp14:sizeRelV>
          </wp:anchor>
        </w:drawing>
      </w:r>
      <w:r>
        <w:t xml:space="preserve">Although passive hearing protection devices </w:t>
      </w:r>
      <w:r w:rsidR="006C3527">
        <w:t xml:space="preserve">(Figure 4) </w:t>
      </w:r>
      <w:r>
        <w:t xml:space="preserve">can be frustrating for the hearing-impaired seeking to preserve their hearing, </w:t>
      </w:r>
      <w:r w:rsidR="00B5215A">
        <w:t xml:space="preserve">Berger and Voix (2022) indicate that active HPDs </w:t>
      </w:r>
      <w:r w:rsidR="006C3527">
        <w:t xml:space="preserve">(Figure 5) </w:t>
      </w:r>
      <w:r w:rsidR="00B5215A">
        <w:t xml:space="preserve">have been proven to offer great benefit to both those with normal hearing </w:t>
      </w:r>
      <w:r w:rsidR="006C3527">
        <w:t>and</w:t>
      </w:r>
      <w:r w:rsidR="00B5215A">
        <w:t xml:space="preserve"> those with a noticeable hearing impairment.  Options include filtered ear protection in addition to digital electronic devices that amplify critical sounds while attenuating loud sounds such as wind or impact sounds. For employees with moderate to severe hearing loss</w:t>
      </w:r>
      <w:r w:rsidR="00FF1E97">
        <w:t>,</w:t>
      </w:r>
      <w:r w:rsidR="00B5215A">
        <w:t xml:space="preserve"> if they are not programmable, they can contribute to poorer hearing.</w:t>
      </w:r>
    </w:p>
    <w:p w14:paraId="78D82FB0" w14:textId="77777777" w:rsidR="004922C5" w:rsidRDefault="00274CB4">
      <w:pPr>
        <w:pStyle w:val="Body"/>
        <w:spacing w:line="480" w:lineRule="auto"/>
      </w:pPr>
      <w:r>
        <w:t xml:space="preserve">These researchers </w:t>
      </w:r>
      <w:r w:rsidR="00B5215A">
        <w:t xml:space="preserve">state that, when substantial hearing impairment is present, especially in the case of hearing aid users, decisions regarding employment in noisy occupations and/or the use of hearing protection are not clear cut. This has always </w:t>
      </w:r>
    </w:p>
    <w:p w14:paraId="5BBFD877" w14:textId="77777777" w:rsidR="004922C5" w:rsidRDefault="004922C5">
      <w:pPr>
        <w:pStyle w:val="Body"/>
        <w:spacing w:line="480" w:lineRule="auto"/>
      </w:pPr>
    </w:p>
    <w:p w14:paraId="58FF7B6C" w14:textId="77777777" w:rsidR="004922C5" w:rsidRDefault="004922C5">
      <w:pPr>
        <w:pStyle w:val="Body"/>
        <w:spacing w:line="480" w:lineRule="auto"/>
      </w:pPr>
    </w:p>
    <w:p w14:paraId="25D263F2" w14:textId="69E03288" w:rsidR="00C10F2A" w:rsidRDefault="00B5215A">
      <w:pPr>
        <w:pStyle w:val="Body"/>
        <w:spacing w:line="480" w:lineRule="auto"/>
      </w:pPr>
      <w:r>
        <w:t xml:space="preserve">been the view of OSHA and industrial audiology consultants as standard hearing aids are not designed to be used as an ear protector.  </w:t>
      </w:r>
    </w:p>
    <w:p w14:paraId="5C71A4F0" w14:textId="77777777" w:rsidR="004922C5" w:rsidRDefault="004922C5">
      <w:pPr>
        <w:pStyle w:val="Body"/>
        <w:spacing w:line="480" w:lineRule="auto"/>
        <w:rPr>
          <w:b/>
          <w:bCs/>
        </w:rPr>
      </w:pPr>
    </w:p>
    <w:p w14:paraId="27C70B19" w14:textId="5A5DD2ED" w:rsidR="00C10F2A" w:rsidRDefault="00B5215A">
      <w:pPr>
        <w:pStyle w:val="Body"/>
        <w:spacing w:line="480" w:lineRule="auto"/>
        <w:rPr>
          <w:b/>
          <w:bCs/>
        </w:rPr>
      </w:pPr>
      <w:r>
        <w:rPr>
          <w:b/>
          <w:bCs/>
        </w:rPr>
        <w:t>THE HPD SOLUTION FOR MODERATE TO SEVERE HEARING LOSS</w:t>
      </w:r>
    </w:p>
    <w:p w14:paraId="1A018D49" w14:textId="14A3421C" w:rsidR="00C10F2A" w:rsidRDefault="00D54E84">
      <w:pPr>
        <w:pStyle w:val="Body"/>
        <w:spacing w:line="480" w:lineRule="auto"/>
      </w:pPr>
      <w:r>
        <w:rPr>
          <w:noProof/>
        </w:rPr>
        <w:drawing>
          <wp:anchor distT="0" distB="0" distL="114300" distR="114300" simplePos="0" relativeHeight="251685888" behindDoc="0" locked="0" layoutInCell="1" allowOverlap="1" wp14:anchorId="7D2CE790" wp14:editId="430B0DFC">
            <wp:simplePos x="0" y="0"/>
            <wp:positionH relativeFrom="margin">
              <wp:align>left</wp:align>
            </wp:positionH>
            <wp:positionV relativeFrom="paragraph">
              <wp:posOffset>1185545</wp:posOffset>
            </wp:positionV>
            <wp:extent cx="2733675" cy="1767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5823" cy="1769287"/>
                    </a:xfrm>
                    <a:prstGeom prst="rect">
                      <a:avLst/>
                    </a:prstGeom>
                    <a:noFill/>
                  </pic:spPr>
                </pic:pic>
              </a:graphicData>
            </a:graphic>
            <wp14:sizeRelH relativeFrom="margin">
              <wp14:pctWidth>0</wp14:pctWidth>
            </wp14:sizeRelH>
            <wp14:sizeRelV relativeFrom="margin">
              <wp14:pctHeight>0</wp14:pctHeight>
            </wp14:sizeRelV>
          </wp:anchor>
        </w:drawing>
      </w:r>
      <w:r w:rsidR="00B5215A">
        <w:t>Just in time for the increasing older workers and those that have noisy recreational activities, new technology has become available making special hearing aids multifunctional that can be programmed to an individual</w:t>
      </w:r>
      <w:r w:rsidR="00B5215A">
        <w:rPr>
          <w:rtl/>
        </w:rPr>
        <w:t>’</w:t>
      </w:r>
      <w:r w:rsidR="00B5215A">
        <w:t>s hearing loss and modified to work very well as an ear protector</w:t>
      </w:r>
      <w:r w:rsidR="006C3527">
        <w:t xml:space="preserve"> (Figure 6)</w:t>
      </w:r>
      <w:r w:rsidR="00B5215A">
        <w:t>.  Basically, these devices use special ear couplings to the ear to facilitate its use in both modes, hearing aid</w:t>
      </w:r>
      <w:r w:rsidR="00777D78">
        <w:t>,</w:t>
      </w:r>
      <w:r w:rsidR="00B5215A">
        <w:t xml:space="preserve"> and </w:t>
      </w:r>
      <w:r w:rsidR="00BF0184">
        <w:t xml:space="preserve">as a </w:t>
      </w:r>
      <w:r w:rsidR="00B5215A">
        <w:t>hearing protection device.  These instruments usually begin as a lower technology device but may be upgraded by audiologists and hearing aid dispensers as necessary to offer premium technology by a simple upgrade.   For those experiencing tinnitus (ringing in the ears), 65% of the time when wearing hearing aids</w:t>
      </w:r>
      <w:r w:rsidR="00274CB4">
        <w:t>,</w:t>
      </w:r>
      <w:r w:rsidR="00B5215A">
        <w:t xml:space="preserve"> tinnitus is reduced or eliminated (Kochkin &amp; Tyler, 2008).</w:t>
      </w:r>
    </w:p>
    <w:p w14:paraId="4895DCC5" w14:textId="77777777" w:rsidR="00C10F2A" w:rsidRDefault="00C10F2A">
      <w:pPr>
        <w:pStyle w:val="Body"/>
        <w:spacing w:line="480" w:lineRule="auto"/>
      </w:pPr>
    </w:p>
    <w:p w14:paraId="384354B3" w14:textId="0594F0D5" w:rsidR="00C10F2A" w:rsidRDefault="00B5215A">
      <w:pPr>
        <w:pStyle w:val="Body"/>
        <w:spacing w:line="480" w:lineRule="auto"/>
      </w:pPr>
      <w:r>
        <w:t>In summary, there are more individuals working in noisy industrial environments or enjoying recreation</w:t>
      </w:r>
      <w:r w:rsidR="00274CB4">
        <w:t>al</w:t>
      </w:r>
      <w:r>
        <w:t xml:space="preserve"> activities past </w:t>
      </w:r>
      <w:r w:rsidR="00BF0184">
        <w:t xml:space="preserve">the </w:t>
      </w:r>
      <w:r>
        <w:t xml:space="preserve">age </w:t>
      </w:r>
      <w:r w:rsidR="00BF0184">
        <w:t xml:space="preserve">of </w:t>
      </w:r>
      <w:r>
        <w:t xml:space="preserve">65 and, today, there are multifunctional hearing aids that can be incorporated to continue working or enjoying noisy hobbies.  While they are not the </w:t>
      </w:r>
      <w:r w:rsidR="00D54E84">
        <w:t>over-the-counter</w:t>
      </w:r>
      <w:r>
        <w:t xml:space="preserve"> type of </w:t>
      </w:r>
      <w:r w:rsidR="008C5040">
        <w:t xml:space="preserve">hearing </w:t>
      </w:r>
      <w:r>
        <w:t>devices, multifunctional programable instruments are now a reality</w:t>
      </w:r>
      <w:r w:rsidR="008C5040">
        <w:t>,</w:t>
      </w:r>
      <w:r>
        <w:t xml:space="preserve"> enabling better hearing and improved safety for those with moderate to </w:t>
      </w:r>
      <w:r w:rsidR="00D54E84">
        <w:t>severe</w:t>
      </w:r>
      <w:r>
        <w:t xml:space="preserve"> hearing loss.  </w:t>
      </w:r>
    </w:p>
    <w:p w14:paraId="0A15166C" w14:textId="77777777" w:rsidR="00C10F2A" w:rsidRDefault="00C10F2A">
      <w:pPr>
        <w:pStyle w:val="Body"/>
        <w:spacing w:line="480" w:lineRule="auto"/>
      </w:pPr>
    </w:p>
    <w:p w14:paraId="6609D3F8" w14:textId="21C5A630" w:rsidR="00C10F2A" w:rsidRDefault="00C10F2A">
      <w:pPr>
        <w:pStyle w:val="Body"/>
        <w:spacing w:line="480" w:lineRule="auto"/>
      </w:pPr>
    </w:p>
    <w:p w14:paraId="36853E4E" w14:textId="77777777" w:rsidR="006C3527" w:rsidRDefault="006C3527">
      <w:pPr>
        <w:pStyle w:val="Body"/>
        <w:spacing w:line="480" w:lineRule="auto"/>
      </w:pPr>
    </w:p>
    <w:p w14:paraId="2215CDC7" w14:textId="77777777" w:rsidR="00C10F2A" w:rsidRDefault="00C10F2A">
      <w:pPr>
        <w:pStyle w:val="Body"/>
        <w:spacing w:line="480" w:lineRule="auto"/>
      </w:pPr>
    </w:p>
    <w:p w14:paraId="3984085C" w14:textId="65DA18B4" w:rsidR="00C10F2A" w:rsidRDefault="00C10F2A">
      <w:pPr>
        <w:pStyle w:val="Body"/>
        <w:spacing w:line="480" w:lineRule="auto"/>
      </w:pPr>
    </w:p>
    <w:p w14:paraId="6EE2858C" w14:textId="77777777" w:rsidR="00C10F2A" w:rsidRDefault="00B5215A">
      <w:pPr>
        <w:pStyle w:val="Body"/>
        <w:spacing w:line="480" w:lineRule="auto"/>
        <w:rPr>
          <w:b/>
          <w:bCs/>
          <w:sz w:val="28"/>
          <w:szCs w:val="28"/>
        </w:rPr>
      </w:pPr>
      <w:r>
        <w:rPr>
          <w:b/>
          <w:bCs/>
          <w:sz w:val="28"/>
          <w:szCs w:val="28"/>
          <w:lang w:val="fr-FR"/>
        </w:rPr>
        <w:t>References</w:t>
      </w:r>
    </w:p>
    <w:p w14:paraId="032A5129" w14:textId="77777777" w:rsidR="00C10F2A" w:rsidRDefault="00C10F2A">
      <w:pPr>
        <w:pStyle w:val="Body"/>
      </w:pPr>
    </w:p>
    <w:p w14:paraId="09784AC5" w14:textId="77777777" w:rsidR="00C10F2A" w:rsidRDefault="00B5215A">
      <w:pPr>
        <w:pStyle w:val="Body"/>
      </w:pPr>
      <w:r>
        <w:rPr>
          <w:rFonts w:eastAsia="Arial Unicode MS" w:cs="Arial Unicode MS"/>
        </w:rPr>
        <w:t xml:space="preserve">Bureau of Labor Statistics (2008).  Older workers:  Are there more older people in the workplace.  </w:t>
      </w:r>
    </w:p>
    <w:p w14:paraId="66D915DF" w14:textId="77777777" w:rsidR="00C10F2A" w:rsidRDefault="00B5215A">
      <w:pPr>
        <w:pStyle w:val="Body"/>
      </w:pPr>
      <w:r>
        <w:rPr>
          <w:rFonts w:eastAsia="Arial Unicode MS" w:cs="Arial Unicode MS"/>
        </w:rPr>
        <w:t xml:space="preserve">     </w:t>
      </w:r>
      <w:r>
        <w:rPr>
          <w:rFonts w:eastAsia="Arial Unicode MS" w:cs="Arial Unicode MS"/>
          <w:b/>
          <w:bCs/>
          <w:i/>
          <w:iCs/>
        </w:rPr>
        <w:t>Bureau of Labor Statistics</w:t>
      </w:r>
      <w:r>
        <w:rPr>
          <w:rFonts w:eastAsia="Arial Unicode MS" w:cs="Arial Unicode MS"/>
        </w:rPr>
        <w:t>, Washington, DC.</w:t>
      </w:r>
    </w:p>
    <w:p w14:paraId="31290696" w14:textId="77777777" w:rsidR="00C10F2A" w:rsidRDefault="00C10F2A">
      <w:pPr>
        <w:pStyle w:val="Body"/>
      </w:pPr>
    </w:p>
    <w:p w14:paraId="0DEE7958" w14:textId="77777777" w:rsidR="00C10F2A" w:rsidRDefault="00B5215A">
      <w:pPr>
        <w:pStyle w:val="Body"/>
        <w:rPr>
          <w:b/>
          <w:bCs/>
          <w:i/>
          <w:iCs/>
          <w:vertAlign w:val="superscript"/>
        </w:rPr>
      </w:pPr>
      <w:r>
        <w:rPr>
          <w:rFonts w:eastAsia="Arial Unicode MS" w:cs="Arial Unicode MS"/>
        </w:rPr>
        <w:t xml:space="preserve">Berger, E., Voix, J. (2022).  Chapter 11:  Hearing Protection Devices.  In </w:t>
      </w:r>
      <w:r>
        <w:rPr>
          <w:rFonts w:eastAsia="Arial Unicode MS" w:cs="Arial Unicode MS"/>
          <w:b/>
          <w:bCs/>
          <w:i/>
          <w:iCs/>
        </w:rPr>
        <w:t>The Noise Manual, 6</w:t>
      </w:r>
      <w:r>
        <w:rPr>
          <w:rFonts w:eastAsia="Arial Unicode MS" w:cs="Arial Unicode MS"/>
          <w:b/>
          <w:bCs/>
          <w:i/>
          <w:iCs/>
          <w:vertAlign w:val="superscript"/>
        </w:rPr>
        <w:t>th</w:t>
      </w:r>
    </w:p>
    <w:p w14:paraId="10B1D813" w14:textId="5C2ECD47" w:rsidR="00C10F2A" w:rsidRDefault="00B5215A">
      <w:pPr>
        <w:pStyle w:val="Body"/>
      </w:pPr>
      <w:r>
        <w:rPr>
          <w:rFonts w:eastAsia="Arial Unicode MS" w:cs="Arial Unicode MS"/>
          <w:b/>
          <w:bCs/>
          <w:i/>
          <w:iCs/>
          <w:vertAlign w:val="superscript"/>
        </w:rPr>
        <w:t xml:space="preserve">     </w:t>
      </w:r>
      <w:r>
        <w:rPr>
          <w:rFonts w:eastAsia="Arial Unicode MS" w:cs="Arial Unicode MS"/>
          <w:b/>
          <w:bCs/>
          <w:i/>
          <w:iCs/>
          <w:lang w:val="fr-FR"/>
        </w:rPr>
        <w:t xml:space="preserve"> Edition</w:t>
      </w:r>
      <w:r>
        <w:rPr>
          <w:rFonts w:eastAsia="Arial Unicode MS" w:cs="Arial Unicode MS"/>
          <w:lang w:val="de-DE"/>
        </w:rPr>
        <w:t>, Meinke, D., Berger, E., Driscoll,</w:t>
      </w:r>
      <w:r w:rsidR="004922C5">
        <w:rPr>
          <w:rFonts w:eastAsia="Arial Unicode MS" w:cs="Arial Unicode MS"/>
          <w:lang w:val="de-DE"/>
        </w:rPr>
        <w:t xml:space="preserve"> </w:t>
      </w:r>
      <w:r>
        <w:rPr>
          <w:rFonts w:eastAsia="Arial Unicode MS" w:cs="Arial Unicode MS"/>
          <w:lang w:val="de-DE"/>
        </w:rPr>
        <w:t xml:space="preserve">D., Neitzel, R., Bright, K., Eds., Falls Church, VA:  </w:t>
      </w:r>
    </w:p>
    <w:p w14:paraId="11BAFFBC" w14:textId="77777777" w:rsidR="00C10F2A" w:rsidRDefault="00B5215A">
      <w:pPr>
        <w:pStyle w:val="Body"/>
      </w:pPr>
      <w:r>
        <w:rPr>
          <w:rFonts w:eastAsia="Arial Unicode MS" w:cs="Arial Unicode MS"/>
          <w:lang w:val="it-IT"/>
        </w:rPr>
        <w:t xml:space="preserve">    American Hygiene Association. </w:t>
      </w:r>
    </w:p>
    <w:p w14:paraId="4DF196EE" w14:textId="77777777" w:rsidR="00C10F2A" w:rsidRDefault="00C10F2A">
      <w:pPr>
        <w:pStyle w:val="Body"/>
      </w:pPr>
    </w:p>
    <w:p w14:paraId="4837F4D0" w14:textId="77777777" w:rsidR="00C10F2A" w:rsidRDefault="00B5215A">
      <w:pPr>
        <w:pStyle w:val="Body"/>
      </w:pPr>
      <w:r>
        <w:rPr>
          <w:rFonts w:eastAsia="Arial Unicode MS" w:cs="Arial Unicode MS"/>
          <w:lang w:val="de-DE"/>
        </w:rPr>
        <w:t xml:space="preserve">Hoffman H., Dobie R., Losonczy K., Themann C., Flamme, G.(2016). </w:t>
      </w:r>
      <w:r>
        <w:rPr>
          <w:rFonts w:eastAsia="Arial Unicode MS" w:cs="Arial Unicode MS"/>
        </w:rPr>
        <w:t> Declining Prevalence of hearing loss in US Adults aged 20-69 Yeats.  JAMA Otolaryngology – Head &amp; Neck Surgery, Chicago, Il.</w:t>
      </w:r>
    </w:p>
    <w:p w14:paraId="25B7ACED" w14:textId="77777777" w:rsidR="00C10F2A" w:rsidRDefault="00C10F2A">
      <w:pPr>
        <w:pStyle w:val="Body"/>
      </w:pPr>
    </w:p>
    <w:p w14:paraId="1271C004" w14:textId="77777777" w:rsidR="00C10F2A" w:rsidRDefault="00B5215A">
      <w:pPr>
        <w:pStyle w:val="Body"/>
      </w:pPr>
      <w:r>
        <w:rPr>
          <w:rFonts w:eastAsia="Arial Unicode MS" w:cs="Arial Unicode MS"/>
        </w:rPr>
        <w:t xml:space="preserve">Kachan D, Fleming LE, Christ S, Muennig P, Prado G, Tannenbaum SL, et al. (2015).  Health Status of </w:t>
      </w:r>
    </w:p>
    <w:p w14:paraId="30E00A9B" w14:textId="77777777" w:rsidR="00C10F2A" w:rsidRDefault="00B5215A">
      <w:pPr>
        <w:pStyle w:val="Body"/>
        <w:rPr>
          <w:b/>
          <w:bCs/>
          <w:i/>
          <w:iCs/>
        </w:rPr>
      </w:pPr>
      <w:r>
        <w:rPr>
          <w:rFonts w:eastAsia="Arial Unicode MS" w:cs="Arial Unicode MS"/>
        </w:rPr>
        <w:t xml:space="preserve">     Older US Workers and Nonworkers, National Health Interview Survey, 1997–2011. </w:t>
      </w:r>
      <w:r>
        <w:rPr>
          <w:rFonts w:eastAsia="Arial Unicode MS" w:cs="Arial Unicode MS"/>
          <w:b/>
          <w:bCs/>
          <w:i/>
          <w:iCs/>
        </w:rPr>
        <w:t xml:space="preserve">Prev Chronic </w:t>
      </w:r>
    </w:p>
    <w:p w14:paraId="1E03BC25" w14:textId="77777777" w:rsidR="00C10F2A" w:rsidRDefault="00B5215A">
      <w:pPr>
        <w:pStyle w:val="Body"/>
      </w:pPr>
      <w:r>
        <w:rPr>
          <w:rFonts w:eastAsia="Arial Unicode MS" w:cs="Arial Unicode MS"/>
          <w:b/>
          <w:bCs/>
          <w:i/>
          <w:iCs/>
          <w:lang w:val="de-DE"/>
        </w:rPr>
        <w:t xml:space="preserve">     Dis</w:t>
      </w:r>
      <w:r>
        <w:rPr>
          <w:rFonts w:eastAsia="Arial Unicode MS" w:cs="Arial Unicode MS"/>
        </w:rPr>
        <w:t>, 12:150040.</w:t>
      </w:r>
    </w:p>
    <w:p w14:paraId="10559722" w14:textId="77777777" w:rsidR="00C10F2A" w:rsidRDefault="00C10F2A">
      <w:pPr>
        <w:pStyle w:val="Body"/>
      </w:pPr>
    </w:p>
    <w:p w14:paraId="3E93B5F7" w14:textId="77777777" w:rsidR="00C10F2A" w:rsidRDefault="00B5215A">
      <w:pPr>
        <w:pStyle w:val="Body"/>
      </w:pPr>
      <w:r>
        <w:rPr>
          <w:rFonts w:eastAsia="Arial Unicode MS" w:cs="Arial Unicode MS"/>
        </w:rPr>
        <w:t xml:space="preserve">Kochkin, S., Tyler, R. (2008). Tinnitus Treatment and the Effectiveness of Hearing Aids: Hearing Care </w:t>
      </w:r>
    </w:p>
    <w:p w14:paraId="43B88A90" w14:textId="77777777" w:rsidR="00C10F2A" w:rsidRDefault="00B5215A">
      <w:pPr>
        <w:pStyle w:val="Body"/>
      </w:pPr>
      <w:r>
        <w:rPr>
          <w:rFonts w:eastAsia="Arial Unicode MS" w:cs="Arial Unicode MS"/>
        </w:rPr>
        <w:t xml:space="preserve">     Professional Perceptions, </w:t>
      </w:r>
      <w:r>
        <w:rPr>
          <w:rFonts w:eastAsia="Arial Unicode MS" w:cs="Arial Unicode MS"/>
          <w:b/>
          <w:bCs/>
          <w:i/>
          <w:iCs/>
        </w:rPr>
        <w:t>Hearing Review.</w:t>
      </w:r>
      <w:r>
        <w:rPr>
          <w:rFonts w:eastAsia="Arial Unicode MS" w:cs="Arial Unicode MS"/>
        </w:rPr>
        <w:t xml:space="preserve"> 15(13), pp.14-18. </w:t>
      </w:r>
    </w:p>
    <w:p w14:paraId="745866B2" w14:textId="003DA6F0" w:rsidR="00C10F2A" w:rsidRDefault="00B5215A">
      <w:pPr>
        <w:pStyle w:val="Body"/>
      </w:pPr>
      <w:r>
        <w:rPr>
          <w:rFonts w:eastAsia="Arial Unicode MS" w:cs="Arial Unicode MS"/>
        </w:rPr>
        <w:t xml:space="preserve"> </w:t>
      </w:r>
    </w:p>
    <w:p w14:paraId="7E68BE4F" w14:textId="77777777" w:rsidR="00C10F2A" w:rsidRDefault="00B5215A">
      <w:pPr>
        <w:pStyle w:val="Body"/>
      </w:pPr>
      <w:r>
        <w:rPr>
          <w:rFonts w:eastAsia="Arial Unicode MS" w:cs="Arial Unicode MS"/>
          <w:lang w:val="nl-NL"/>
        </w:rPr>
        <w:t xml:space="preserve">Loudenback, T. (2019).  </w:t>
      </w:r>
      <w:hyperlink r:id="rId12" w:history="1">
        <w:r>
          <w:rPr>
            <w:rStyle w:val="Hyperlink0"/>
            <w:rFonts w:eastAsia="Arial Unicode MS" w:cs="Arial Unicode MS"/>
          </w:rPr>
          <w:t>Millions of Americans are working past 65, and it's not because they can't</w:t>
        </w:r>
      </w:hyperlink>
      <w:r>
        <w:rPr>
          <w:rFonts w:eastAsia="Arial Unicode MS" w:cs="Arial Unicode MS"/>
        </w:rPr>
        <w:t xml:space="preserve"> </w:t>
      </w:r>
    </w:p>
    <w:p w14:paraId="1359E273" w14:textId="77777777" w:rsidR="00C10F2A" w:rsidRDefault="00B5215A">
      <w:pPr>
        <w:pStyle w:val="Body"/>
      </w:pPr>
      <w:r>
        <w:rPr>
          <w:rFonts w:eastAsia="Arial Unicode MS" w:cs="Arial Unicode MS"/>
        </w:rPr>
        <w:t xml:space="preserve">     afford to retire. </w:t>
      </w:r>
      <w:r>
        <w:rPr>
          <w:rFonts w:eastAsia="Arial Unicode MS" w:cs="Arial Unicode MS"/>
          <w:b/>
          <w:bCs/>
          <w:i/>
          <w:iCs/>
          <w:lang w:val="pt-PT"/>
        </w:rPr>
        <w:t>Insider</w:t>
      </w:r>
      <w:r>
        <w:rPr>
          <w:rFonts w:eastAsia="Arial Unicode MS" w:cs="Arial Unicode MS"/>
        </w:rPr>
        <w:t>, Retrieved February 20, 2023.</w:t>
      </w:r>
    </w:p>
    <w:p w14:paraId="7A511217" w14:textId="77777777" w:rsidR="00C10F2A" w:rsidRDefault="00C10F2A">
      <w:pPr>
        <w:pStyle w:val="Body"/>
      </w:pPr>
    </w:p>
    <w:p w14:paraId="13300507" w14:textId="77777777" w:rsidR="00C10F2A" w:rsidRDefault="00B5215A">
      <w:pPr>
        <w:pStyle w:val="Body"/>
      </w:pPr>
      <w:r>
        <w:rPr>
          <w:rFonts w:eastAsia="Arial Unicode MS" w:cs="Arial Unicode MS"/>
          <w:lang w:val="pt-PT"/>
        </w:rPr>
        <w:t xml:space="preserve">Maestas, N. (2018).  </w:t>
      </w:r>
      <w:hyperlink r:id="rId13" w:history="1">
        <w:r>
          <w:rPr>
            <w:rStyle w:val="Hyperlink0"/>
            <w:rFonts w:eastAsia="Arial Unicode MS" w:cs="Arial Unicode MS"/>
          </w:rPr>
          <w:t>Working later in life can pay off in more than just income.</w:t>
        </w:r>
      </w:hyperlink>
    </w:p>
    <w:p w14:paraId="343D9D02" w14:textId="77777777" w:rsidR="00C10F2A" w:rsidRDefault="00B5215A">
      <w:pPr>
        <w:pStyle w:val="Body"/>
      </w:pPr>
      <w:r>
        <w:rPr>
          <w:rFonts w:eastAsia="Arial Unicode MS" w:cs="Arial Unicode MS"/>
          <w:b/>
          <w:bCs/>
          <w:i/>
          <w:iCs/>
        </w:rPr>
        <w:t xml:space="preserve">     Staying Healthy</w:t>
      </w:r>
      <w:r>
        <w:rPr>
          <w:rFonts w:eastAsia="Arial Unicode MS" w:cs="Arial Unicode MS"/>
        </w:rPr>
        <w:t xml:space="preserve">.  Cambridge, MA:  Harvard Health Publishing, Harvard Medical School. Retrieved </w:t>
      </w:r>
    </w:p>
    <w:p w14:paraId="3ABD29CC" w14:textId="77777777" w:rsidR="00C10F2A" w:rsidRDefault="00B5215A">
      <w:pPr>
        <w:pStyle w:val="Body"/>
      </w:pPr>
      <w:r>
        <w:rPr>
          <w:rFonts w:eastAsia="Arial Unicode MS" w:cs="Arial Unicode MS"/>
        </w:rPr>
        <w:t xml:space="preserve">     February 20, 2023.</w:t>
      </w:r>
    </w:p>
    <w:p w14:paraId="05F9494F" w14:textId="77777777" w:rsidR="00C10F2A" w:rsidRDefault="00C10F2A">
      <w:pPr>
        <w:pStyle w:val="Body"/>
      </w:pPr>
    </w:p>
    <w:p w14:paraId="477E1924" w14:textId="77777777" w:rsidR="00C10F2A" w:rsidRDefault="00B5215A">
      <w:pPr>
        <w:pStyle w:val="Body"/>
      </w:pPr>
      <w:r>
        <w:rPr>
          <w:rFonts w:eastAsia="Arial Unicode MS" w:cs="Arial Unicode MS"/>
          <w:lang w:val="nl-NL"/>
        </w:rPr>
        <w:t xml:space="preserve">Nighswonger, T. (2002). </w:t>
      </w:r>
      <w:hyperlink r:id="rId14" w:history="1">
        <w:r>
          <w:rPr>
            <w:rStyle w:val="Hyperlink0"/>
            <w:rFonts w:eastAsia="Arial Unicode MS" w:cs="Arial Unicode MS"/>
          </w:rPr>
          <w:t xml:space="preserve">Do Your Workers Wear Too Much Hearing Protection? </w:t>
        </w:r>
      </w:hyperlink>
      <w:r>
        <w:rPr>
          <w:rFonts w:eastAsia="Arial Unicode MS" w:cs="Arial Unicode MS"/>
        </w:rPr>
        <w:t xml:space="preserve"> EHS Today. October. </w:t>
      </w:r>
    </w:p>
    <w:p w14:paraId="072AB3AB" w14:textId="583A058D" w:rsidR="00C10F2A" w:rsidRDefault="00B5215A">
      <w:pPr>
        <w:pStyle w:val="Body"/>
      </w:pPr>
      <w:r>
        <w:rPr>
          <w:rFonts w:eastAsia="Arial Unicode MS" w:cs="Arial Unicode MS"/>
        </w:rPr>
        <w:t xml:space="preserve"> </w:t>
      </w:r>
    </w:p>
    <w:p w14:paraId="0C3B5A73" w14:textId="77777777" w:rsidR="00C10F2A" w:rsidRDefault="00B5215A">
      <w:pPr>
        <w:pStyle w:val="Body"/>
        <w:spacing w:line="480" w:lineRule="auto"/>
      </w:pPr>
      <w:r>
        <w:t xml:space="preserve">WHO (2021).  </w:t>
      </w:r>
      <w:r>
        <w:rPr>
          <w:b/>
          <w:bCs/>
          <w:i/>
          <w:iCs/>
        </w:rPr>
        <w:t>World Report on Hearing</w:t>
      </w:r>
      <w:r>
        <w:t>, World Health Organization, Geneva, Switzerland.</w:t>
      </w:r>
    </w:p>
    <w:p w14:paraId="45FDA81A" w14:textId="474DA828" w:rsidR="00C10F2A" w:rsidRDefault="00C10F2A">
      <w:pPr>
        <w:pStyle w:val="Body"/>
        <w:spacing w:line="480" w:lineRule="auto"/>
      </w:pPr>
    </w:p>
    <w:sectPr w:rsidR="00C10F2A">
      <w:headerReference w:type="default" r:id="rId15"/>
      <w:footerReference w:type="default" r:id="rId16"/>
      <w:pgSz w:w="12240" w:h="15840"/>
      <w:pgMar w:top="720" w:right="720" w:bottom="720" w:left="1440" w:header="73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C41F0" w14:textId="77777777" w:rsidR="0061626A" w:rsidRDefault="00B5215A">
      <w:r>
        <w:separator/>
      </w:r>
    </w:p>
  </w:endnote>
  <w:endnote w:type="continuationSeparator" w:id="0">
    <w:p w14:paraId="1B79B731" w14:textId="77777777" w:rsidR="0061626A" w:rsidRDefault="00B52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F2A2" w14:textId="77777777" w:rsidR="00C10F2A" w:rsidRDefault="00C10F2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33A05" w14:textId="77777777" w:rsidR="0061626A" w:rsidRDefault="00B5215A">
      <w:r>
        <w:separator/>
      </w:r>
    </w:p>
  </w:footnote>
  <w:footnote w:type="continuationSeparator" w:id="0">
    <w:p w14:paraId="7E5A5497" w14:textId="77777777" w:rsidR="0061626A" w:rsidRDefault="00B52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A512" w14:textId="77777777" w:rsidR="00C10F2A" w:rsidRDefault="00B5215A">
    <w:pPr>
      <w:pStyle w:val="Header"/>
      <w:tabs>
        <w:tab w:val="clear" w:pos="4680"/>
        <w:tab w:val="clear" w:pos="9360"/>
      </w:tabs>
      <w:jc w:val="right"/>
    </w:pPr>
    <w:r>
      <w:rPr>
        <w:color w:val="8496B0"/>
        <w:u w:color="8496B0"/>
      </w:rPr>
      <w:t xml:space="preserve">Page </w:t>
    </w:r>
    <w:r>
      <w:rPr>
        <w:color w:val="8496B0"/>
        <w:u w:color="8496B0"/>
      </w:rPr>
      <w:fldChar w:fldCharType="begin"/>
    </w:r>
    <w:r>
      <w:rPr>
        <w:color w:val="8496B0"/>
        <w:u w:color="8496B0"/>
      </w:rPr>
      <w:instrText xml:space="preserve"> PAGE </w:instrText>
    </w:r>
    <w:r>
      <w:rPr>
        <w:color w:val="8496B0"/>
        <w:u w:color="8496B0"/>
      </w:rPr>
      <w:fldChar w:fldCharType="separate"/>
    </w:r>
    <w:r w:rsidR="0065642D">
      <w:rPr>
        <w:noProof/>
        <w:color w:val="8496B0"/>
        <w:u w:color="8496B0"/>
      </w:rPr>
      <w:t>1</w:t>
    </w:r>
    <w:r>
      <w:rPr>
        <w:color w:val="8496B0"/>
        <w:u w:color="8496B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F2A"/>
    <w:rsid w:val="001304E4"/>
    <w:rsid w:val="00274CB4"/>
    <w:rsid w:val="002803B4"/>
    <w:rsid w:val="004922C5"/>
    <w:rsid w:val="0057178E"/>
    <w:rsid w:val="0061626A"/>
    <w:rsid w:val="0065642D"/>
    <w:rsid w:val="006C3527"/>
    <w:rsid w:val="00777D78"/>
    <w:rsid w:val="007F338C"/>
    <w:rsid w:val="008C5040"/>
    <w:rsid w:val="0090569C"/>
    <w:rsid w:val="00B5215A"/>
    <w:rsid w:val="00BF0184"/>
    <w:rsid w:val="00C10F2A"/>
    <w:rsid w:val="00D54E84"/>
    <w:rsid w:val="00FF1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4AB18"/>
  <w15:docId w15:val="{8DA27852-4412-4249-99A7-3243E67B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A">
    <w:name w:val="Body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BodyAA">
    <w:name w:val="Body A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health.harvard.edu/staying-healthy/working-later-in-life-can-pay-off-in-more-than-just-incom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businessinsider.com/personal-finance/baby-boomers-working-past-retirement-age-healthier-2019-4"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ehstoday.com/ppe/hearing-protection/article/21914762/do-your-workers-wear-too-much-hearing-protection"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Traynor</dc:creator>
  <cp:lastModifiedBy>Robert Traynor</cp:lastModifiedBy>
  <cp:revision>7</cp:revision>
  <cp:lastPrinted>2023-02-22T19:23:00Z</cp:lastPrinted>
  <dcterms:created xsi:type="dcterms:W3CDTF">2023-02-22T22:15:00Z</dcterms:created>
  <dcterms:modified xsi:type="dcterms:W3CDTF">2023-02-23T20:41:00Z</dcterms:modified>
</cp:coreProperties>
</file>