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2370"/>
        <w:gridCol w:w="7110"/>
      </w:tblGrid>
      <w:tr w:rsidR="00212CC3" w:rsidTr="00212C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12CC3" w:rsidRDefault="00212CC3" w:rsidP="00212CC3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Cambria" w:eastAsia="Times New Roman" w:hAnsi="Cambria" w:cs="Times New Roman"/>
                <w:b/>
                <w:bCs/>
                <w:kern w:val="36"/>
                <w:sz w:val="48"/>
                <w:szCs w:val="48"/>
              </w:rPr>
            </w:pPr>
            <w:r>
              <w:rPr>
                <w:rFonts w:ascii="Cambria" w:eastAsia="Times New Roman" w:hAnsi="Cambria" w:cs="Times New Roman"/>
                <w:b/>
                <w:bCs/>
                <w:kern w:val="36"/>
                <w:sz w:val="48"/>
                <w:szCs w:val="48"/>
              </w:rPr>
              <w:t>IMMUNIZATION CHECKLIST</w:t>
            </w:r>
          </w:p>
        </w:tc>
      </w:tr>
      <w:tr w:rsidR="00212CC3" w:rsidTr="00212C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12CC3" w:rsidRDefault="00212CC3">
            <w:pPr>
              <w:spacing w:before="100" w:beforeAutospacing="1" w:after="100" w:afterAutospacing="1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36"/>
                <w:szCs w:val="36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6"/>
                <w:szCs w:val="36"/>
              </w:rPr>
              <w:br/>
              <w:t>Grades Kindergarten through 12 (K-12)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DTP/DTaP/DT</w:t>
            </w: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4-5 Doses, 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last dose has to be after 4th birthday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(may receive vaccine 4 days or less prior to birthday)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Polio</w:t>
            </w: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3-4 Doses, </w:t>
            </w:r>
            <w:r>
              <w:rPr>
                <w:rFonts w:ascii="Cambria" w:eastAsia="Times New Roman" w:hAnsi="Cambria" w:cs="Times New Roman"/>
                <w:b/>
                <w:sz w:val="24"/>
                <w:szCs w:val="24"/>
              </w:rPr>
              <w:t>last dose has to be after 4th birthday</w:t>
            </w: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 (may receive vaccine 4 days or less prior to birthday)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Hepatitis B</w:t>
            </w: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3 Doses required K-12 (series requires 6 months to complete)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Varicella</w:t>
            </w: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 doses required or parental statement of history of chickenpox for incoming kindergartners and 7th graders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 xml:space="preserve">Measles, Mumps, Rubella (MMR) 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Hepatitis A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Meningitis vaccine</w:t>
            </w: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2 Doses on or after 1st birthday (may receive vaccine 4 days or less prior to birthday)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2 doses required for incoming kindergarteners beginning 2009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 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1 dose required for incoming 7th graders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First Time Entrant to Texas Public Schools:</w:t>
            </w: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4"/>
                <w:szCs w:val="24"/>
              </w:rPr>
              <w:t>Student is required to have a current immunization record to enter school, unless proper documentation from the Department of State Health Service for medical reasons or Reasons of Conscience are submitted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Students transferring from another Texas school:</w:t>
            </w:r>
          </w:p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sz w:val="24"/>
                <w:szCs w:val="24"/>
              </w:rPr>
              <w:t>Student is allowed a 30 day provisional enrollment while their current immunization record is sent from the former Texas school.</w:t>
            </w:r>
          </w:p>
        </w:tc>
      </w:tr>
    </w:tbl>
    <w:p w:rsidR="00212CC3" w:rsidRDefault="00212CC3" w:rsidP="00212CC3">
      <w:pPr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</w:rPr>
      </w:pPr>
      <w:r>
        <w:rPr>
          <w:rFonts w:ascii="Cambria" w:eastAsia="Times New Roman" w:hAnsi="Cambria" w:cs="Times New Roman"/>
          <w:sz w:val="24"/>
          <w:szCs w:val="24"/>
        </w:rPr>
        <w:pict>
          <v:rect id="_x0000_i1025" style="width:468pt;height:1.5pt" o:hralign="center" o:hrstd="t" o:hr="t" fillcolor="#aca899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355"/>
        <w:gridCol w:w="7065"/>
      </w:tblGrid>
      <w:tr w:rsidR="00212CC3" w:rsidTr="00212CC3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212CC3" w:rsidRDefault="00212CC3">
            <w:pPr>
              <w:spacing w:before="100" w:beforeAutospacing="1" w:after="100" w:afterAutospacing="1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sz w:val="36"/>
                <w:szCs w:val="36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36"/>
                <w:szCs w:val="36"/>
              </w:rPr>
              <w:t>Recommended Immunizations</w:t>
            </w: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Pneumococcal vaccine</w:t>
            </w:r>
          </w:p>
        </w:tc>
        <w:tc>
          <w:tcPr>
            <w:tcW w:w="3750" w:type="pct"/>
            <w:hideMark/>
          </w:tcPr>
          <w:p w:rsidR="00212CC3" w:rsidRDefault="00212CC3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Meningitis vaccine for all ages</w:t>
            </w:r>
          </w:p>
        </w:tc>
        <w:tc>
          <w:tcPr>
            <w:tcW w:w="3750" w:type="pct"/>
            <w:hideMark/>
          </w:tcPr>
          <w:p w:rsidR="00212CC3" w:rsidRDefault="00212CC3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Yearly flu vaccine</w:t>
            </w:r>
          </w:p>
        </w:tc>
        <w:tc>
          <w:tcPr>
            <w:tcW w:w="3750" w:type="pct"/>
            <w:hideMark/>
          </w:tcPr>
          <w:p w:rsidR="00212CC3" w:rsidRDefault="00212CC3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HPV (Human Papillovirus) series for adolescents age 11-12</w:t>
            </w:r>
          </w:p>
        </w:tc>
        <w:tc>
          <w:tcPr>
            <w:tcW w:w="3750" w:type="pct"/>
            <w:hideMark/>
          </w:tcPr>
          <w:p w:rsidR="00212CC3" w:rsidRDefault="00212CC3">
            <w:pPr>
              <w:spacing w:after="0"/>
              <w:rPr>
                <w:rFonts w:eastAsiaTheme="minorEastAsia" w:cs="Times New Roman"/>
              </w:rPr>
            </w:pPr>
          </w:p>
        </w:tc>
      </w:tr>
      <w:tr w:rsidR="00212CC3" w:rsidTr="00212CC3">
        <w:trPr>
          <w:tblCellSpacing w:w="0" w:type="dxa"/>
        </w:trPr>
        <w:tc>
          <w:tcPr>
            <w:tcW w:w="1250" w:type="pct"/>
            <w:hideMark/>
          </w:tcPr>
          <w:p w:rsidR="00212CC3" w:rsidRDefault="00212CC3">
            <w:pPr>
              <w:spacing w:after="0" w:line="240" w:lineRule="auto"/>
              <w:rPr>
                <w:rFonts w:ascii="Cambria" w:eastAsia="Times New Roman" w:hAnsi="Cambria" w:cs="Times New Roman"/>
              </w:rPr>
            </w:pPr>
            <w:r>
              <w:rPr>
                <w:rFonts w:ascii="Cambria" w:eastAsia="Times New Roman" w:hAnsi="Cambria" w:cs="Times New Roman"/>
              </w:rPr>
              <w:t>Additional information in English and Spanish can be obtained at: dshs.state.tx.us</w:t>
            </w:r>
          </w:p>
        </w:tc>
        <w:tc>
          <w:tcPr>
            <w:tcW w:w="3750" w:type="pct"/>
            <w:hideMark/>
          </w:tcPr>
          <w:p w:rsidR="00212CC3" w:rsidRDefault="00212CC3">
            <w:pPr>
              <w:spacing w:after="0"/>
              <w:rPr>
                <w:rFonts w:eastAsiaTheme="minorEastAsia" w:cs="Times New Roman"/>
              </w:rPr>
            </w:pPr>
          </w:p>
        </w:tc>
      </w:tr>
    </w:tbl>
    <w:p w:rsidR="005A0A02" w:rsidRDefault="005A0A02"/>
    <w:sectPr w:rsidR="005A0A02" w:rsidSect="005A0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2CC3"/>
    <w:rsid w:val="00212CC3"/>
    <w:rsid w:val="005A0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Angie Avila</dc:creator>
  <cp:keywords/>
  <dc:description/>
  <cp:lastModifiedBy>Angie Avila</cp:lastModifiedBy>
  <cp:revision>1</cp:revision>
  <dcterms:created xsi:type="dcterms:W3CDTF">2016-06-07T14:28:00Z</dcterms:created>
  <dcterms:modified xsi:type="dcterms:W3CDTF">2016-06-07T14:30:00Z</dcterms:modified>
</cp:coreProperties>
</file>