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63D" w:rsidRPr="000238E3" w:rsidRDefault="004D763D" w:rsidP="004D763D">
      <w:pPr>
        <w:spacing w:after="0" w:line="240" w:lineRule="auto"/>
        <w:rPr>
          <w:rFonts w:ascii="Cambria" w:hAnsi="Cambria"/>
          <w:sz w:val="24"/>
        </w:rPr>
      </w:pPr>
      <w:r w:rsidRPr="000238E3">
        <w:rPr>
          <w:rFonts w:ascii="Bookman Old Style" w:hAnsi="Bookman Old Style"/>
          <w:b/>
          <w:szCs w:val="20"/>
          <w:u w:val="single"/>
        </w:rPr>
        <w:t xml:space="preserve">Unit </w:t>
      </w:r>
      <w:r>
        <w:rPr>
          <w:rFonts w:ascii="Bookman Old Style" w:hAnsi="Bookman Old Style"/>
          <w:b/>
          <w:szCs w:val="20"/>
          <w:u w:val="single"/>
        </w:rPr>
        <w:t>7</w:t>
      </w:r>
      <w:r w:rsidRPr="000238E3">
        <w:rPr>
          <w:rFonts w:ascii="Bookman Old Style" w:hAnsi="Bookman Old Style"/>
          <w:b/>
          <w:szCs w:val="20"/>
          <w:u w:val="single"/>
        </w:rPr>
        <w:t>:</w:t>
      </w:r>
      <w:r w:rsidRPr="000238E3">
        <w:rPr>
          <w:rFonts w:ascii="Bookman Old Style" w:hAnsi="Bookman Old Style"/>
          <w:b/>
          <w:szCs w:val="20"/>
        </w:rPr>
        <w:t xml:space="preserve">  </w:t>
      </w:r>
      <w:r>
        <w:rPr>
          <w:rFonts w:ascii="Cambria" w:hAnsi="Cambria"/>
          <w:sz w:val="24"/>
        </w:rPr>
        <w:t>Solving Quadratic Equations</w:t>
      </w:r>
    </w:p>
    <w:p w:rsidR="004D763D" w:rsidRDefault="004D763D" w:rsidP="004D763D">
      <w:pPr>
        <w:spacing w:after="0" w:line="240" w:lineRule="auto"/>
        <w:rPr>
          <w:rFonts w:ascii="Bookman Old Style" w:hAnsi="Bookman Old Style"/>
          <w:b/>
          <w:sz w:val="20"/>
          <w:szCs w:val="20"/>
          <w:u w:val="single"/>
        </w:rPr>
      </w:pPr>
    </w:p>
    <w:p w:rsidR="004D763D" w:rsidRPr="00AF7063" w:rsidRDefault="004D763D" w:rsidP="004D763D">
      <w:pPr>
        <w:pStyle w:val="Default"/>
        <w:rPr>
          <w:rFonts w:ascii="Bookman Old Style" w:hAnsi="Bookman Old Style"/>
          <w:sz w:val="20"/>
          <w:szCs w:val="20"/>
        </w:rPr>
      </w:pPr>
      <w:r w:rsidRPr="00AF7063">
        <w:rPr>
          <w:rFonts w:ascii="Bookman Old Style" w:hAnsi="Bookman Old Style"/>
          <w:b/>
          <w:sz w:val="18"/>
          <w:szCs w:val="20"/>
          <w:u w:val="single"/>
        </w:rPr>
        <w:t>Overview:</w:t>
      </w:r>
      <w:r w:rsidRPr="00AF7063">
        <w:rPr>
          <w:rFonts w:ascii="Bookman Old Style" w:hAnsi="Bookman Old Style"/>
          <w:b/>
          <w:sz w:val="18"/>
          <w:szCs w:val="20"/>
        </w:rPr>
        <w:t xml:space="preserve">  </w:t>
      </w:r>
      <w:r w:rsidRPr="00181D82">
        <w:rPr>
          <w:rFonts w:ascii="Bookman Old Style" w:hAnsi="Bookman Old Style"/>
          <w:sz w:val="20"/>
          <w:szCs w:val="20"/>
        </w:rPr>
        <w:t>After learning in Unit 6 how to multiply polynomials, students will learn in this unit how to undo the process of multiplying polynomials to factor polynomials. Students began factoring work in the 6</w:t>
      </w:r>
      <w:r w:rsidRPr="00181D82">
        <w:rPr>
          <w:rFonts w:ascii="Bookman Old Style" w:hAnsi="Bookman Old Style"/>
          <w:sz w:val="20"/>
          <w:szCs w:val="20"/>
          <w:vertAlign w:val="superscript"/>
        </w:rPr>
        <w:t>th</w:t>
      </w:r>
      <w:r w:rsidRPr="00181D82">
        <w:rPr>
          <w:rFonts w:ascii="Bookman Old Style" w:hAnsi="Bookman Old Style"/>
          <w:sz w:val="20"/>
          <w:szCs w:val="20"/>
        </w:rPr>
        <w:t xml:space="preserve"> grade where they applied the distributive property to simplify an expression involving a variable as well as to factor out a greatest common factor of an expression involving a variable. This unit will build on this work by increasing the complexity of the expressions and the complexity of applying the distributive property. This unit will begin by teaching students the necessary conceptual understanding and procedural skill and fluency in factoring quadratics to enable them to finish the unit by solvin</w:t>
      </w:r>
      <w:bookmarkStart w:id="0" w:name="_GoBack"/>
      <w:bookmarkEnd w:id="0"/>
      <w:r w:rsidRPr="00181D82">
        <w:rPr>
          <w:rFonts w:ascii="Bookman Old Style" w:hAnsi="Bookman Old Style"/>
          <w:sz w:val="20"/>
          <w:szCs w:val="20"/>
        </w:rPr>
        <w:t>g quadratic equations. Students will also solve quadratic equations that cannot be solved by factoring requiring the introduction of completing the square and then further develop into the quadratic formula. Once these alternate methods have been established, students will reengage in solving quadratic equations and extend their work to include quadratics with irrational solutions. By the end of this unit, students will be able to select the most appropriate solution method based on the initial form of the equation.</w:t>
      </w:r>
    </w:p>
    <w:p w:rsidR="00E75A3E" w:rsidRPr="00E75A3E" w:rsidRDefault="00E75A3E" w:rsidP="00E75A3E">
      <w:pPr>
        <w:spacing w:after="0" w:line="240" w:lineRule="auto"/>
        <w:rPr>
          <w:rFonts w:ascii="Bookman Old Style" w:hAnsi="Bookman Old Style"/>
          <w:b/>
          <w:sz w:val="20"/>
          <w:szCs w:val="20"/>
          <w:u w:val="single"/>
        </w:rPr>
      </w:pPr>
    </w:p>
    <w:p w:rsidR="00A4641A" w:rsidRPr="000238E3" w:rsidRDefault="00F51846" w:rsidP="00A4641A">
      <w:pPr>
        <w:spacing w:after="0"/>
        <w:rPr>
          <w:rFonts w:ascii="Bookman Old Style" w:hAnsi="Bookman Old Style"/>
          <w:b/>
          <w:szCs w:val="20"/>
          <w:u w:val="single"/>
        </w:rPr>
      </w:pPr>
      <w:r>
        <w:rPr>
          <w:rFonts w:ascii="Bookman Old Style" w:hAnsi="Bookman Old Style"/>
          <w:b/>
          <w:szCs w:val="20"/>
          <w:u w:val="single"/>
        </w:rPr>
        <w:t>Louisiana Student</w:t>
      </w:r>
      <w:r w:rsidR="00BD1919" w:rsidRPr="000238E3">
        <w:rPr>
          <w:rFonts w:ascii="Bookman Old Style" w:hAnsi="Bookman Old Style"/>
          <w:b/>
          <w:szCs w:val="20"/>
          <w:u w:val="single"/>
        </w:rPr>
        <w:t xml:space="preserve"> Standards</w:t>
      </w:r>
      <w:r w:rsidR="00A4641A" w:rsidRPr="000238E3">
        <w:rPr>
          <w:rFonts w:ascii="Bookman Old Style" w:hAnsi="Bookman Old Style"/>
          <w:b/>
          <w:szCs w:val="20"/>
          <w:u w:val="single"/>
        </w:rPr>
        <w:t xml:space="preserve">:  </w:t>
      </w:r>
    </w:p>
    <w:tbl>
      <w:tblPr>
        <w:tblW w:w="10825" w:type="dxa"/>
        <w:tblCellMar>
          <w:left w:w="0" w:type="dxa"/>
          <w:right w:w="0" w:type="dxa"/>
        </w:tblCellMar>
        <w:tblLook w:val="04A0" w:firstRow="1" w:lastRow="0" w:firstColumn="1" w:lastColumn="0" w:noHBand="0" w:noVBand="1"/>
      </w:tblPr>
      <w:tblGrid>
        <w:gridCol w:w="255"/>
        <w:gridCol w:w="963"/>
        <w:gridCol w:w="465"/>
        <w:gridCol w:w="9142"/>
      </w:tblGrid>
      <w:tr w:rsidR="004D763D" w:rsidRPr="000E69D6" w:rsidTr="000E69D6">
        <w:tc>
          <w:tcPr>
            <w:tcW w:w="1218" w:type="dxa"/>
            <w:gridSpan w:val="2"/>
            <w:tcMar>
              <w:top w:w="75" w:type="dxa"/>
              <w:left w:w="75" w:type="dxa"/>
              <w:bottom w:w="75" w:type="dxa"/>
              <w:right w:w="75" w:type="dxa"/>
            </w:tcMar>
            <w:hideMark/>
          </w:tcPr>
          <w:p w:rsidR="004D763D" w:rsidRPr="00CB5C93" w:rsidRDefault="004D763D" w:rsidP="004D763D">
            <w:pPr>
              <w:spacing w:after="0"/>
              <w:rPr>
                <w:rFonts w:ascii="Bookman Old Style" w:hAnsi="Bookman Old Style"/>
                <w:color w:val="000000"/>
                <w:szCs w:val="15"/>
              </w:rPr>
            </w:pPr>
            <w:r>
              <w:rPr>
                <w:rStyle w:val="Strong"/>
                <w:rFonts w:ascii="Bookman Old Style" w:hAnsi="Bookman Old Style"/>
                <w:color w:val="000000"/>
              </w:rPr>
              <w:t>A</w:t>
            </w:r>
            <w:r w:rsidRPr="00CB5C93">
              <w:rPr>
                <w:rStyle w:val="Strong"/>
                <w:rFonts w:ascii="Bookman Old Style" w:hAnsi="Bookman Old Style"/>
                <w:color w:val="000000"/>
              </w:rPr>
              <w:t>.</w:t>
            </w:r>
            <w:r>
              <w:rPr>
                <w:rStyle w:val="Strong"/>
                <w:rFonts w:ascii="Bookman Old Style" w:hAnsi="Bookman Old Style"/>
                <w:color w:val="000000"/>
              </w:rPr>
              <w:t>SSE.3a</w:t>
            </w:r>
          </w:p>
        </w:tc>
        <w:tc>
          <w:tcPr>
            <w:tcW w:w="9607" w:type="dxa"/>
            <w:gridSpan w:val="2"/>
            <w:tcMar>
              <w:top w:w="75" w:type="dxa"/>
              <w:left w:w="75" w:type="dxa"/>
              <w:bottom w:w="75" w:type="dxa"/>
              <w:right w:w="75" w:type="dxa"/>
            </w:tcMar>
            <w:vAlign w:val="bottom"/>
            <w:hideMark/>
          </w:tcPr>
          <w:p w:rsidR="004D763D" w:rsidRPr="0063319A" w:rsidRDefault="004D763D" w:rsidP="004D763D">
            <w:pPr>
              <w:spacing w:after="0"/>
              <w:rPr>
                <w:rFonts w:ascii="Bookman Old Style" w:hAnsi="Bookman Old Style"/>
                <w:color w:val="000000"/>
                <w:szCs w:val="15"/>
              </w:rPr>
            </w:pPr>
            <w:r w:rsidRPr="0063319A">
              <w:rPr>
                <w:rFonts w:ascii="Bookman Old Style" w:hAnsi="Bookman Old Style"/>
                <w:color w:val="000000"/>
                <w:shd w:val="clear" w:color="auto" w:fill="FFFFFF"/>
              </w:rPr>
              <w:t>Factor a quadratic expression to reveal the zeros of the function it defines.</w:t>
            </w:r>
          </w:p>
        </w:tc>
      </w:tr>
      <w:tr w:rsidR="00FF1F5C" w:rsidRPr="000E69D6" w:rsidTr="000E69D6">
        <w:tc>
          <w:tcPr>
            <w:tcW w:w="1218" w:type="dxa"/>
            <w:gridSpan w:val="2"/>
            <w:tcMar>
              <w:top w:w="75" w:type="dxa"/>
              <w:left w:w="75" w:type="dxa"/>
              <w:bottom w:w="75" w:type="dxa"/>
              <w:right w:w="75" w:type="dxa"/>
            </w:tcMar>
          </w:tcPr>
          <w:p w:rsidR="00FF1F5C" w:rsidRPr="00FF1F5C" w:rsidRDefault="00FF1F5C" w:rsidP="00FF1F5C">
            <w:pPr>
              <w:spacing w:after="0"/>
              <w:rPr>
                <w:rStyle w:val="Strong"/>
                <w:rFonts w:ascii="Bookman Old Style" w:hAnsi="Bookman Old Style"/>
                <w:color w:val="000000"/>
              </w:rPr>
            </w:pPr>
          </w:p>
        </w:tc>
        <w:tc>
          <w:tcPr>
            <w:tcW w:w="9607" w:type="dxa"/>
            <w:gridSpan w:val="2"/>
            <w:tcMar>
              <w:top w:w="75" w:type="dxa"/>
              <w:left w:w="75" w:type="dxa"/>
              <w:bottom w:w="75" w:type="dxa"/>
              <w:right w:w="75" w:type="dxa"/>
            </w:tcMar>
            <w:vAlign w:val="bottom"/>
          </w:tcPr>
          <w:p w:rsidR="00FF1F5C" w:rsidRPr="00FF1F5C" w:rsidRDefault="00FF1F5C" w:rsidP="00FF1F5C">
            <w:pPr>
              <w:spacing w:after="0"/>
              <w:rPr>
                <w:rFonts w:ascii="Bookman Old Style" w:hAnsi="Bookman Old Style"/>
                <w:color w:val="000000"/>
              </w:rPr>
            </w:pPr>
          </w:p>
        </w:tc>
      </w:tr>
      <w:tr w:rsidR="0015580A" w:rsidRPr="00635F5E" w:rsidTr="00AE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55" w:type="dxa"/>
          <w:trHeight w:val="440"/>
        </w:trPr>
        <w:tc>
          <w:tcPr>
            <w:tcW w:w="1428" w:type="dxa"/>
            <w:gridSpan w:val="2"/>
          </w:tcPr>
          <w:p w:rsidR="0015580A" w:rsidRPr="00635F5E" w:rsidRDefault="0015580A" w:rsidP="0015580A">
            <w:pPr>
              <w:spacing w:after="0" w:line="240" w:lineRule="auto"/>
              <w:rPr>
                <w:rFonts w:ascii="Bookman Old Style" w:hAnsi="Bookman Old Style"/>
                <w:b/>
                <w:sz w:val="20"/>
                <w:szCs w:val="20"/>
              </w:rPr>
            </w:pPr>
            <w:r w:rsidRPr="00635F5E">
              <w:rPr>
                <w:rFonts w:ascii="Bookman Old Style" w:hAnsi="Bookman Old Style"/>
                <w:b/>
                <w:sz w:val="20"/>
                <w:szCs w:val="20"/>
              </w:rPr>
              <w:t>Monday</w:t>
            </w:r>
          </w:p>
        </w:tc>
        <w:tc>
          <w:tcPr>
            <w:tcW w:w="9142" w:type="dxa"/>
            <w:tcBorders>
              <w:bottom w:val="single" w:sz="4" w:space="0" w:color="auto"/>
            </w:tcBorders>
          </w:tcPr>
          <w:p w:rsidR="003E7BA4" w:rsidRPr="003E7BA4" w:rsidRDefault="003E7BA4" w:rsidP="003E7BA4">
            <w:pPr>
              <w:numPr>
                <w:ilvl w:val="0"/>
                <w:numId w:val="33"/>
              </w:numPr>
              <w:spacing w:after="0" w:line="240" w:lineRule="auto"/>
              <w:ind w:left="360"/>
              <w:rPr>
                <w:rStyle w:val="Strong"/>
                <w:rFonts w:ascii="Bookman Old Style" w:hAnsi="Bookman Old Style"/>
                <w:b w:val="0"/>
              </w:rPr>
            </w:pPr>
            <w:r w:rsidRPr="003E7BA4">
              <w:rPr>
                <w:rStyle w:val="Strong"/>
                <w:rFonts w:ascii="Bookman Old Style" w:hAnsi="Bookman Old Style"/>
                <w:b w:val="0"/>
              </w:rPr>
              <w:t>First Five:  Graphing Quadratic Functions</w:t>
            </w:r>
          </w:p>
          <w:p w:rsidR="003E7BA4" w:rsidRPr="003E7BA4" w:rsidRDefault="003E7BA4" w:rsidP="003E7BA4">
            <w:pPr>
              <w:numPr>
                <w:ilvl w:val="0"/>
                <w:numId w:val="33"/>
              </w:numPr>
              <w:spacing w:after="0" w:line="240" w:lineRule="auto"/>
              <w:ind w:left="360"/>
              <w:rPr>
                <w:rStyle w:val="Strong"/>
                <w:rFonts w:ascii="Bookman Old Style" w:hAnsi="Bookman Old Style"/>
                <w:b w:val="0"/>
              </w:rPr>
            </w:pPr>
            <w:r w:rsidRPr="003E7BA4">
              <w:rPr>
                <w:rStyle w:val="Strong"/>
                <w:rFonts w:ascii="Bookman Old Style" w:hAnsi="Bookman Old Style"/>
                <w:b w:val="0"/>
              </w:rPr>
              <w:t>Class Work:  TTW complete</w:t>
            </w:r>
            <w:r w:rsidR="002440CD">
              <w:rPr>
                <w:rStyle w:val="Strong"/>
                <w:rFonts w:ascii="Bookman Old Style" w:hAnsi="Bookman Old Style"/>
                <w:b w:val="0"/>
              </w:rPr>
              <w:t xml:space="preserve"> Quiz #10 Scatterplots</w:t>
            </w:r>
          </w:p>
          <w:p w:rsidR="003E7BA4" w:rsidRPr="003E7BA4" w:rsidRDefault="003E7BA4" w:rsidP="003E7BA4">
            <w:pPr>
              <w:numPr>
                <w:ilvl w:val="0"/>
                <w:numId w:val="33"/>
              </w:numPr>
              <w:spacing w:after="0" w:line="240" w:lineRule="auto"/>
              <w:ind w:left="360"/>
              <w:rPr>
                <w:rStyle w:val="Strong"/>
                <w:rFonts w:ascii="Bookman Old Style" w:hAnsi="Bookman Old Style"/>
                <w:b w:val="0"/>
              </w:rPr>
            </w:pPr>
            <w:r w:rsidRPr="003E7BA4">
              <w:rPr>
                <w:rStyle w:val="Strong"/>
                <w:rFonts w:ascii="Bookman Old Style" w:hAnsi="Bookman Old Style"/>
                <w:b w:val="0"/>
              </w:rPr>
              <w:t>Conclusion: Ticket Out</w:t>
            </w:r>
          </w:p>
          <w:p w:rsidR="0015580A" w:rsidRPr="003E7BA4" w:rsidRDefault="0015580A" w:rsidP="0015580A">
            <w:pPr>
              <w:pStyle w:val="ListParagraph"/>
              <w:ind w:left="360"/>
              <w:rPr>
                <w:rStyle w:val="Strong"/>
                <w:rFonts w:ascii="Bookman Old Style" w:hAnsi="Bookman Old Style"/>
                <w:b w:val="0"/>
              </w:rPr>
            </w:pPr>
          </w:p>
        </w:tc>
      </w:tr>
      <w:tr w:rsidR="0015580A" w:rsidRPr="00635F5E" w:rsidTr="00AE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55" w:type="dxa"/>
        </w:trPr>
        <w:tc>
          <w:tcPr>
            <w:tcW w:w="1428" w:type="dxa"/>
            <w:gridSpan w:val="2"/>
          </w:tcPr>
          <w:p w:rsidR="0015580A" w:rsidRPr="00635F5E" w:rsidRDefault="0015580A" w:rsidP="0015580A">
            <w:pPr>
              <w:spacing w:after="0" w:line="240" w:lineRule="auto"/>
              <w:rPr>
                <w:rFonts w:ascii="Bookman Old Style" w:hAnsi="Bookman Old Style"/>
                <w:b/>
                <w:sz w:val="20"/>
                <w:szCs w:val="20"/>
              </w:rPr>
            </w:pPr>
            <w:r w:rsidRPr="00635F5E">
              <w:rPr>
                <w:rFonts w:ascii="Bookman Old Style" w:hAnsi="Bookman Old Style"/>
                <w:b/>
                <w:sz w:val="20"/>
                <w:szCs w:val="20"/>
              </w:rPr>
              <w:t>Tuesday</w:t>
            </w:r>
          </w:p>
          <w:p w:rsidR="0015580A" w:rsidRPr="00635F5E" w:rsidRDefault="0015580A" w:rsidP="0015580A">
            <w:pPr>
              <w:spacing w:after="0" w:line="240" w:lineRule="auto"/>
              <w:rPr>
                <w:rFonts w:ascii="Bookman Old Style" w:hAnsi="Bookman Old Style"/>
                <w:b/>
                <w:sz w:val="20"/>
                <w:szCs w:val="20"/>
              </w:rPr>
            </w:pPr>
          </w:p>
          <w:p w:rsidR="0015580A" w:rsidRPr="00635F5E" w:rsidRDefault="0015580A" w:rsidP="0015580A">
            <w:pPr>
              <w:spacing w:after="0" w:line="240" w:lineRule="auto"/>
              <w:rPr>
                <w:rFonts w:ascii="Bookman Old Style" w:hAnsi="Bookman Old Style"/>
                <w:b/>
                <w:sz w:val="20"/>
                <w:szCs w:val="20"/>
              </w:rPr>
            </w:pPr>
            <w:r w:rsidRPr="00635F5E">
              <w:rPr>
                <w:rFonts w:ascii="Bookman Old Style" w:hAnsi="Bookman Old Style"/>
                <w:b/>
                <w:sz w:val="20"/>
                <w:szCs w:val="20"/>
              </w:rPr>
              <w:t xml:space="preserve"> </w:t>
            </w:r>
          </w:p>
        </w:tc>
        <w:tc>
          <w:tcPr>
            <w:tcW w:w="9142" w:type="dxa"/>
            <w:tcBorders>
              <w:bottom w:val="single" w:sz="4" w:space="0" w:color="auto"/>
            </w:tcBorders>
          </w:tcPr>
          <w:p w:rsidR="0015580A" w:rsidRDefault="002440CD" w:rsidP="003E7BA4">
            <w:pPr>
              <w:pStyle w:val="ListParagraph"/>
              <w:numPr>
                <w:ilvl w:val="0"/>
                <w:numId w:val="35"/>
              </w:numPr>
              <w:rPr>
                <w:rStyle w:val="Strong"/>
                <w:rFonts w:ascii="Bookman Old Style" w:hAnsi="Bookman Old Style"/>
                <w:b w:val="0"/>
              </w:rPr>
            </w:pPr>
            <w:r>
              <w:rPr>
                <w:rStyle w:val="Strong"/>
                <w:rFonts w:ascii="Bookman Old Style" w:hAnsi="Bookman Old Style"/>
                <w:b w:val="0"/>
              </w:rPr>
              <w:t>First Five:  LEAP 360 Review Item</w:t>
            </w:r>
          </w:p>
          <w:p w:rsidR="002440CD" w:rsidRDefault="002440CD" w:rsidP="003E7BA4">
            <w:pPr>
              <w:pStyle w:val="ListParagraph"/>
              <w:numPr>
                <w:ilvl w:val="0"/>
                <w:numId w:val="35"/>
              </w:numPr>
              <w:rPr>
                <w:rStyle w:val="Strong"/>
                <w:rFonts w:ascii="Bookman Old Style" w:hAnsi="Bookman Old Style"/>
                <w:b w:val="0"/>
              </w:rPr>
            </w:pPr>
            <w:r>
              <w:rPr>
                <w:rStyle w:val="Strong"/>
                <w:rFonts w:ascii="Bookman Old Style" w:hAnsi="Bookman Old Style"/>
                <w:b w:val="0"/>
              </w:rPr>
              <w:t>Class Work: TLW discuss the Quadratic Formula</w:t>
            </w:r>
          </w:p>
          <w:p w:rsidR="002440CD" w:rsidRPr="003E7BA4" w:rsidRDefault="002440CD" w:rsidP="003E7BA4">
            <w:pPr>
              <w:pStyle w:val="ListParagraph"/>
              <w:numPr>
                <w:ilvl w:val="0"/>
                <w:numId w:val="35"/>
              </w:numPr>
              <w:rPr>
                <w:rStyle w:val="Strong"/>
                <w:rFonts w:ascii="Bookman Old Style" w:hAnsi="Bookman Old Style"/>
                <w:b w:val="0"/>
              </w:rPr>
            </w:pPr>
            <w:r>
              <w:rPr>
                <w:rStyle w:val="Strong"/>
                <w:rFonts w:ascii="Bookman Old Style" w:hAnsi="Bookman Old Style"/>
                <w:b w:val="0"/>
              </w:rPr>
              <w:t>Conclusion:  Ticket Out</w:t>
            </w:r>
          </w:p>
        </w:tc>
      </w:tr>
      <w:tr w:rsidR="0015580A" w:rsidRPr="00635F5E" w:rsidTr="00554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55" w:type="dxa"/>
        </w:trPr>
        <w:tc>
          <w:tcPr>
            <w:tcW w:w="1428" w:type="dxa"/>
            <w:gridSpan w:val="2"/>
          </w:tcPr>
          <w:p w:rsidR="0015580A" w:rsidRPr="00635F5E" w:rsidRDefault="0015580A" w:rsidP="0015580A">
            <w:pPr>
              <w:spacing w:after="0" w:line="240" w:lineRule="auto"/>
              <w:rPr>
                <w:rFonts w:ascii="Bookman Old Style" w:hAnsi="Bookman Old Style"/>
                <w:b/>
                <w:sz w:val="20"/>
                <w:szCs w:val="20"/>
              </w:rPr>
            </w:pPr>
            <w:r w:rsidRPr="00635F5E">
              <w:rPr>
                <w:rFonts w:ascii="Bookman Old Style" w:hAnsi="Bookman Old Style"/>
                <w:b/>
                <w:sz w:val="20"/>
                <w:szCs w:val="20"/>
              </w:rPr>
              <w:t>Wednesday</w:t>
            </w:r>
          </w:p>
          <w:p w:rsidR="0015580A" w:rsidRPr="00635F5E" w:rsidRDefault="0015580A" w:rsidP="0015580A">
            <w:pPr>
              <w:spacing w:after="0" w:line="240" w:lineRule="auto"/>
              <w:rPr>
                <w:rFonts w:ascii="Bookman Old Style" w:hAnsi="Bookman Old Style"/>
                <w:sz w:val="20"/>
                <w:szCs w:val="20"/>
              </w:rPr>
            </w:pPr>
          </w:p>
        </w:tc>
        <w:tc>
          <w:tcPr>
            <w:tcW w:w="9142" w:type="dxa"/>
            <w:tcBorders>
              <w:top w:val="single" w:sz="4" w:space="0" w:color="auto"/>
            </w:tcBorders>
          </w:tcPr>
          <w:p w:rsidR="002440CD" w:rsidRPr="002440CD" w:rsidRDefault="002440CD" w:rsidP="002440CD">
            <w:pPr>
              <w:pStyle w:val="ListParagraph"/>
              <w:numPr>
                <w:ilvl w:val="0"/>
                <w:numId w:val="33"/>
              </w:numPr>
              <w:ind w:left="360"/>
              <w:rPr>
                <w:rStyle w:val="Strong"/>
                <w:rFonts w:ascii="Bookman Old Style" w:hAnsi="Bookman Old Style"/>
                <w:b w:val="0"/>
              </w:rPr>
            </w:pPr>
            <w:r>
              <w:rPr>
                <w:rStyle w:val="Strong"/>
                <w:rFonts w:ascii="Bookman Old Style" w:hAnsi="Bookman Old Style"/>
                <w:b w:val="0"/>
              </w:rPr>
              <w:t>LEAP 360 Test</w:t>
            </w:r>
          </w:p>
        </w:tc>
      </w:tr>
      <w:tr w:rsidR="0015580A" w:rsidRPr="00635F5E" w:rsidTr="00F2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55" w:type="dxa"/>
        </w:trPr>
        <w:tc>
          <w:tcPr>
            <w:tcW w:w="1428" w:type="dxa"/>
            <w:gridSpan w:val="2"/>
          </w:tcPr>
          <w:p w:rsidR="0015580A" w:rsidRPr="00635F5E" w:rsidRDefault="0015580A" w:rsidP="0015580A">
            <w:pPr>
              <w:spacing w:after="0" w:line="240" w:lineRule="auto"/>
              <w:rPr>
                <w:rFonts w:ascii="Bookman Old Style" w:hAnsi="Bookman Old Style"/>
                <w:b/>
                <w:sz w:val="20"/>
                <w:szCs w:val="20"/>
              </w:rPr>
            </w:pPr>
            <w:r w:rsidRPr="00635F5E">
              <w:rPr>
                <w:rFonts w:ascii="Bookman Old Style" w:hAnsi="Bookman Old Style"/>
                <w:b/>
                <w:sz w:val="20"/>
                <w:szCs w:val="20"/>
              </w:rPr>
              <w:t>Thursday</w:t>
            </w:r>
          </w:p>
        </w:tc>
        <w:tc>
          <w:tcPr>
            <w:tcW w:w="9142" w:type="dxa"/>
          </w:tcPr>
          <w:p w:rsidR="003E7BA4" w:rsidRPr="002440CD" w:rsidRDefault="002440CD" w:rsidP="002440CD">
            <w:pPr>
              <w:pStyle w:val="ListParagraph"/>
              <w:numPr>
                <w:ilvl w:val="0"/>
                <w:numId w:val="33"/>
              </w:numPr>
              <w:ind w:left="374"/>
              <w:rPr>
                <w:rFonts w:ascii="Bookman Old Style" w:hAnsi="Bookman Old Style"/>
              </w:rPr>
            </w:pPr>
            <w:r w:rsidRPr="002440CD">
              <w:rPr>
                <w:rStyle w:val="Strong"/>
                <w:rFonts w:ascii="Bookman Old Style" w:hAnsi="Bookman Old Style"/>
                <w:b w:val="0"/>
              </w:rPr>
              <w:t>LEAP 360 Test</w:t>
            </w:r>
          </w:p>
        </w:tc>
      </w:tr>
      <w:tr w:rsidR="002D43EF" w:rsidRPr="00635F5E" w:rsidTr="00601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55" w:type="dxa"/>
        </w:trPr>
        <w:tc>
          <w:tcPr>
            <w:tcW w:w="1428" w:type="dxa"/>
            <w:gridSpan w:val="2"/>
          </w:tcPr>
          <w:p w:rsidR="002D43EF" w:rsidRPr="00635F5E" w:rsidRDefault="002D43EF" w:rsidP="002D43EF">
            <w:pPr>
              <w:spacing w:after="0" w:line="240" w:lineRule="auto"/>
              <w:rPr>
                <w:rFonts w:ascii="Bookman Old Style" w:hAnsi="Bookman Old Style"/>
                <w:b/>
                <w:sz w:val="20"/>
                <w:szCs w:val="20"/>
              </w:rPr>
            </w:pPr>
            <w:r w:rsidRPr="00635F5E">
              <w:rPr>
                <w:rFonts w:ascii="Bookman Old Style" w:hAnsi="Bookman Old Style"/>
                <w:b/>
                <w:sz w:val="20"/>
                <w:szCs w:val="20"/>
              </w:rPr>
              <w:t>Friday</w:t>
            </w:r>
          </w:p>
        </w:tc>
        <w:tc>
          <w:tcPr>
            <w:tcW w:w="9142" w:type="dxa"/>
          </w:tcPr>
          <w:p w:rsidR="003E7BA4" w:rsidRPr="002440CD" w:rsidRDefault="002440CD" w:rsidP="002440CD">
            <w:pPr>
              <w:pStyle w:val="ListParagraph"/>
              <w:numPr>
                <w:ilvl w:val="0"/>
                <w:numId w:val="33"/>
              </w:numPr>
              <w:spacing w:after="0" w:line="240" w:lineRule="auto"/>
              <w:ind w:left="374"/>
              <w:rPr>
                <w:rStyle w:val="Strong"/>
                <w:rFonts w:ascii="Bookman Old Style" w:hAnsi="Bookman Old Style"/>
                <w:b w:val="0"/>
                <w:bCs w:val="0"/>
                <w:sz w:val="20"/>
                <w:szCs w:val="20"/>
              </w:rPr>
            </w:pPr>
            <w:r>
              <w:rPr>
                <w:rStyle w:val="Strong"/>
              </w:rPr>
              <w:t>Substitute Assignment</w:t>
            </w:r>
          </w:p>
          <w:p w:rsidR="002440CD" w:rsidRPr="002440CD" w:rsidRDefault="002440CD" w:rsidP="002440CD">
            <w:pPr>
              <w:pStyle w:val="ListParagraph"/>
              <w:spacing w:after="0" w:line="240" w:lineRule="auto"/>
              <w:ind w:left="374"/>
              <w:rPr>
                <w:rFonts w:ascii="Bookman Old Style" w:hAnsi="Bookman Old Style"/>
                <w:sz w:val="20"/>
                <w:szCs w:val="20"/>
              </w:rPr>
            </w:pPr>
          </w:p>
        </w:tc>
      </w:tr>
    </w:tbl>
    <w:p w:rsidR="00635F5E" w:rsidRDefault="00635F5E" w:rsidP="00FF3AA6">
      <w:pPr>
        <w:widowControl w:val="0"/>
        <w:tabs>
          <w:tab w:val="left" w:pos="4230"/>
        </w:tabs>
        <w:spacing w:line="240" w:lineRule="auto"/>
        <w:rPr>
          <w:rFonts w:ascii="Bookman Old Style" w:hAnsi="Bookman Old Style"/>
          <w:b/>
          <w:snapToGrid w:val="0"/>
          <w:sz w:val="20"/>
          <w:szCs w:val="20"/>
          <w:u w:val="single"/>
        </w:rPr>
      </w:pPr>
    </w:p>
    <w:p w:rsidR="00F01806" w:rsidRDefault="00433AE3" w:rsidP="00FF3AA6">
      <w:pPr>
        <w:widowControl w:val="0"/>
        <w:tabs>
          <w:tab w:val="left" w:pos="4230"/>
        </w:tabs>
        <w:spacing w:line="240" w:lineRule="auto"/>
        <w:rPr>
          <w:rFonts w:ascii="Bookman Old Style" w:hAnsi="Bookman Old Style"/>
          <w:b/>
          <w:sz w:val="20"/>
          <w:szCs w:val="20"/>
        </w:rPr>
      </w:pPr>
      <w:r w:rsidRPr="00635F5E">
        <w:rPr>
          <w:rFonts w:ascii="Bookman Old Style" w:hAnsi="Bookman Old Style"/>
          <w:b/>
          <w:snapToGrid w:val="0"/>
          <w:sz w:val="20"/>
          <w:szCs w:val="20"/>
          <w:u w:val="single"/>
        </w:rPr>
        <w:t>Accommodations</w:t>
      </w:r>
      <w:r w:rsidR="00281A15" w:rsidRPr="00635F5E">
        <w:rPr>
          <w:rFonts w:ascii="Bookman Old Style" w:hAnsi="Bookman Old Style"/>
          <w:b/>
          <w:snapToGrid w:val="0"/>
          <w:sz w:val="20"/>
          <w:szCs w:val="20"/>
        </w:rPr>
        <w:t xml:space="preserve"> for Special Needs:</w:t>
      </w:r>
      <w:r w:rsidR="00FF3AA6" w:rsidRPr="00635F5E">
        <w:rPr>
          <w:rFonts w:ascii="Bookman Old Style" w:hAnsi="Bookman Old Style"/>
          <w:b/>
          <w:sz w:val="20"/>
          <w:szCs w:val="20"/>
        </w:rPr>
        <w:t xml:space="preserve">         </w:t>
      </w:r>
    </w:p>
    <w:p w:rsidR="00F01806" w:rsidRPr="00F01806" w:rsidRDefault="00F01806" w:rsidP="00F01806">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Preferential seating for students with hearing or visual impairments, and required accommodations.</w:t>
      </w:r>
    </w:p>
    <w:p w:rsidR="00F01806" w:rsidRPr="00F01806" w:rsidRDefault="00F01806" w:rsidP="00F01806">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Extended time on assignments and tests for resource students and students with accommodations.</w:t>
      </w:r>
    </w:p>
    <w:p w:rsidR="00F01806" w:rsidRPr="00F01806" w:rsidRDefault="00F01806" w:rsidP="00F01806">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Resource students allowed to test in resource as requested by resource teacher.</w:t>
      </w:r>
    </w:p>
    <w:p w:rsidR="00F01806" w:rsidRPr="00F01806" w:rsidRDefault="00F01806" w:rsidP="00F01806">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Lesson plans, study guides, assignment outlines, and tests provided in advance to resource teachers.</w:t>
      </w:r>
    </w:p>
    <w:p w:rsidR="00F01806" w:rsidRPr="00F01806" w:rsidRDefault="00F01806" w:rsidP="00F01806">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Oral, visual, and written tasks to accommodate different learning styles.</w:t>
      </w:r>
    </w:p>
    <w:p w:rsidR="00885807" w:rsidRPr="00F01806" w:rsidRDefault="00F01806" w:rsidP="00F01806">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Use of group and cooperative activities to help weaker learners.</w:t>
      </w:r>
      <w:r w:rsidR="00FF3AA6" w:rsidRPr="00F01806">
        <w:rPr>
          <w:rFonts w:ascii="Bookman Old Style" w:hAnsi="Bookman Old Style"/>
          <w:sz w:val="20"/>
          <w:szCs w:val="20"/>
        </w:rPr>
        <w:t xml:space="preserve"> </w:t>
      </w:r>
    </w:p>
    <w:p w:rsidR="00885807" w:rsidRPr="00635F5E" w:rsidRDefault="00E94042" w:rsidP="00251028">
      <w:pPr>
        <w:widowControl w:val="0"/>
        <w:tabs>
          <w:tab w:val="left" w:pos="4230"/>
        </w:tabs>
        <w:spacing w:line="240" w:lineRule="auto"/>
        <w:jc w:val="center"/>
        <w:rPr>
          <w:rFonts w:ascii="Bookman Old Style" w:hAnsi="Bookman Old Style"/>
          <w:b/>
          <w:snapToGrid w:val="0"/>
          <w:sz w:val="20"/>
          <w:szCs w:val="20"/>
        </w:rPr>
      </w:pPr>
      <w:r w:rsidRPr="00635F5E">
        <w:rPr>
          <w:rFonts w:ascii="Bookman Old Style" w:hAnsi="Bookman Old Style"/>
          <w:b/>
          <w:sz w:val="20"/>
          <w:szCs w:val="20"/>
        </w:rPr>
        <w:t>**Abbreviations for grouping:  WG=Whole Group, SG=Small Group, I=Independent**</w:t>
      </w:r>
    </w:p>
    <w:p w:rsidR="00E94042" w:rsidRPr="00635F5E" w:rsidRDefault="00E94042" w:rsidP="00251028">
      <w:pPr>
        <w:widowControl w:val="0"/>
        <w:tabs>
          <w:tab w:val="left" w:pos="4230"/>
        </w:tabs>
        <w:spacing w:line="240" w:lineRule="auto"/>
        <w:jc w:val="center"/>
        <w:rPr>
          <w:rFonts w:ascii="Bookman Old Style" w:hAnsi="Bookman Old Style"/>
          <w:b/>
          <w:snapToGrid w:val="0"/>
          <w:sz w:val="20"/>
          <w:szCs w:val="20"/>
        </w:rPr>
      </w:pPr>
      <w:r w:rsidRPr="00635F5E">
        <w:rPr>
          <w:rFonts w:ascii="Bookman Old Style" w:hAnsi="Bookman Old Style"/>
          <w:b/>
          <w:sz w:val="20"/>
          <w:szCs w:val="20"/>
        </w:rPr>
        <w:t>**Abbreviations for Assessment Format:  I=Informal, F=Formal, A=Alternative**</w:t>
      </w:r>
    </w:p>
    <w:sectPr w:rsidR="00E94042" w:rsidRPr="00635F5E" w:rsidSect="00A4641A">
      <w:headerReference w:type="default" r:id="rId8"/>
      <w:pgSz w:w="12240" w:h="15840"/>
      <w:pgMar w:top="18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D80" w:rsidRDefault="00393D80" w:rsidP="008E2B8D">
      <w:pPr>
        <w:spacing w:after="0" w:line="240" w:lineRule="auto"/>
      </w:pPr>
      <w:r>
        <w:separator/>
      </w:r>
    </w:p>
  </w:endnote>
  <w:endnote w:type="continuationSeparator" w:id="0">
    <w:p w:rsidR="00393D80" w:rsidRDefault="00393D80" w:rsidP="008E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D80" w:rsidRDefault="00393D80" w:rsidP="008E2B8D">
      <w:pPr>
        <w:spacing w:after="0" w:line="240" w:lineRule="auto"/>
      </w:pPr>
      <w:r>
        <w:separator/>
      </w:r>
    </w:p>
  </w:footnote>
  <w:footnote w:type="continuationSeparator" w:id="0">
    <w:p w:rsidR="00393D80" w:rsidRDefault="00393D80" w:rsidP="008E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1A" w:rsidRDefault="00A4641A" w:rsidP="00CC20A9">
    <w:pPr>
      <w:pStyle w:val="Header"/>
      <w:rPr>
        <w:rFonts w:ascii="Bookman Old Style" w:hAnsi="Bookman Old Style"/>
        <w:sz w:val="26"/>
        <w:szCs w:val="26"/>
        <w:u w:val="single"/>
      </w:rPr>
    </w:pPr>
    <w:r w:rsidRPr="00DE5852">
      <w:rPr>
        <w:rFonts w:ascii="Bookman Old Style" w:hAnsi="Bookman Old Style"/>
        <w:b/>
        <w:sz w:val="26"/>
        <w:szCs w:val="26"/>
      </w:rPr>
      <w:t>Ouachita Parish HS                Algebra I Less</w:t>
    </w:r>
    <w:r w:rsidR="00E940EB">
      <w:rPr>
        <w:rFonts w:ascii="Bookman Old Style" w:hAnsi="Bookman Old Style"/>
        <w:b/>
        <w:sz w:val="26"/>
        <w:szCs w:val="26"/>
      </w:rPr>
      <w:t xml:space="preserve">on Plan             </w:t>
    </w:r>
    <w:r w:rsidR="00A24D47">
      <w:rPr>
        <w:rFonts w:ascii="Bookman Old Style" w:hAnsi="Bookman Old Style"/>
        <w:b/>
        <w:sz w:val="26"/>
        <w:szCs w:val="26"/>
      </w:rPr>
      <w:t xml:space="preserve">Week of: </w:t>
    </w:r>
    <w:r w:rsidR="0015580A">
      <w:rPr>
        <w:rFonts w:ascii="Bookman Old Style" w:hAnsi="Bookman Old Style"/>
        <w:b/>
        <w:sz w:val="26"/>
        <w:szCs w:val="26"/>
      </w:rPr>
      <w:t>Mar</w:t>
    </w:r>
    <w:r w:rsidRPr="00DE5852">
      <w:rPr>
        <w:rFonts w:ascii="Bookman Old Style" w:hAnsi="Bookman Old Style"/>
        <w:b/>
        <w:sz w:val="26"/>
        <w:szCs w:val="26"/>
      </w:rPr>
      <w:t xml:space="preserve">. </w:t>
    </w:r>
    <w:r w:rsidR="003E7BA4">
      <w:rPr>
        <w:rFonts w:ascii="Bookman Old Style" w:hAnsi="Bookman Old Style"/>
        <w:b/>
        <w:sz w:val="26"/>
        <w:szCs w:val="26"/>
      </w:rPr>
      <w:t>1</w:t>
    </w:r>
    <w:r w:rsidR="002440CD">
      <w:rPr>
        <w:rFonts w:ascii="Bookman Old Style" w:hAnsi="Bookman Old Style"/>
        <w:b/>
        <w:sz w:val="26"/>
        <w:szCs w:val="26"/>
      </w:rPr>
      <w:t>8</w:t>
    </w:r>
    <w:r w:rsidR="00E22268">
      <w:rPr>
        <w:rFonts w:ascii="Bookman Old Style" w:hAnsi="Bookman Old Style"/>
        <w:b/>
        <w:sz w:val="26"/>
        <w:szCs w:val="26"/>
      </w:rPr>
      <w:t>th</w:t>
    </w:r>
    <w:r w:rsidR="00491E4F">
      <w:rPr>
        <w:rFonts w:ascii="Bookman Old Style" w:hAnsi="Bookman Old Style"/>
        <w:b/>
        <w:sz w:val="26"/>
        <w:szCs w:val="26"/>
      </w:rPr>
      <w:t xml:space="preserve"> </w:t>
    </w:r>
    <w:r w:rsidR="00925B27">
      <w:rPr>
        <w:rFonts w:ascii="Bookman Old Style" w:hAnsi="Bookman Old Style"/>
        <w:b/>
        <w:sz w:val="26"/>
        <w:szCs w:val="26"/>
      </w:rPr>
      <w:t xml:space="preserve"> </w:t>
    </w:r>
    <w:r w:rsidR="00592C74">
      <w:rPr>
        <w:rFonts w:ascii="Bookman Old Style" w:hAnsi="Bookman Old Style"/>
        <w:b/>
        <w:sz w:val="26"/>
        <w:szCs w:val="26"/>
      </w:rPr>
      <w:t xml:space="preserve"> </w:t>
    </w:r>
  </w:p>
  <w:p w:rsidR="00CC20A9" w:rsidRDefault="00CC20A9" w:rsidP="00CC20A9">
    <w:pPr>
      <w:pStyle w:val="Header"/>
      <w:jc w:val="center"/>
      <w:rPr>
        <w:rFonts w:ascii="Bookman Old Style" w:hAnsi="Bookman Old Style"/>
        <w:bCs/>
        <w:color w:val="404040"/>
      </w:rPr>
    </w:pPr>
    <w:r w:rsidRPr="00CC20A9">
      <w:rPr>
        <w:rFonts w:ascii="Bookman Old Style" w:hAnsi="Bookman Old Style"/>
        <w:bCs/>
        <w:color w:val="404040"/>
      </w:rPr>
      <w:t>D.</w:t>
    </w:r>
    <w:r w:rsidR="004C1895">
      <w:rPr>
        <w:rFonts w:ascii="Bookman Old Style" w:hAnsi="Bookman Old Style"/>
        <w:bCs/>
        <w:color w:val="404040"/>
      </w:rPr>
      <w:t xml:space="preserve"> Underwood, T. Whitman &amp; B</w:t>
    </w:r>
    <w:r w:rsidR="00B940C0">
      <w:rPr>
        <w:rFonts w:ascii="Bookman Old Style" w:hAnsi="Bookman Old Style"/>
        <w:bCs/>
        <w:color w:val="404040"/>
      </w:rPr>
      <w:t>.</w:t>
    </w:r>
    <w:r w:rsidR="004C1895">
      <w:rPr>
        <w:rFonts w:ascii="Bookman Old Style" w:hAnsi="Bookman Old Style"/>
        <w:bCs/>
        <w:color w:val="404040"/>
      </w:rPr>
      <w:t xml:space="preserve"> </w:t>
    </w:r>
    <w:proofErr w:type="spellStart"/>
    <w:r w:rsidR="004C1895">
      <w:rPr>
        <w:rFonts w:ascii="Bookman Old Style" w:hAnsi="Bookman Old Style"/>
        <w:bCs/>
        <w:color w:val="404040"/>
      </w:rPr>
      <w:t>Beaird</w:t>
    </w:r>
    <w:proofErr w:type="spellEnd"/>
  </w:p>
  <w:p w:rsidR="00CC20A9" w:rsidRPr="00CC20A9" w:rsidRDefault="00CC20A9" w:rsidP="00CC20A9">
    <w:pPr>
      <w:pStyle w:val="Header"/>
      <w:jc w:val="center"/>
      <w:rPr>
        <w:rFonts w:ascii="Bookman Old Style" w:hAnsi="Bookman Old Style"/>
        <w:sz w:val="26"/>
        <w:szCs w:val="2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E8A"/>
    <w:multiLevelType w:val="hybridMultilevel"/>
    <w:tmpl w:val="D9448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44A4C"/>
    <w:multiLevelType w:val="hybridMultilevel"/>
    <w:tmpl w:val="EFECE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6061B"/>
    <w:multiLevelType w:val="multilevel"/>
    <w:tmpl w:val="F22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F1F56"/>
    <w:multiLevelType w:val="hybridMultilevel"/>
    <w:tmpl w:val="9E06C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7B6C9D"/>
    <w:multiLevelType w:val="hybridMultilevel"/>
    <w:tmpl w:val="71E03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8E0359"/>
    <w:multiLevelType w:val="hybridMultilevel"/>
    <w:tmpl w:val="26504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6E2D38"/>
    <w:multiLevelType w:val="hybridMultilevel"/>
    <w:tmpl w:val="F7868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A441C6"/>
    <w:multiLevelType w:val="multilevel"/>
    <w:tmpl w:val="1EAC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D49A2"/>
    <w:multiLevelType w:val="hybridMultilevel"/>
    <w:tmpl w:val="35928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416552"/>
    <w:multiLevelType w:val="hybridMultilevel"/>
    <w:tmpl w:val="A024F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2921EA"/>
    <w:multiLevelType w:val="hybridMultilevel"/>
    <w:tmpl w:val="92A8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54842"/>
    <w:multiLevelType w:val="hybridMultilevel"/>
    <w:tmpl w:val="2C88E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965007"/>
    <w:multiLevelType w:val="hybridMultilevel"/>
    <w:tmpl w:val="E10E8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75788D"/>
    <w:multiLevelType w:val="hybridMultilevel"/>
    <w:tmpl w:val="F1500A10"/>
    <w:lvl w:ilvl="0" w:tplc="5FCEF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5597D"/>
    <w:multiLevelType w:val="hybridMultilevel"/>
    <w:tmpl w:val="9F7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44CC5"/>
    <w:multiLevelType w:val="hybridMultilevel"/>
    <w:tmpl w:val="FEB06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FA59AD"/>
    <w:multiLevelType w:val="multilevel"/>
    <w:tmpl w:val="8D9AEA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376681"/>
    <w:multiLevelType w:val="hybridMultilevel"/>
    <w:tmpl w:val="857E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671946"/>
    <w:multiLevelType w:val="hybridMultilevel"/>
    <w:tmpl w:val="B394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F5A73"/>
    <w:multiLevelType w:val="hybridMultilevel"/>
    <w:tmpl w:val="8C60B414"/>
    <w:lvl w:ilvl="0" w:tplc="7982D9F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DC7556"/>
    <w:multiLevelType w:val="multilevel"/>
    <w:tmpl w:val="8D9AEA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C645BF"/>
    <w:multiLevelType w:val="hybridMultilevel"/>
    <w:tmpl w:val="11E4C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35762B"/>
    <w:multiLevelType w:val="hybridMultilevel"/>
    <w:tmpl w:val="B74C95EE"/>
    <w:lvl w:ilvl="0" w:tplc="7102E00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B4696"/>
    <w:multiLevelType w:val="hybridMultilevel"/>
    <w:tmpl w:val="CD92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01325"/>
    <w:multiLevelType w:val="hybridMultilevel"/>
    <w:tmpl w:val="2CC61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D11538"/>
    <w:multiLevelType w:val="multilevel"/>
    <w:tmpl w:val="8826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76EEE"/>
    <w:multiLevelType w:val="hybridMultilevel"/>
    <w:tmpl w:val="084E0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E16981"/>
    <w:multiLevelType w:val="hybridMultilevel"/>
    <w:tmpl w:val="AD4E3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B4775F"/>
    <w:multiLevelType w:val="hybridMultilevel"/>
    <w:tmpl w:val="F976B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324620"/>
    <w:multiLevelType w:val="hybridMultilevel"/>
    <w:tmpl w:val="C460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5525C"/>
    <w:multiLevelType w:val="hybridMultilevel"/>
    <w:tmpl w:val="1B088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1C12ED"/>
    <w:multiLevelType w:val="hybridMultilevel"/>
    <w:tmpl w:val="E10E8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532540"/>
    <w:multiLevelType w:val="hybridMultilevel"/>
    <w:tmpl w:val="844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326B7"/>
    <w:multiLevelType w:val="hybridMultilevel"/>
    <w:tmpl w:val="08E8E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9F23E2"/>
    <w:multiLevelType w:val="multilevel"/>
    <w:tmpl w:val="7B9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02B0A"/>
    <w:multiLevelType w:val="hybridMultilevel"/>
    <w:tmpl w:val="A69E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14"/>
  </w:num>
  <w:num w:numId="4">
    <w:abstractNumId w:val="15"/>
  </w:num>
  <w:num w:numId="5">
    <w:abstractNumId w:val="24"/>
  </w:num>
  <w:num w:numId="6">
    <w:abstractNumId w:val="27"/>
  </w:num>
  <w:num w:numId="7">
    <w:abstractNumId w:val="3"/>
  </w:num>
  <w:num w:numId="8">
    <w:abstractNumId w:val="23"/>
  </w:num>
  <w:num w:numId="9">
    <w:abstractNumId w:val="0"/>
  </w:num>
  <w:num w:numId="10">
    <w:abstractNumId w:val="5"/>
  </w:num>
  <w:num w:numId="11">
    <w:abstractNumId w:val="1"/>
  </w:num>
  <w:num w:numId="12">
    <w:abstractNumId w:val="8"/>
  </w:num>
  <w:num w:numId="13">
    <w:abstractNumId w:val="12"/>
  </w:num>
  <w:num w:numId="14">
    <w:abstractNumId w:val="31"/>
  </w:num>
  <w:num w:numId="15">
    <w:abstractNumId w:val="17"/>
  </w:num>
  <w:num w:numId="16">
    <w:abstractNumId w:val="33"/>
  </w:num>
  <w:num w:numId="17">
    <w:abstractNumId w:val="35"/>
  </w:num>
  <w:num w:numId="18">
    <w:abstractNumId w:val="6"/>
  </w:num>
  <w:num w:numId="19">
    <w:abstractNumId w:val="11"/>
  </w:num>
  <w:num w:numId="20">
    <w:abstractNumId w:val="30"/>
  </w:num>
  <w:num w:numId="21">
    <w:abstractNumId w:val="4"/>
  </w:num>
  <w:num w:numId="22">
    <w:abstractNumId w:val="21"/>
  </w:num>
  <w:num w:numId="23">
    <w:abstractNumId w:val="28"/>
  </w:num>
  <w:num w:numId="24">
    <w:abstractNumId w:val="26"/>
  </w:num>
  <w:num w:numId="25">
    <w:abstractNumId w:val="20"/>
  </w:num>
  <w:num w:numId="26">
    <w:abstractNumId w:val="16"/>
  </w:num>
  <w:num w:numId="27">
    <w:abstractNumId w:val="19"/>
  </w:num>
  <w:num w:numId="28">
    <w:abstractNumId w:val="7"/>
  </w:num>
  <w:num w:numId="29">
    <w:abstractNumId w:val="10"/>
  </w:num>
  <w:num w:numId="30">
    <w:abstractNumId w:val="2"/>
  </w:num>
  <w:num w:numId="31">
    <w:abstractNumId w:val="25"/>
  </w:num>
  <w:num w:numId="32">
    <w:abstractNumId w:val="34"/>
  </w:num>
  <w:num w:numId="33">
    <w:abstractNumId w:val="29"/>
  </w:num>
  <w:num w:numId="34">
    <w:abstractNumId w:val="13"/>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8D"/>
    <w:rsid w:val="00002B2A"/>
    <w:rsid w:val="00013A00"/>
    <w:rsid w:val="000204EF"/>
    <w:rsid w:val="000238E3"/>
    <w:rsid w:val="00031F69"/>
    <w:rsid w:val="00036A19"/>
    <w:rsid w:val="000434C4"/>
    <w:rsid w:val="000624A9"/>
    <w:rsid w:val="00070AD4"/>
    <w:rsid w:val="0009167A"/>
    <w:rsid w:val="000A755E"/>
    <w:rsid w:val="000E69D6"/>
    <w:rsid w:val="000E7D6E"/>
    <w:rsid w:val="00117D67"/>
    <w:rsid w:val="00121EA9"/>
    <w:rsid w:val="001361BC"/>
    <w:rsid w:val="001463CA"/>
    <w:rsid w:val="0015580A"/>
    <w:rsid w:val="0016611D"/>
    <w:rsid w:val="00170FE0"/>
    <w:rsid w:val="00180208"/>
    <w:rsid w:val="00190786"/>
    <w:rsid w:val="001B0728"/>
    <w:rsid w:val="001B6695"/>
    <w:rsid w:val="001E2F4E"/>
    <w:rsid w:val="001F3905"/>
    <w:rsid w:val="002037FB"/>
    <w:rsid w:val="002140F2"/>
    <w:rsid w:val="002205CF"/>
    <w:rsid w:val="002440CD"/>
    <w:rsid w:val="00251028"/>
    <w:rsid w:val="002641F2"/>
    <w:rsid w:val="00281A15"/>
    <w:rsid w:val="0028563E"/>
    <w:rsid w:val="002A644E"/>
    <w:rsid w:val="002B5D3B"/>
    <w:rsid w:val="002C5951"/>
    <w:rsid w:val="002C68F4"/>
    <w:rsid w:val="002D43EF"/>
    <w:rsid w:val="00301CCD"/>
    <w:rsid w:val="00307F6C"/>
    <w:rsid w:val="003261B9"/>
    <w:rsid w:val="00327167"/>
    <w:rsid w:val="00356862"/>
    <w:rsid w:val="003650BF"/>
    <w:rsid w:val="00374A71"/>
    <w:rsid w:val="0038409E"/>
    <w:rsid w:val="003855E2"/>
    <w:rsid w:val="00390BB2"/>
    <w:rsid w:val="00392FEF"/>
    <w:rsid w:val="00393D80"/>
    <w:rsid w:val="003B60A7"/>
    <w:rsid w:val="003D6182"/>
    <w:rsid w:val="003E0BDB"/>
    <w:rsid w:val="003E7BA4"/>
    <w:rsid w:val="00416E1A"/>
    <w:rsid w:val="004251BE"/>
    <w:rsid w:val="0042668D"/>
    <w:rsid w:val="00433AE3"/>
    <w:rsid w:val="004779D7"/>
    <w:rsid w:val="004827BD"/>
    <w:rsid w:val="00483281"/>
    <w:rsid w:val="004868F8"/>
    <w:rsid w:val="00491485"/>
    <w:rsid w:val="00491E4F"/>
    <w:rsid w:val="00497358"/>
    <w:rsid w:val="00497ABA"/>
    <w:rsid w:val="004C1895"/>
    <w:rsid w:val="004C6304"/>
    <w:rsid w:val="004D763D"/>
    <w:rsid w:val="004E5960"/>
    <w:rsid w:val="004E7035"/>
    <w:rsid w:val="00522A3B"/>
    <w:rsid w:val="0055415D"/>
    <w:rsid w:val="00561900"/>
    <w:rsid w:val="0056301A"/>
    <w:rsid w:val="00575F95"/>
    <w:rsid w:val="00592C74"/>
    <w:rsid w:val="005A06D0"/>
    <w:rsid w:val="005A0FBF"/>
    <w:rsid w:val="005A261D"/>
    <w:rsid w:val="005D1EBF"/>
    <w:rsid w:val="005D681D"/>
    <w:rsid w:val="005E2BEF"/>
    <w:rsid w:val="005E3875"/>
    <w:rsid w:val="005F235C"/>
    <w:rsid w:val="005F5CED"/>
    <w:rsid w:val="0060083F"/>
    <w:rsid w:val="00602D90"/>
    <w:rsid w:val="006160A8"/>
    <w:rsid w:val="006272A2"/>
    <w:rsid w:val="00635F5E"/>
    <w:rsid w:val="00655A3F"/>
    <w:rsid w:val="006712CC"/>
    <w:rsid w:val="00674043"/>
    <w:rsid w:val="006801ED"/>
    <w:rsid w:val="006B6509"/>
    <w:rsid w:val="006F64A6"/>
    <w:rsid w:val="0071323C"/>
    <w:rsid w:val="0071652D"/>
    <w:rsid w:val="00722584"/>
    <w:rsid w:val="00723E9A"/>
    <w:rsid w:val="00737A7B"/>
    <w:rsid w:val="00747273"/>
    <w:rsid w:val="007A729F"/>
    <w:rsid w:val="007C6D91"/>
    <w:rsid w:val="007E0763"/>
    <w:rsid w:val="00806BF8"/>
    <w:rsid w:val="00806C01"/>
    <w:rsid w:val="0080753B"/>
    <w:rsid w:val="008075B0"/>
    <w:rsid w:val="00807EE0"/>
    <w:rsid w:val="00816B8B"/>
    <w:rsid w:val="00830EF2"/>
    <w:rsid w:val="008342BA"/>
    <w:rsid w:val="008353E2"/>
    <w:rsid w:val="00837BF9"/>
    <w:rsid w:val="00863693"/>
    <w:rsid w:val="008725FF"/>
    <w:rsid w:val="008770FF"/>
    <w:rsid w:val="00882196"/>
    <w:rsid w:val="00885807"/>
    <w:rsid w:val="00886AD7"/>
    <w:rsid w:val="0089251F"/>
    <w:rsid w:val="00892699"/>
    <w:rsid w:val="00895DA1"/>
    <w:rsid w:val="008E2B8D"/>
    <w:rsid w:val="008E393E"/>
    <w:rsid w:val="00900780"/>
    <w:rsid w:val="00901F54"/>
    <w:rsid w:val="00905510"/>
    <w:rsid w:val="00925B27"/>
    <w:rsid w:val="00937D67"/>
    <w:rsid w:val="009433F4"/>
    <w:rsid w:val="00944B78"/>
    <w:rsid w:val="0096336C"/>
    <w:rsid w:val="00980994"/>
    <w:rsid w:val="009809E9"/>
    <w:rsid w:val="009849F4"/>
    <w:rsid w:val="009B345E"/>
    <w:rsid w:val="009B6088"/>
    <w:rsid w:val="009C2E46"/>
    <w:rsid w:val="009F7D58"/>
    <w:rsid w:val="00A24D47"/>
    <w:rsid w:val="00A4641A"/>
    <w:rsid w:val="00A50B30"/>
    <w:rsid w:val="00A57586"/>
    <w:rsid w:val="00A65D3D"/>
    <w:rsid w:val="00A70E2B"/>
    <w:rsid w:val="00A71ED8"/>
    <w:rsid w:val="00A8240E"/>
    <w:rsid w:val="00A87CF4"/>
    <w:rsid w:val="00A963B4"/>
    <w:rsid w:val="00AA089A"/>
    <w:rsid w:val="00AA38A5"/>
    <w:rsid w:val="00AA70EE"/>
    <w:rsid w:val="00AD406E"/>
    <w:rsid w:val="00AF2E9A"/>
    <w:rsid w:val="00B0037C"/>
    <w:rsid w:val="00B16ABD"/>
    <w:rsid w:val="00B177FF"/>
    <w:rsid w:val="00B46AFA"/>
    <w:rsid w:val="00B532EA"/>
    <w:rsid w:val="00B6444C"/>
    <w:rsid w:val="00B940C0"/>
    <w:rsid w:val="00BB622F"/>
    <w:rsid w:val="00BC477A"/>
    <w:rsid w:val="00BD1919"/>
    <w:rsid w:val="00C0446B"/>
    <w:rsid w:val="00CB027D"/>
    <w:rsid w:val="00CB1875"/>
    <w:rsid w:val="00CB54EF"/>
    <w:rsid w:val="00CB5C93"/>
    <w:rsid w:val="00CC0F97"/>
    <w:rsid w:val="00CC20A9"/>
    <w:rsid w:val="00CD7130"/>
    <w:rsid w:val="00CE6E65"/>
    <w:rsid w:val="00D06E97"/>
    <w:rsid w:val="00D111CA"/>
    <w:rsid w:val="00D64384"/>
    <w:rsid w:val="00D91C48"/>
    <w:rsid w:val="00DB0C0E"/>
    <w:rsid w:val="00DB38C8"/>
    <w:rsid w:val="00DC62A9"/>
    <w:rsid w:val="00DE5852"/>
    <w:rsid w:val="00DE7FA9"/>
    <w:rsid w:val="00E101C9"/>
    <w:rsid w:val="00E1595F"/>
    <w:rsid w:val="00E22268"/>
    <w:rsid w:val="00E5221F"/>
    <w:rsid w:val="00E57C71"/>
    <w:rsid w:val="00E75A3E"/>
    <w:rsid w:val="00E94042"/>
    <w:rsid w:val="00E940EB"/>
    <w:rsid w:val="00E95BF0"/>
    <w:rsid w:val="00EB0BB5"/>
    <w:rsid w:val="00EB66C1"/>
    <w:rsid w:val="00EF5B34"/>
    <w:rsid w:val="00F01806"/>
    <w:rsid w:val="00F30279"/>
    <w:rsid w:val="00F51846"/>
    <w:rsid w:val="00F745A0"/>
    <w:rsid w:val="00FB133A"/>
    <w:rsid w:val="00FB17C8"/>
    <w:rsid w:val="00FB789F"/>
    <w:rsid w:val="00FC2506"/>
    <w:rsid w:val="00FC5DE8"/>
    <w:rsid w:val="00FD1758"/>
    <w:rsid w:val="00FD20DB"/>
    <w:rsid w:val="00FD4FF8"/>
    <w:rsid w:val="00FE3D62"/>
    <w:rsid w:val="00FF1F5C"/>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381E"/>
  <w15:docId w15:val="{F07BE084-6481-44B8-A936-A5A5F995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9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B8D"/>
  </w:style>
  <w:style w:type="paragraph" w:styleId="Footer">
    <w:name w:val="footer"/>
    <w:basedOn w:val="Normal"/>
    <w:link w:val="FooterChar"/>
    <w:uiPriority w:val="99"/>
    <w:unhideWhenUsed/>
    <w:rsid w:val="008E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B8D"/>
  </w:style>
  <w:style w:type="paragraph" w:styleId="BalloonText">
    <w:name w:val="Balloon Text"/>
    <w:basedOn w:val="Normal"/>
    <w:link w:val="BalloonTextChar"/>
    <w:uiPriority w:val="99"/>
    <w:semiHidden/>
    <w:unhideWhenUsed/>
    <w:rsid w:val="008E2B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B8D"/>
    <w:rPr>
      <w:rFonts w:ascii="Tahoma" w:hAnsi="Tahoma" w:cs="Tahoma"/>
      <w:sz w:val="16"/>
      <w:szCs w:val="16"/>
    </w:rPr>
  </w:style>
  <w:style w:type="paragraph" w:styleId="ListParagraph">
    <w:name w:val="List Paragraph"/>
    <w:basedOn w:val="Normal"/>
    <w:uiPriority w:val="34"/>
    <w:qFormat/>
    <w:rsid w:val="008E2B8D"/>
    <w:pPr>
      <w:ind w:left="720"/>
      <w:contextualSpacing/>
    </w:pPr>
  </w:style>
  <w:style w:type="table" w:styleId="TableGrid">
    <w:name w:val="Table Grid"/>
    <w:basedOn w:val="TableNormal"/>
    <w:uiPriority w:val="59"/>
    <w:rsid w:val="0017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64A6"/>
    <w:rPr>
      <w:color w:val="0000FF"/>
      <w:u w:val="single"/>
    </w:rPr>
  </w:style>
  <w:style w:type="character" w:styleId="Strong">
    <w:name w:val="Strong"/>
    <w:qFormat/>
    <w:rsid w:val="00180208"/>
    <w:rPr>
      <w:b/>
      <w:bCs/>
    </w:rPr>
  </w:style>
  <w:style w:type="character" w:styleId="Emphasis">
    <w:name w:val="Emphasis"/>
    <w:uiPriority w:val="20"/>
    <w:qFormat/>
    <w:rsid w:val="00E5221F"/>
    <w:rPr>
      <w:i/>
      <w:iCs/>
    </w:rPr>
  </w:style>
  <w:style w:type="character" w:customStyle="1" w:styleId="apple-converted-space">
    <w:name w:val="apple-converted-space"/>
    <w:rsid w:val="00E5221F"/>
  </w:style>
  <w:style w:type="paragraph" w:customStyle="1" w:styleId="Default">
    <w:name w:val="Default"/>
    <w:rsid w:val="00937D6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91231">
      <w:bodyDiv w:val="1"/>
      <w:marLeft w:val="0"/>
      <w:marRight w:val="0"/>
      <w:marTop w:val="0"/>
      <w:marBottom w:val="0"/>
      <w:divBdr>
        <w:top w:val="none" w:sz="0" w:space="0" w:color="auto"/>
        <w:left w:val="none" w:sz="0" w:space="0" w:color="auto"/>
        <w:bottom w:val="none" w:sz="0" w:space="0" w:color="auto"/>
        <w:right w:val="none" w:sz="0" w:space="0" w:color="auto"/>
      </w:divBdr>
    </w:div>
    <w:div w:id="308244220">
      <w:bodyDiv w:val="1"/>
      <w:marLeft w:val="0"/>
      <w:marRight w:val="0"/>
      <w:marTop w:val="0"/>
      <w:marBottom w:val="0"/>
      <w:divBdr>
        <w:top w:val="none" w:sz="0" w:space="0" w:color="auto"/>
        <w:left w:val="none" w:sz="0" w:space="0" w:color="auto"/>
        <w:bottom w:val="none" w:sz="0" w:space="0" w:color="auto"/>
        <w:right w:val="none" w:sz="0" w:space="0" w:color="auto"/>
      </w:divBdr>
    </w:div>
    <w:div w:id="402071239">
      <w:bodyDiv w:val="1"/>
      <w:marLeft w:val="0"/>
      <w:marRight w:val="0"/>
      <w:marTop w:val="0"/>
      <w:marBottom w:val="0"/>
      <w:divBdr>
        <w:top w:val="none" w:sz="0" w:space="0" w:color="auto"/>
        <w:left w:val="none" w:sz="0" w:space="0" w:color="auto"/>
        <w:bottom w:val="none" w:sz="0" w:space="0" w:color="auto"/>
        <w:right w:val="none" w:sz="0" w:space="0" w:color="auto"/>
      </w:divBdr>
    </w:div>
    <w:div w:id="409237240">
      <w:bodyDiv w:val="1"/>
      <w:marLeft w:val="0"/>
      <w:marRight w:val="0"/>
      <w:marTop w:val="0"/>
      <w:marBottom w:val="0"/>
      <w:divBdr>
        <w:top w:val="none" w:sz="0" w:space="0" w:color="auto"/>
        <w:left w:val="none" w:sz="0" w:space="0" w:color="auto"/>
        <w:bottom w:val="none" w:sz="0" w:space="0" w:color="auto"/>
        <w:right w:val="none" w:sz="0" w:space="0" w:color="auto"/>
      </w:divBdr>
    </w:div>
    <w:div w:id="634870276">
      <w:bodyDiv w:val="1"/>
      <w:marLeft w:val="0"/>
      <w:marRight w:val="0"/>
      <w:marTop w:val="0"/>
      <w:marBottom w:val="0"/>
      <w:divBdr>
        <w:top w:val="none" w:sz="0" w:space="0" w:color="auto"/>
        <w:left w:val="none" w:sz="0" w:space="0" w:color="auto"/>
        <w:bottom w:val="none" w:sz="0" w:space="0" w:color="auto"/>
        <w:right w:val="none" w:sz="0" w:space="0" w:color="auto"/>
      </w:divBdr>
    </w:div>
    <w:div w:id="644507480">
      <w:bodyDiv w:val="1"/>
      <w:marLeft w:val="0"/>
      <w:marRight w:val="0"/>
      <w:marTop w:val="0"/>
      <w:marBottom w:val="0"/>
      <w:divBdr>
        <w:top w:val="none" w:sz="0" w:space="0" w:color="auto"/>
        <w:left w:val="none" w:sz="0" w:space="0" w:color="auto"/>
        <w:bottom w:val="none" w:sz="0" w:space="0" w:color="auto"/>
        <w:right w:val="none" w:sz="0" w:space="0" w:color="auto"/>
      </w:divBdr>
    </w:div>
    <w:div w:id="655690862">
      <w:bodyDiv w:val="1"/>
      <w:marLeft w:val="0"/>
      <w:marRight w:val="0"/>
      <w:marTop w:val="0"/>
      <w:marBottom w:val="0"/>
      <w:divBdr>
        <w:top w:val="none" w:sz="0" w:space="0" w:color="auto"/>
        <w:left w:val="none" w:sz="0" w:space="0" w:color="auto"/>
        <w:bottom w:val="none" w:sz="0" w:space="0" w:color="auto"/>
        <w:right w:val="none" w:sz="0" w:space="0" w:color="auto"/>
      </w:divBdr>
    </w:div>
    <w:div w:id="776219104">
      <w:bodyDiv w:val="1"/>
      <w:marLeft w:val="0"/>
      <w:marRight w:val="0"/>
      <w:marTop w:val="0"/>
      <w:marBottom w:val="0"/>
      <w:divBdr>
        <w:top w:val="none" w:sz="0" w:space="0" w:color="auto"/>
        <w:left w:val="none" w:sz="0" w:space="0" w:color="auto"/>
        <w:bottom w:val="none" w:sz="0" w:space="0" w:color="auto"/>
        <w:right w:val="none" w:sz="0" w:space="0" w:color="auto"/>
      </w:divBdr>
    </w:div>
    <w:div w:id="824786140">
      <w:bodyDiv w:val="1"/>
      <w:marLeft w:val="0"/>
      <w:marRight w:val="0"/>
      <w:marTop w:val="0"/>
      <w:marBottom w:val="0"/>
      <w:divBdr>
        <w:top w:val="none" w:sz="0" w:space="0" w:color="auto"/>
        <w:left w:val="none" w:sz="0" w:space="0" w:color="auto"/>
        <w:bottom w:val="none" w:sz="0" w:space="0" w:color="auto"/>
        <w:right w:val="none" w:sz="0" w:space="0" w:color="auto"/>
      </w:divBdr>
    </w:div>
    <w:div w:id="880559048">
      <w:bodyDiv w:val="1"/>
      <w:marLeft w:val="0"/>
      <w:marRight w:val="0"/>
      <w:marTop w:val="0"/>
      <w:marBottom w:val="0"/>
      <w:divBdr>
        <w:top w:val="none" w:sz="0" w:space="0" w:color="auto"/>
        <w:left w:val="none" w:sz="0" w:space="0" w:color="auto"/>
        <w:bottom w:val="none" w:sz="0" w:space="0" w:color="auto"/>
        <w:right w:val="none" w:sz="0" w:space="0" w:color="auto"/>
      </w:divBdr>
    </w:div>
    <w:div w:id="921375419">
      <w:bodyDiv w:val="1"/>
      <w:marLeft w:val="0"/>
      <w:marRight w:val="0"/>
      <w:marTop w:val="0"/>
      <w:marBottom w:val="0"/>
      <w:divBdr>
        <w:top w:val="none" w:sz="0" w:space="0" w:color="auto"/>
        <w:left w:val="none" w:sz="0" w:space="0" w:color="auto"/>
        <w:bottom w:val="none" w:sz="0" w:space="0" w:color="auto"/>
        <w:right w:val="none" w:sz="0" w:space="0" w:color="auto"/>
      </w:divBdr>
    </w:div>
    <w:div w:id="996570456">
      <w:bodyDiv w:val="1"/>
      <w:marLeft w:val="0"/>
      <w:marRight w:val="0"/>
      <w:marTop w:val="0"/>
      <w:marBottom w:val="0"/>
      <w:divBdr>
        <w:top w:val="none" w:sz="0" w:space="0" w:color="auto"/>
        <w:left w:val="none" w:sz="0" w:space="0" w:color="auto"/>
        <w:bottom w:val="none" w:sz="0" w:space="0" w:color="auto"/>
        <w:right w:val="none" w:sz="0" w:space="0" w:color="auto"/>
      </w:divBdr>
    </w:div>
    <w:div w:id="1057819867">
      <w:bodyDiv w:val="1"/>
      <w:marLeft w:val="0"/>
      <w:marRight w:val="0"/>
      <w:marTop w:val="0"/>
      <w:marBottom w:val="0"/>
      <w:divBdr>
        <w:top w:val="none" w:sz="0" w:space="0" w:color="auto"/>
        <w:left w:val="none" w:sz="0" w:space="0" w:color="auto"/>
        <w:bottom w:val="none" w:sz="0" w:space="0" w:color="auto"/>
        <w:right w:val="none" w:sz="0" w:space="0" w:color="auto"/>
      </w:divBdr>
    </w:div>
    <w:div w:id="1105227352">
      <w:bodyDiv w:val="1"/>
      <w:marLeft w:val="0"/>
      <w:marRight w:val="0"/>
      <w:marTop w:val="0"/>
      <w:marBottom w:val="0"/>
      <w:divBdr>
        <w:top w:val="none" w:sz="0" w:space="0" w:color="auto"/>
        <w:left w:val="none" w:sz="0" w:space="0" w:color="auto"/>
        <w:bottom w:val="none" w:sz="0" w:space="0" w:color="auto"/>
        <w:right w:val="none" w:sz="0" w:space="0" w:color="auto"/>
      </w:divBdr>
    </w:div>
    <w:div w:id="1201551175">
      <w:bodyDiv w:val="1"/>
      <w:marLeft w:val="0"/>
      <w:marRight w:val="0"/>
      <w:marTop w:val="0"/>
      <w:marBottom w:val="0"/>
      <w:divBdr>
        <w:top w:val="none" w:sz="0" w:space="0" w:color="auto"/>
        <w:left w:val="none" w:sz="0" w:space="0" w:color="auto"/>
        <w:bottom w:val="none" w:sz="0" w:space="0" w:color="auto"/>
        <w:right w:val="none" w:sz="0" w:space="0" w:color="auto"/>
      </w:divBdr>
    </w:div>
    <w:div w:id="1288510809">
      <w:bodyDiv w:val="1"/>
      <w:marLeft w:val="0"/>
      <w:marRight w:val="0"/>
      <w:marTop w:val="0"/>
      <w:marBottom w:val="0"/>
      <w:divBdr>
        <w:top w:val="none" w:sz="0" w:space="0" w:color="auto"/>
        <w:left w:val="none" w:sz="0" w:space="0" w:color="auto"/>
        <w:bottom w:val="none" w:sz="0" w:space="0" w:color="auto"/>
        <w:right w:val="none" w:sz="0" w:space="0" w:color="auto"/>
      </w:divBdr>
    </w:div>
    <w:div w:id="1465586046">
      <w:bodyDiv w:val="1"/>
      <w:marLeft w:val="0"/>
      <w:marRight w:val="0"/>
      <w:marTop w:val="0"/>
      <w:marBottom w:val="0"/>
      <w:divBdr>
        <w:top w:val="none" w:sz="0" w:space="0" w:color="auto"/>
        <w:left w:val="none" w:sz="0" w:space="0" w:color="auto"/>
        <w:bottom w:val="none" w:sz="0" w:space="0" w:color="auto"/>
        <w:right w:val="none" w:sz="0" w:space="0" w:color="auto"/>
      </w:divBdr>
    </w:div>
    <w:div w:id="1553730576">
      <w:bodyDiv w:val="1"/>
      <w:marLeft w:val="0"/>
      <w:marRight w:val="0"/>
      <w:marTop w:val="0"/>
      <w:marBottom w:val="0"/>
      <w:divBdr>
        <w:top w:val="none" w:sz="0" w:space="0" w:color="auto"/>
        <w:left w:val="none" w:sz="0" w:space="0" w:color="auto"/>
        <w:bottom w:val="none" w:sz="0" w:space="0" w:color="auto"/>
        <w:right w:val="none" w:sz="0" w:space="0" w:color="auto"/>
      </w:divBdr>
    </w:div>
    <w:div w:id="1813669528">
      <w:bodyDiv w:val="1"/>
      <w:marLeft w:val="0"/>
      <w:marRight w:val="0"/>
      <w:marTop w:val="0"/>
      <w:marBottom w:val="0"/>
      <w:divBdr>
        <w:top w:val="none" w:sz="0" w:space="0" w:color="auto"/>
        <w:left w:val="none" w:sz="0" w:space="0" w:color="auto"/>
        <w:bottom w:val="none" w:sz="0" w:space="0" w:color="auto"/>
        <w:right w:val="none" w:sz="0" w:space="0" w:color="auto"/>
      </w:divBdr>
    </w:div>
    <w:div w:id="1935935684">
      <w:bodyDiv w:val="1"/>
      <w:marLeft w:val="0"/>
      <w:marRight w:val="0"/>
      <w:marTop w:val="0"/>
      <w:marBottom w:val="0"/>
      <w:divBdr>
        <w:top w:val="none" w:sz="0" w:space="0" w:color="auto"/>
        <w:left w:val="none" w:sz="0" w:space="0" w:color="auto"/>
        <w:bottom w:val="none" w:sz="0" w:space="0" w:color="auto"/>
        <w:right w:val="none" w:sz="0" w:space="0" w:color="auto"/>
      </w:divBdr>
    </w:div>
    <w:div w:id="1939095475">
      <w:bodyDiv w:val="1"/>
      <w:marLeft w:val="0"/>
      <w:marRight w:val="0"/>
      <w:marTop w:val="0"/>
      <w:marBottom w:val="0"/>
      <w:divBdr>
        <w:top w:val="none" w:sz="0" w:space="0" w:color="auto"/>
        <w:left w:val="none" w:sz="0" w:space="0" w:color="auto"/>
        <w:bottom w:val="none" w:sz="0" w:space="0" w:color="auto"/>
        <w:right w:val="none" w:sz="0" w:space="0" w:color="auto"/>
      </w:divBdr>
    </w:div>
    <w:div w:id="1962567259">
      <w:bodyDiv w:val="1"/>
      <w:marLeft w:val="0"/>
      <w:marRight w:val="0"/>
      <w:marTop w:val="0"/>
      <w:marBottom w:val="0"/>
      <w:divBdr>
        <w:top w:val="none" w:sz="0" w:space="0" w:color="auto"/>
        <w:left w:val="none" w:sz="0" w:space="0" w:color="auto"/>
        <w:bottom w:val="none" w:sz="0" w:space="0" w:color="auto"/>
        <w:right w:val="none" w:sz="0" w:space="0" w:color="auto"/>
      </w:divBdr>
    </w:div>
    <w:div w:id="1973051536">
      <w:bodyDiv w:val="1"/>
      <w:marLeft w:val="0"/>
      <w:marRight w:val="0"/>
      <w:marTop w:val="0"/>
      <w:marBottom w:val="0"/>
      <w:divBdr>
        <w:top w:val="none" w:sz="0" w:space="0" w:color="auto"/>
        <w:left w:val="none" w:sz="0" w:space="0" w:color="auto"/>
        <w:bottom w:val="none" w:sz="0" w:space="0" w:color="auto"/>
        <w:right w:val="none" w:sz="0" w:space="0" w:color="auto"/>
      </w:divBdr>
    </w:div>
    <w:div w:id="1976793802">
      <w:bodyDiv w:val="1"/>
      <w:marLeft w:val="0"/>
      <w:marRight w:val="0"/>
      <w:marTop w:val="0"/>
      <w:marBottom w:val="0"/>
      <w:divBdr>
        <w:top w:val="none" w:sz="0" w:space="0" w:color="auto"/>
        <w:left w:val="none" w:sz="0" w:space="0" w:color="auto"/>
        <w:bottom w:val="none" w:sz="0" w:space="0" w:color="auto"/>
        <w:right w:val="none" w:sz="0" w:space="0" w:color="auto"/>
      </w:divBdr>
    </w:div>
    <w:div w:id="1986742881">
      <w:bodyDiv w:val="1"/>
      <w:marLeft w:val="0"/>
      <w:marRight w:val="0"/>
      <w:marTop w:val="0"/>
      <w:marBottom w:val="0"/>
      <w:divBdr>
        <w:top w:val="none" w:sz="0" w:space="0" w:color="auto"/>
        <w:left w:val="none" w:sz="0" w:space="0" w:color="auto"/>
        <w:bottom w:val="none" w:sz="0" w:space="0" w:color="auto"/>
        <w:right w:val="none" w:sz="0" w:space="0" w:color="auto"/>
      </w:divBdr>
    </w:div>
    <w:div w:id="2124957862">
      <w:bodyDiv w:val="1"/>
      <w:marLeft w:val="0"/>
      <w:marRight w:val="0"/>
      <w:marTop w:val="0"/>
      <w:marBottom w:val="0"/>
      <w:divBdr>
        <w:top w:val="none" w:sz="0" w:space="0" w:color="auto"/>
        <w:left w:val="none" w:sz="0" w:space="0" w:color="auto"/>
        <w:bottom w:val="none" w:sz="0" w:space="0" w:color="auto"/>
        <w:right w:val="none" w:sz="0" w:space="0" w:color="auto"/>
      </w:divBdr>
    </w:div>
    <w:div w:id="2129690585">
      <w:bodyDiv w:val="1"/>
      <w:marLeft w:val="0"/>
      <w:marRight w:val="0"/>
      <w:marTop w:val="0"/>
      <w:marBottom w:val="0"/>
      <w:divBdr>
        <w:top w:val="none" w:sz="0" w:space="0" w:color="auto"/>
        <w:left w:val="none" w:sz="0" w:space="0" w:color="auto"/>
        <w:bottom w:val="none" w:sz="0" w:space="0" w:color="auto"/>
        <w:right w:val="none" w:sz="0" w:space="0" w:color="auto"/>
      </w:divBdr>
    </w:div>
    <w:div w:id="2136756002">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CDDA-D40A-4F5E-AF94-863546FE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Algebra I Lesson Plan</vt:lpstr>
    </vt:vector>
  </TitlesOfParts>
  <Company>Hewlett-Packard</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Lesson Plan</dc:title>
  <dc:creator>Darron Underwood</dc:creator>
  <cp:lastModifiedBy>Darron Underwood</cp:lastModifiedBy>
  <cp:revision>2</cp:revision>
  <cp:lastPrinted>2014-08-08T17:11:00Z</cp:lastPrinted>
  <dcterms:created xsi:type="dcterms:W3CDTF">2019-03-17T13:59:00Z</dcterms:created>
  <dcterms:modified xsi:type="dcterms:W3CDTF">2019-03-17T13:59:00Z</dcterms:modified>
</cp:coreProperties>
</file>