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C48717" w14:textId="4987B872" w:rsidR="00D65816" w:rsidRDefault="00D65816">
      <w:pPr>
        <w:rPr>
          <w:i/>
          <w:iCs/>
        </w:rPr>
      </w:pPr>
    </w:p>
    <w:p w14:paraId="5A5D5A2A" w14:textId="77777777" w:rsidR="00D65816" w:rsidRDefault="00D65816">
      <w:pPr>
        <w:rPr>
          <w:i/>
          <w:iCs/>
        </w:rPr>
      </w:pPr>
    </w:p>
    <w:p w14:paraId="29F86B02" w14:textId="77777777" w:rsidR="00D65816" w:rsidRPr="00D65816" w:rsidRDefault="00D65816">
      <w:pPr>
        <w:rPr>
          <w:i/>
          <w:iCs/>
        </w:rPr>
      </w:pPr>
    </w:p>
    <w:p w14:paraId="72599245" w14:textId="77777777" w:rsidR="00235F98" w:rsidRDefault="00235F98"/>
    <w:p w14:paraId="40AAA50A" w14:textId="77777777" w:rsidR="00235F98" w:rsidRDefault="00235F98"/>
    <w:p w14:paraId="13E3E1D3" w14:textId="77777777" w:rsidR="00D65816" w:rsidRDefault="00D65816"/>
    <w:p w14:paraId="4854B72D" w14:textId="77777777" w:rsidR="00D65816" w:rsidRDefault="00D65816"/>
    <w:p w14:paraId="3AC80E6F" w14:textId="77777777" w:rsidR="00D65816" w:rsidRDefault="00D65816"/>
    <w:p w14:paraId="209A26EF" w14:textId="77777777" w:rsidR="00D65816" w:rsidRDefault="00D65816"/>
    <w:p w14:paraId="7054E66B" w14:textId="77777777" w:rsidR="00D65816" w:rsidRDefault="00D65816"/>
    <w:p w14:paraId="3C4C1DF7" w14:textId="77777777" w:rsidR="00D65816" w:rsidRDefault="00D65816"/>
    <w:p w14:paraId="0B938ABF" w14:textId="77777777" w:rsidR="00D65816" w:rsidRDefault="00D65816"/>
    <w:p w14:paraId="14837A8E" w14:textId="77777777" w:rsidR="00D65816" w:rsidRDefault="00D65816"/>
    <w:p w14:paraId="36A53194" w14:textId="77777777" w:rsidR="00D65816" w:rsidRDefault="00D65816"/>
    <w:p w14:paraId="11D71D61" w14:textId="77777777" w:rsidR="00D65816" w:rsidRDefault="00D65816"/>
    <w:p w14:paraId="72836353" w14:textId="77777777" w:rsidR="00D65816" w:rsidRDefault="00D65816"/>
    <w:p w14:paraId="7EC2309D" w14:textId="77777777" w:rsidR="00D65816" w:rsidRDefault="00D65816"/>
    <w:p w14:paraId="181307E9" w14:textId="77777777" w:rsidR="00D65816" w:rsidRDefault="00D65816"/>
    <w:p w14:paraId="3C4035A7" w14:textId="77777777" w:rsidR="00D65816" w:rsidRDefault="00D65816"/>
    <w:p w14:paraId="58C6FD39" w14:textId="77777777" w:rsidR="00D65816" w:rsidRDefault="00D65816"/>
    <w:p w14:paraId="016B2704" w14:textId="77777777" w:rsidR="00D65816" w:rsidRDefault="00D65816"/>
    <w:p w14:paraId="38230F30" w14:textId="77777777" w:rsidR="00D65816" w:rsidRDefault="00D65816"/>
    <w:p w14:paraId="132679B9" w14:textId="77777777" w:rsidR="00D65816" w:rsidRDefault="00D65816"/>
    <w:p w14:paraId="322E73D0" w14:textId="77777777" w:rsidR="00D65816" w:rsidRDefault="00D65816"/>
    <w:p w14:paraId="014E5C0F" w14:textId="77777777" w:rsidR="00D65816" w:rsidRDefault="00D65816"/>
    <w:p w14:paraId="2CBA333D" w14:textId="77777777" w:rsidR="00D65816" w:rsidRDefault="00D65816"/>
    <w:p w14:paraId="53F9B7D3" w14:textId="77777777" w:rsidR="00D65816" w:rsidRDefault="00D65816"/>
    <w:p w14:paraId="6911F122" w14:textId="77777777" w:rsidR="00D65816" w:rsidRDefault="00D65816"/>
    <w:p w14:paraId="28FDFBA9" w14:textId="77777777" w:rsidR="00D65816" w:rsidRDefault="00D65816"/>
    <w:p w14:paraId="197DB9EB" w14:textId="77777777" w:rsidR="00D65816" w:rsidRDefault="00D65816"/>
    <w:p w14:paraId="78A1AB34" w14:textId="77777777" w:rsidR="00D65816" w:rsidRDefault="00D65816"/>
    <w:p w14:paraId="2C3C8B81" w14:textId="77777777" w:rsidR="00D65816" w:rsidRDefault="00D65816"/>
    <w:p w14:paraId="5F8FA72A" w14:textId="77777777" w:rsidR="00D65816" w:rsidRDefault="00D65816"/>
    <w:p w14:paraId="7AD9BB3F" w14:textId="77777777" w:rsidR="00D65816" w:rsidRDefault="00D65816"/>
    <w:p w14:paraId="61C76FA0" w14:textId="77777777" w:rsidR="00BD2C0B" w:rsidRDefault="00B10FA3">
      <w:pPr>
        <w:rPr>
          <w:i/>
          <w:iCs/>
          <w:sz w:val="32"/>
          <w:szCs w:val="32"/>
        </w:rPr>
      </w:pPr>
      <w:r>
        <w:tab/>
      </w:r>
      <w:r>
        <w:tab/>
      </w:r>
      <w:r w:rsidRPr="00716EC5">
        <w:rPr>
          <w:i/>
          <w:iCs/>
          <w:sz w:val="32"/>
          <w:szCs w:val="32"/>
        </w:rPr>
        <w:tab/>
      </w:r>
      <w:r w:rsidRPr="00716EC5">
        <w:rPr>
          <w:i/>
          <w:iCs/>
          <w:sz w:val="32"/>
          <w:szCs w:val="32"/>
        </w:rPr>
        <w:tab/>
      </w:r>
      <w:r w:rsidR="00D65816" w:rsidRPr="00716EC5">
        <w:rPr>
          <w:i/>
          <w:iCs/>
          <w:sz w:val="32"/>
          <w:szCs w:val="32"/>
        </w:rPr>
        <w:t xml:space="preserve">      </w:t>
      </w:r>
      <w:r w:rsidR="00716EC5">
        <w:rPr>
          <w:i/>
          <w:iCs/>
          <w:sz w:val="32"/>
          <w:szCs w:val="32"/>
        </w:rPr>
        <w:t xml:space="preserve"> </w:t>
      </w:r>
    </w:p>
    <w:p w14:paraId="46C4A161" w14:textId="77777777" w:rsidR="00BD2C0B" w:rsidRDefault="00BD2C0B">
      <w:pPr>
        <w:rPr>
          <w:i/>
          <w:iCs/>
          <w:sz w:val="32"/>
          <w:szCs w:val="32"/>
        </w:rPr>
      </w:pPr>
    </w:p>
    <w:p w14:paraId="191F91D8" w14:textId="538A5A89" w:rsidR="00B10FA3" w:rsidRPr="00FD0073" w:rsidRDefault="00FD0073" w:rsidP="00BD2C0B">
      <w:pPr>
        <w:ind w:left="2880" w:firstLine="720"/>
        <w:rPr>
          <w:b/>
          <w:bCs/>
          <w:i/>
          <w:iCs/>
          <w:sz w:val="40"/>
          <w:szCs w:val="40"/>
        </w:rPr>
      </w:pPr>
      <w:r>
        <w:rPr>
          <w:b/>
          <w:bCs/>
          <w:i/>
          <w:iCs/>
          <w:sz w:val="40"/>
          <w:szCs w:val="40"/>
        </w:rPr>
        <w:t>America, Etc.</w:t>
      </w:r>
    </w:p>
    <w:p w14:paraId="39334868" w14:textId="77777777" w:rsidR="00FD0073" w:rsidRPr="00FD0073" w:rsidRDefault="00FD0073" w:rsidP="00BD2C0B">
      <w:pPr>
        <w:ind w:left="2880" w:firstLine="720"/>
        <w:rPr>
          <w:b/>
          <w:bCs/>
          <w:i/>
          <w:iCs/>
          <w:sz w:val="36"/>
          <w:szCs w:val="36"/>
        </w:rPr>
      </w:pPr>
    </w:p>
    <w:p w14:paraId="5DB123E9" w14:textId="0BF267E1" w:rsidR="00BD2C0B" w:rsidRPr="00FD0073" w:rsidRDefault="00BD2C0B">
      <w:pPr>
        <w:rPr>
          <w:b/>
          <w:bCs/>
          <w:i/>
          <w:iCs/>
          <w:sz w:val="28"/>
          <w:szCs w:val="28"/>
        </w:rPr>
      </w:pPr>
      <w:r>
        <w:rPr>
          <w:b/>
          <w:bCs/>
          <w:i/>
          <w:iCs/>
          <w:sz w:val="32"/>
          <w:szCs w:val="32"/>
        </w:rPr>
        <w:t xml:space="preserve">              </w:t>
      </w:r>
      <w:r w:rsidR="00FD0073">
        <w:rPr>
          <w:b/>
          <w:bCs/>
          <w:i/>
          <w:iCs/>
          <w:sz w:val="32"/>
          <w:szCs w:val="32"/>
        </w:rPr>
        <w:t xml:space="preserve">         </w:t>
      </w:r>
      <w:r w:rsidR="00FD0073">
        <w:rPr>
          <w:b/>
          <w:bCs/>
          <w:i/>
          <w:iCs/>
          <w:sz w:val="28"/>
          <w:szCs w:val="28"/>
        </w:rPr>
        <w:t xml:space="preserve"> </w:t>
      </w:r>
      <w:r w:rsidR="008C123D">
        <w:rPr>
          <w:b/>
          <w:bCs/>
          <w:i/>
          <w:iCs/>
          <w:sz w:val="28"/>
          <w:szCs w:val="28"/>
        </w:rPr>
        <w:t xml:space="preserve">            </w:t>
      </w:r>
      <w:r w:rsidR="00FD0073">
        <w:rPr>
          <w:b/>
          <w:bCs/>
          <w:i/>
          <w:iCs/>
          <w:sz w:val="28"/>
          <w:szCs w:val="28"/>
        </w:rPr>
        <w:t>White Males</w:t>
      </w:r>
      <w:r w:rsidR="008C123D">
        <w:rPr>
          <w:b/>
          <w:bCs/>
          <w:i/>
          <w:iCs/>
          <w:sz w:val="28"/>
          <w:szCs w:val="28"/>
        </w:rPr>
        <w:t>, Modernism</w:t>
      </w:r>
      <w:r w:rsidR="00FD0073">
        <w:rPr>
          <w:b/>
          <w:bCs/>
          <w:i/>
          <w:iCs/>
          <w:sz w:val="28"/>
          <w:szCs w:val="28"/>
        </w:rPr>
        <w:t xml:space="preserve"> and </w:t>
      </w:r>
      <w:r w:rsidR="008C123D">
        <w:rPr>
          <w:b/>
          <w:bCs/>
          <w:i/>
          <w:iCs/>
          <w:sz w:val="28"/>
          <w:szCs w:val="28"/>
        </w:rPr>
        <w:t>Culture</w:t>
      </w:r>
    </w:p>
    <w:p w14:paraId="05F8DBAC" w14:textId="77777777" w:rsidR="00BD2C0B" w:rsidRDefault="00BD2C0B">
      <w:pPr>
        <w:rPr>
          <w:b/>
          <w:bCs/>
          <w:i/>
          <w:iCs/>
          <w:sz w:val="32"/>
          <w:szCs w:val="32"/>
        </w:rPr>
      </w:pPr>
    </w:p>
    <w:p w14:paraId="7CCD1BB1" w14:textId="1A13D8CF" w:rsidR="00BD2C0B" w:rsidRPr="00BD2C0B" w:rsidRDefault="00BD2C0B">
      <w:pPr>
        <w:rPr>
          <w:i/>
          <w:iCs/>
          <w:sz w:val="28"/>
          <w:szCs w:val="28"/>
        </w:rPr>
      </w:pPr>
      <w:r w:rsidRPr="00BD2C0B">
        <w:rPr>
          <w:i/>
          <w:iCs/>
          <w:sz w:val="32"/>
          <w:szCs w:val="32"/>
        </w:rPr>
        <w:t xml:space="preserve">                                      </w:t>
      </w:r>
      <w:r w:rsidR="00FD0073">
        <w:rPr>
          <w:i/>
          <w:iCs/>
          <w:sz w:val="32"/>
          <w:szCs w:val="32"/>
        </w:rPr>
        <w:t xml:space="preserve">     </w:t>
      </w:r>
      <w:r w:rsidRPr="00BD2C0B">
        <w:rPr>
          <w:i/>
          <w:iCs/>
          <w:sz w:val="32"/>
          <w:szCs w:val="32"/>
        </w:rPr>
        <w:t xml:space="preserve">  </w:t>
      </w:r>
      <w:r w:rsidRPr="00BD2C0B">
        <w:rPr>
          <w:i/>
          <w:iCs/>
          <w:sz w:val="28"/>
          <w:szCs w:val="28"/>
        </w:rPr>
        <w:t>Thomas K. Murphy, Ph.D.</w:t>
      </w:r>
    </w:p>
    <w:p w14:paraId="6B2ACFBA" w14:textId="77777777" w:rsidR="00B10FA3" w:rsidRDefault="00B10FA3">
      <w:pPr>
        <w:rPr>
          <w:b/>
          <w:bCs/>
          <w:sz w:val="28"/>
          <w:szCs w:val="28"/>
        </w:rPr>
      </w:pPr>
    </w:p>
    <w:p w14:paraId="646FFE9D" w14:textId="77777777" w:rsidR="00B10FA3" w:rsidRDefault="00B10FA3">
      <w:pPr>
        <w:rPr>
          <w:b/>
          <w:bCs/>
          <w:sz w:val="28"/>
          <w:szCs w:val="28"/>
        </w:rPr>
      </w:pPr>
    </w:p>
    <w:p w14:paraId="12B63FC2" w14:textId="77777777" w:rsidR="00235F98" w:rsidRDefault="00235F98">
      <w:pPr>
        <w:rPr>
          <w:b/>
          <w:bCs/>
          <w:sz w:val="28"/>
          <w:szCs w:val="28"/>
        </w:rPr>
      </w:pPr>
    </w:p>
    <w:p w14:paraId="6A96E17D" w14:textId="77777777" w:rsidR="00235F98" w:rsidRDefault="00235F98">
      <w:pPr>
        <w:rPr>
          <w:b/>
          <w:bCs/>
          <w:sz w:val="28"/>
          <w:szCs w:val="28"/>
        </w:rPr>
      </w:pPr>
    </w:p>
    <w:p w14:paraId="1BDC14EC" w14:textId="77777777" w:rsidR="00235F98" w:rsidRDefault="00235F98">
      <w:pPr>
        <w:rPr>
          <w:b/>
          <w:bCs/>
          <w:sz w:val="28"/>
          <w:szCs w:val="28"/>
        </w:rPr>
      </w:pPr>
    </w:p>
    <w:p w14:paraId="650285E4" w14:textId="77777777" w:rsidR="00235F98" w:rsidRDefault="00235F98">
      <w:pPr>
        <w:rPr>
          <w:b/>
          <w:bCs/>
          <w:sz w:val="28"/>
          <w:szCs w:val="28"/>
        </w:rPr>
      </w:pPr>
    </w:p>
    <w:p w14:paraId="5DECBC8C" w14:textId="77777777" w:rsidR="00235F98" w:rsidRDefault="00235F98">
      <w:pPr>
        <w:rPr>
          <w:b/>
          <w:bCs/>
          <w:sz w:val="28"/>
          <w:szCs w:val="28"/>
        </w:rPr>
      </w:pPr>
    </w:p>
    <w:p w14:paraId="488662D1" w14:textId="77777777" w:rsidR="00235F98" w:rsidRDefault="00235F98">
      <w:pPr>
        <w:rPr>
          <w:b/>
          <w:bCs/>
          <w:sz w:val="28"/>
          <w:szCs w:val="28"/>
        </w:rPr>
      </w:pPr>
    </w:p>
    <w:p w14:paraId="4D8ECC38" w14:textId="77777777" w:rsidR="00235F98" w:rsidRDefault="00235F98">
      <w:pPr>
        <w:rPr>
          <w:b/>
          <w:bCs/>
          <w:sz w:val="28"/>
          <w:szCs w:val="28"/>
        </w:rPr>
      </w:pPr>
    </w:p>
    <w:p w14:paraId="22122836" w14:textId="77777777" w:rsidR="00235F98" w:rsidRDefault="00235F98">
      <w:pPr>
        <w:rPr>
          <w:b/>
          <w:bCs/>
          <w:sz w:val="28"/>
          <w:szCs w:val="28"/>
        </w:rPr>
      </w:pPr>
    </w:p>
    <w:p w14:paraId="076712F2" w14:textId="77777777" w:rsidR="00235F98" w:rsidRDefault="00235F98">
      <w:pPr>
        <w:rPr>
          <w:b/>
          <w:bCs/>
          <w:sz w:val="28"/>
          <w:szCs w:val="28"/>
        </w:rPr>
      </w:pPr>
    </w:p>
    <w:p w14:paraId="185ED8A3" w14:textId="77777777" w:rsidR="00235F98" w:rsidRDefault="00235F98">
      <w:pPr>
        <w:rPr>
          <w:b/>
          <w:bCs/>
          <w:sz w:val="28"/>
          <w:szCs w:val="28"/>
        </w:rPr>
      </w:pPr>
    </w:p>
    <w:p w14:paraId="4E8C5F58" w14:textId="77777777" w:rsidR="00235F98" w:rsidRDefault="00235F98">
      <w:pPr>
        <w:rPr>
          <w:b/>
          <w:bCs/>
          <w:sz w:val="28"/>
          <w:szCs w:val="28"/>
        </w:rPr>
      </w:pPr>
    </w:p>
    <w:p w14:paraId="03C04B4D" w14:textId="77777777" w:rsidR="00235F98" w:rsidRDefault="00235F98">
      <w:pPr>
        <w:rPr>
          <w:b/>
          <w:bCs/>
          <w:sz w:val="28"/>
          <w:szCs w:val="28"/>
        </w:rPr>
      </w:pPr>
    </w:p>
    <w:p w14:paraId="6B0091B0" w14:textId="77777777" w:rsidR="00235F98" w:rsidRDefault="00235F98">
      <w:pPr>
        <w:rPr>
          <w:b/>
          <w:bCs/>
          <w:sz w:val="28"/>
          <w:szCs w:val="28"/>
        </w:rPr>
      </w:pPr>
    </w:p>
    <w:p w14:paraId="6B7E6503" w14:textId="77777777" w:rsidR="00235F98" w:rsidRDefault="00235F98">
      <w:pPr>
        <w:rPr>
          <w:b/>
          <w:bCs/>
          <w:sz w:val="28"/>
          <w:szCs w:val="28"/>
        </w:rPr>
      </w:pPr>
    </w:p>
    <w:p w14:paraId="7F374A70" w14:textId="77777777" w:rsidR="00235F98" w:rsidRDefault="00235F98">
      <w:pPr>
        <w:rPr>
          <w:b/>
          <w:bCs/>
          <w:sz w:val="28"/>
          <w:szCs w:val="28"/>
        </w:rPr>
      </w:pPr>
    </w:p>
    <w:p w14:paraId="130A25B9" w14:textId="5FBD0ECA" w:rsidR="003A4C68" w:rsidRDefault="00B10FA3">
      <w:pPr>
        <w:rPr>
          <w:b/>
          <w:bCs/>
          <w:sz w:val="28"/>
          <w:szCs w:val="28"/>
        </w:rPr>
      </w:pPr>
      <w:r>
        <w:rPr>
          <w:b/>
          <w:bCs/>
          <w:sz w:val="28"/>
          <w:szCs w:val="28"/>
        </w:rPr>
        <w:t xml:space="preserve">                                                   </w:t>
      </w:r>
    </w:p>
    <w:p w14:paraId="059643B2" w14:textId="77777777" w:rsidR="003A4C68" w:rsidRDefault="003A4C68">
      <w:pPr>
        <w:rPr>
          <w:b/>
          <w:bCs/>
          <w:sz w:val="28"/>
          <w:szCs w:val="28"/>
        </w:rPr>
      </w:pPr>
    </w:p>
    <w:p w14:paraId="217061F9" w14:textId="77777777" w:rsidR="003A4C68" w:rsidRDefault="003A4C68">
      <w:pPr>
        <w:rPr>
          <w:b/>
          <w:bCs/>
          <w:sz w:val="28"/>
          <w:szCs w:val="28"/>
        </w:rPr>
      </w:pPr>
    </w:p>
    <w:p w14:paraId="6F71F37C" w14:textId="6823CFD3" w:rsidR="00B10FA3" w:rsidRPr="004A609C" w:rsidRDefault="00CE0B6F" w:rsidP="00CE0B6F">
      <w:pPr>
        <w:rPr>
          <w:rFonts w:ascii="Times New Roman" w:hAnsi="Times New Roman" w:cs="Times New Roman"/>
          <w:b/>
          <w:bCs/>
          <w:i/>
          <w:iCs/>
          <w:sz w:val="32"/>
          <w:szCs w:val="32"/>
          <w:lang w:val="fr-FR"/>
        </w:rPr>
      </w:pPr>
      <w:r w:rsidRPr="00CE0B6F">
        <w:rPr>
          <w:rFonts w:ascii="Times New Roman" w:hAnsi="Times New Roman" w:cs="Times New Roman"/>
          <w:b/>
          <w:bCs/>
          <w:i/>
          <w:iCs/>
          <w:sz w:val="32"/>
          <w:szCs w:val="32"/>
        </w:rPr>
        <w:t xml:space="preserve">                                            </w:t>
      </w:r>
      <w:r w:rsidR="00B10FA3" w:rsidRPr="004A609C">
        <w:rPr>
          <w:rFonts w:ascii="Times New Roman" w:hAnsi="Times New Roman" w:cs="Times New Roman"/>
          <w:b/>
          <w:bCs/>
          <w:i/>
          <w:iCs/>
          <w:sz w:val="32"/>
          <w:szCs w:val="32"/>
          <w:lang w:val="fr-FR"/>
        </w:rPr>
        <w:t>Table of Contents</w:t>
      </w:r>
    </w:p>
    <w:p w14:paraId="05BA280B" w14:textId="77777777" w:rsidR="003A4C68" w:rsidRPr="004A609C" w:rsidRDefault="003A4C68" w:rsidP="003A4C68">
      <w:pPr>
        <w:ind w:left="2880" w:firstLine="720"/>
        <w:rPr>
          <w:b/>
          <w:bCs/>
          <w:sz w:val="28"/>
          <w:szCs w:val="28"/>
          <w:lang w:val="fr-FR"/>
        </w:rPr>
      </w:pPr>
    </w:p>
    <w:p w14:paraId="59C093A9" w14:textId="77777777" w:rsidR="003A4C68" w:rsidRPr="004A609C" w:rsidRDefault="003A4C68" w:rsidP="003A4C68">
      <w:pPr>
        <w:ind w:left="2880" w:firstLine="720"/>
        <w:rPr>
          <w:b/>
          <w:bCs/>
          <w:sz w:val="28"/>
          <w:szCs w:val="28"/>
          <w:lang w:val="fr-FR"/>
        </w:rPr>
      </w:pPr>
    </w:p>
    <w:p w14:paraId="0196D6B5" w14:textId="77777777" w:rsidR="00B10FA3" w:rsidRPr="004A609C" w:rsidRDefault="00B10FA3">
      <w:pPr>
        <w:rPr>
          <w:b/>
          <w:bCs/>
          <w:sz w:val="28"/>
          <w:szCs w:val="28"/>
          <w:lang w:val="fr-FR"/>
        </w:rPr>
      </w:pPr>
    </w:p>
    <w:p w14:paraId="2FE0CC42" w14:textId="77777777" w:rsidR="003A4C68" w:rsidRPr="004A609C" w:rsidRDefault="003A4C68">
      <w:pPr>
        <w:rPr>
          <w:rFonts w:ascii="Times New Roman" w:hAnsi="Times New Roman" w:cs="Times New Roman"/>
          <w:b/>
          <w:bCs/>
          <w:sz w:val="28"/>
          <w:szCs w:val="28"/>
          <w:lang w:val="fr-FR"/>
        </w:rPr>
      </w:pPr>
    </w:p>
    <w:p w14:paraId="294AFF17" w14:textId="062E6CE1" w:rsidR="00B10FA3" w:rsidRPr="004A609C" w:rsidRDefault="004A609C">
      <w:pPr>
        <w:rPr>
          <w:rFonts w:ascii="Times New Roman" w:hAnsi="Times New Roman" w:cs="Times New Roman"/>
          <w:b/>
          <w:bCs/>
          <w:i/>
          <w:iCs/>
          <w:sz w:val="28"/>
          <w:szCs w:val="28"/>
          <w:lang w:val="fr-FR"/>
        </w:rPr>
      </w:pPr>
      <w:r>
        <w:rPr>
          <w:rFonts w:ascii="Times New Roman" w:hAnsi="Times New Roman" w:cs="Times New Roman"/>
          <w:b/>
          <w:bCs/>
          <w:i/>
          <w:iCs/>
          <w:sz w:val="28"/>
          <w:szCs w:val="28"/>
          <w:lang w:val="fr-FR"/>
        </w:rPr>
        <w:t xml:space="preserve">      </w:t>
      </w:r>
      <w:r w:rsidR="00B10FA3" w:rsidRPr="004A609C">
        <w:rPr>
          <w:rFonts w:ascii="Times New Roman" w:hAnsi="Times New Roman" w:cs="Times New Roman"/>
          <w:b/>
          <w:bCs/>
          <w:i/>
          <w:iCs/>
          <w:lang w:val="fr-FR"/>
        </w:rPr>
        <w:t>PROLOGUE</w:t>
      </w:r>
      <w:r w:rsidRPr="004A609C">
        <w:rPr>
          <w:rFonts w:ascii="Times New Roman" w:hAnsi="Times New Roman" w:cs="Times New Roman"/>
          <w:b/>
          <w:bCs/>
          <w:i/>
          <w:iCs/>
          <w:sz w:val="28"/>
          <w:szCs w:val="28"/>
          <w:lang w:val="fr-FR"/>
        </w:rPr>
        <w:t xml:space="preserve">: </w:t>
      </w:r>
      <w:r w:rsidR="00452C41" w:rsidRPr="004A609C">
        <w:rPr>
          <w:rFonts w:ascii="Times New Roman" w:hAnsi="Times New Roman" w:cs="Times New Roman"/>
          <w:b/>
          <w:bCs/>
          <w:i/>
          <w:iCs/>
          <w:sz w:val="28"/>
          <w:szCs w:val="28"/>
          <w:lang w:val="fr-FR"/>
        </w:rPr>
        <w:t xml:space="preserve"> Monte Lupo</w:t>
      </w:r>
    </w:p>
    <w:p w14:paraId="010E3639" w14:textId="57878CB9" w:rsidR="004A609C" w:rsidRPr="004A609C" w:rsidRDefault="004A609C">
      <w:pPr>
        <w:rPr>
          <w:rFonts w:ascii="Times New Roman" w:hAnsi="Times New Roman" w:cs="Times New Roman"/>
          <w:b/>
          <w:bCs/>
          <w:i/>
          <w:iCs/>
          <w:sz w:val="28"/>
          <w:szCs w:val="28"/>
          <w:lang w:val="fr-FR"/>
        </w:rPr>
      </w:pPr>
      <w:r>
        <w:rPr>
          <w:rFonts w:ascii="Times New Roman" w:hAnsi="Times New Roman" w:cs="Times New Roman"/>
          <w:b/>
          <w:bCs/>
          <w:i/>
          <w:iCs/>
          <w:sz w:val="28"/>
          <w:szCs w:val="28"/>
          <w:lang w:val="fr-FR"/>
        </w:rPr>
        <w:t xml:space="preserve">      Introduction</w:t>
      </w:r>
    </w:p>
    <w:p w14:paraId="3D28CF3D" w14:textId="77777777" w:rsidR="00B10FA3" w:rsidRPr="00CE0B6F" w:rsidRDefault="00B10FA3" w:rsidP="00B10FA3">
      <w:pPr>
        <w:pStyle w:val="ListParagraph"/>
        <w:numPr>
          <w:ilvl w:val="0"/>
          <w:numId w:val="1"/>
        </w:numPr>
        <w:spacing w:line="259" w:lineRule="auto"/>
        <w:rPr>
          <w:rFonts w:ascii="Times New Roman" w:hAnsi="Times New Roman" w:cs="Times New Roman"/>
          <w:b/>
          <w:bCs/>
          <w:i/>
          <w:iCs/>
          <w:sz w:val="28"/>
          <w:szCs w:val="28"/>
        </w:rPr>
      </w:pPr>
      <w:r w:rsidRPr="004A609C">
        <w:rPr>
          <w:rFonts w:ascii="Times New Roman" w:hAnsi="Times New Roman" w:cs="Times New Roman"/>
          <w:b/>
          <w:bCs/>
          <w:i/>
          <w:iCs/>
          <w:sz w:val="28"/>
          <w:szCs w:val="28"/>
          <w:lang w:val="fr-FR"/>
        </w:rPr>
        <w:t xml:space="preserve"> </w:t>
      </w:r>
      <w:r w:rsidRPr="00CE0B6F">
        <w:rPr>
          <w:rFonts w:ascii="Times New Roman" w:hAnsi="Times New Roman" w:cs="Times New Roman"/>
          <w:b/>
          <w:bCs/>
          <w:i/>
          <w:iCs/>
          <w:sz w:val="28"/>
          <w:szCs w:val="28"/>
        </w:rPr>
        <w:t>Modern US Culture</w:t>
      </w:r>
    </w:p>
    <w:p w14:paraId="61A329FE" w14:textId="77777777" w:rsidR="00B10FA3" w:rsidRPr="00CE0B6F" w:rsidRDefault="00B10FA3" w:rsidP="00B10FA3">
      <w:pPr>
        <w:pStyle w:val="ListParagraph"/>
        <w:numPr>
          <w:ilvl w:val="0"/>
          <w:numId w:val="1"/>
        </w:numPr>
        <w:spacing w:line="259" w:lineRule="auto"/>
        <w:rPr>
          <w:rFonts w:ascii="Times New Roman" w:hAnsi="Times New Roman" w:cs="Times New Roman"/>
          <w:b/>
          <w:bCs/>
          <w:i/>
          <w:iCs/>
          <w:sz w:val="28"/>
          <w:szCs w:val="28"/>
        </w:rPr>
      </w:pPr>
      <w:r w:rsidRPr="00CE0B6F">
        <w:rPr>
          <w:rFonts w:ascii="Times New Roman" w:hAnsi="Times New Roman" w:cs="Times New Roman"/>
          <w:b/>
          <w:bCs/>
          <w:i/>
          <w:iCs/>
          <w:sz w:val="28"/>
          <w:szCs w:val="28"/>
        </w:rPr>
        <w:t xml:space="preserve"> American Political Culture</w:t>
      </w:r>
    </w:p>
    <w:p w14:paraId="4B8EDABA" w14:textId="49B73C29" w:rsidR="00B10FA3" w:rsidRPr="00CE0B6F" w:rsidRDefault="00B10FA3" w:rsidP="00B10FA3">
      <w:pPr>
        <w:pStyle w:val="ListParagraph"/>
        <w:numPr>
          <w:ilvl w:val="0"/>
          <w:numId w:val="1"/>
        </w:numPr>
        <w:spacing w:line="259" w:lineRule="auto"/>
        <w:rPr>
          <w:rFonts w:ascii="Times New Roman" w:hAnsi="Times New Roman" w:cs="Times New Roman"/>
          <w:b/>
          <w:bCs/>
          <w:i/>
          <w:iCs/>
          <w:sz w:val="28"/>
          <w:szCs w:val="28"/>
        </w:rPr>
      </w:pPr>
      <w:r w:rsidRPr="00CE0B6F">
        <w:rPr>
          <w:rFonts w:ascii="Times New Roman" w:hAnsi="Times New Roman" w:cs="Times New Roman"/>
          <w:b/>
          <w:bCs/>
          <w:i/>
          <w:iCs/>
          <w:sz w:val="28"/>
          <w:szCs w:val="28"/>
        </w:rPr>
        <w:t xml:space="preserve"> </w:t>
      </w:r>
      <w:r w:rsidR="008C123D">
        <w:rPr>
          <w:rFonts w:ascii="Times New Roman" w:hAnsi="Times New Roman" w:cs="Times New Roman"/>
          <w:b/>
          <w:bCs/>
          <w:i/>
          <w:iCs/>
          <w:sz w:val="28"/>
          <w:szCs w:val="28"/>
        </w:rPr>
        <w:t>Mythological America</w:t>
      </w:r>
    </w:p>
    <w:p w14:paraId="4269E929" w14:textId="77777777" w:rsidR="00B10FA3" w:rsidRPr="00CE0B6F" w:rsidRDefault="00B10FA3" w:rsidP="00B10FA3">
      <w:pPr>
        <w:pStyle w:val="ListParagraph"/>
        <w:numPr>
          <w:ilvl w:val="0"/>
          <w:numId w:val="1"/>
        </w:numPr>
        <w:spacing w:line="259" w:lineRule="auto"/>
        <w:rPr>
          <w:rFonts w:ascii="Times New Roman" w:hAnsi="Times New Roman" w:cs="Times New Roman"/>
          <w:b/>
          <w:bCs/>
          <w:i/>
          <w:iCs/>
          <w:sz w:val="28"/>
          <w:szCs w:val="28"/>
        </w:rPr>
      </w:pPr>
      <w:r w:rsidRPr="00CE0B6F">
        <w:rPr>
          <w:rFonts w:ascii="Times New Roman" w:hAnsi="Times New Roman" w:cs="Times New Roman"/>
          <w:b/>
          <w:bCs/>
          <w:i/>
          <w:iCs/>
          <w:sz w:val="28"/>
          <w:szCs w:val="28"/>
        </w:rPr>
        <w:t xml:space="preserve"> Threatened Gender Power </w:t>
      </w:r>
    </w:p>
    <w:p w14:paraId="7422B0B1" w14:textId="77777777" w:rsidR="00B10FA3" w:rsidRPr="00CE0B6F" w:rsidRDefault="00B10FA3" w:rsidP="00B10FA3">
      <w:pPr>
        <w:pStyle w:val="ListParagraph"/>
        <w:numPr>
          <w:ilvl w:val="0"/>
          <w:numId w:val="1"/>
        </w:numPr>
        <w:spacing w:line="259" w:lineRule="auto"/>
        <w:rPr>
          <w:rFonts w:ascii="Times New Roman" w:hAnsi="Times New Roman" w:cs="Times New Roman"/>
          <w:b/>
          <w:bCs/>
          <w:i/>
          <w:iCs/>
          <w:sz w:val="28"/>
          <w:szCs w:val="28"/>
        </w:rPr>
      </w:pPr>
      <w:r w:rsidRPr="00CE0B6F">
        <w:rPr>
          <w:rFonts w:ascii="Times New Roman" w:hAnsi="Times New Roman" w:cs="Times New Roman"/>
          <w:b/>
          <w:bCs/>
          <w:i/>
          <w:iCs/>
          <w:sz w:val="28"/>
          <w:szCs w:val="28"/>
        </w:rPr>
        <w:t xml:space="preserve"> Theories of Status Loss</w:t>
      </w:r>
    </w:p>
    <w:p w14:paraId="71E17E98" w14:textId="698E8712" w:rsidR="00B10FA3" w:rsidRPr="00CE0B6F" w:rsidRDefault="00B10FA3" w:rsidP="00B10FA3">
      <w:pPr>
        <w:pStyle w:val="ListParagraph"/>
        <w:numPr>
          <w:ilvl w:val="0"/>
          <w:numId w:val="1"/>
        </w:numPr>
        <w:spacing w:line="259" w:lineRule="auto"/>
        <w:rPr>
          <w:rFonts w:ascii="Times New Roman" w:hAnsi="Times New Roman" w:cs="Times New Roman"/>
          <w:b/>
          <w:bCs/>
          <w:i/>
          <w:iCs/>
          <w:sz w:val="28"/>
          <w:szCs w:val="28"/>
        </w:rPr>
      </w:pPr>
      <w:r w:rsidRPr="00CE0B6F">
        <w:rPr>
          <w:rFonts w:ascii="Times New Roman" w:hAnsi="Times New Roman" w:cs="Times New Roman"/>
          <w:b/>
          <w:bCs/>
          <w:i/>
          <w:iCs/>
          <w:sz w:val="28"/>
          <w:szCs w:val="28"/>
        </w:rPr>
        <w:t xml:space="preserve"> Masculinity </w:t>
      </w:r>
    </w:p>
    <w:p w14:paraId="3EF773DB" w14:textId="77777777" w:rsidR="00B10FA3" w:rsidRPr="00CE0B6F" w:rsidRDefault="00B10FA3" w:rsidP="00B10FA3">
      <w:pPr>
        <w:pStyle w:val="ListParagraph"/>
        <w:numPr>
          <w:ilvl w:val="0"/>
          <w:numId w:val="1"/>
        </w:numPr>
        <w:spacing w:line="259" w:lineRule="auto"/>
        <w:rPr>
          <w:rFonts w:ascii="Times New Roman" w:hAnsi="Times New Roman" w:cs="Times New Roman"/>
          <w:b/>
          <w:bCs/>
          <w:i/>
          <w:iCs/>
          <w:sz w:val="28"/>
          <w:szCs w:val="28"/>
        </w:rPr>
      </w:pPr>
      <w:r w:rsidRPr="00CE0B6F">
        <w:rPr>
          <w:rFonts w:ascii="Times New Roman" w:hAnsi="Times New Roman" w:cs="Times New Roman"/>
          <w:b/>
          <w:bCs/>
          <w:i/>
          <w:iCs/>
          <w:sz w:val="28"/>
          <w:szCs w:val="28"/>
        </w:rPr>
        <w:t xml:space="preserve"> Lying</w:t>
      </w:r>
    </w:p>
    <w:p w14:paraId="2E2331CA" w14:textId="02D33940" w:rsidR="00B10FA3" w:rsidRPr="00CE0B6F" w:rsidRDefault="00B10FA3" w:rsidP="00CE0B6F">
      <w:pPr>
        <w:pStyle w:val="ListParagraph"/>
        <w:numPr>
          <w:ilvl w:val="0"/>
          <w:numId w:val="1"/>
        </w:numPr>
        <w:spacing w:line="259" w:lineRule="auto"/>
        <w:rPr>
          <w:rFonts w:ascii="Times New Roman" w:hAnsi="Times New Roman" w:cs="Times New Roman"/>
          <w:b/>
          <w:bCs/>
          <w:i/>
          <w:iCs/>
          <w:sz w:val="28"/>
          <w:szCs w:val="28"/>
        </w:rPr>
      </w:pPr>
      <w:r w:rsidRPr="00CE0B6F">
        <w:rPr>
          <w:rFonts w:ascii="Times New Roman" w:hAnsi="Times New Roman" w:cs="Times New Roman"/>
          <w:b/>
          <w:bCs/>
          <w:i/>
          <w:iCs/>
          <w:sz w:val="28"/>
          <w:szCs w:val="28"/>
        </w:rPr>
        <w:t xml:space="preserve"> Redistribution: Concepts and Practicalities</w:t>
      </w:r>
    </w:p>
    <w:p w14:paraId="1739E601" w14:textId="77777777" w:rsidR="00B10FA3" w:rsidRPr="00CE0B6F" w:rsidRDefault="00B10FA3" w:rsidP="00077F14">
      <w:pPr>
        <w:rPr>
          <w:rFonts w:ascii="Times New Roman" w:hAnsi="Times New Roman" w:cs="Times New Roman"/>
          <w:b/>
          <w:bCs/>
          <w:i/>
          <w:iCs/>
          <w:sz w:val="28"/>
          <w:szCs w:val="28"/>
        </w:rPr>
      </w:pPr>
      <w:r w:rsidRPr="00CE0B6F">
        <w:rPr>
          <w:rFonts w:ascii="Times New Roman" w:hAnsi="Times New Roman" w:cs="Times New Roman"/>
          <w:b/>
          <w:bCs/>
          <w:i/>
          <w:iCs/>
          <w:sz w:val="28"/>
          <w:szCs w:val="28"/>
        </w:rPr>
        <w:t xml:space="preserve"> CONCLUSION</w:t>
      </w:r>
    </w:p>
    <w:p w14:paraId="2339831D" w14:textId="77777777" w:rsidR="00B10FA3" w:rsidRPr="00171246" w:rsidRDefault="00B10FA3" w:rsidP="00171246">
      <w:pPr>
        <w:rPr>
          <w:b/>
          <w:bCs/>
          <w:sz w:val="28"/>
          <w:szCs w:val="28"/>
        </w:rPr>
      </w:pPr>
    </w:p>
    <w:p w14:paraId="7067C5B3" w14:textId="77777777" w:rsidR="00B10FA3" w:rsidRPr="005216F1" w:rsidRDefault="00B10FA3" w:rsidP="005216F1">
      <w:pPr>
        <w:rPr>
          <w:b/>
          <w:bCs/>
          <w:sz w:val="28"/>
          <w:szCs w:val="28"/>
        </w:rPr>
      </w:pPr>
    </w:p>
    <w:p w14:paraId="0BD5249E" w14:textId="77777777" w:rsidR="00845775" w:rsidRDefault="00845775"/>
    <w:p w14:paraId="0C4A399F" w14:textId="77777777" w:rsidR="00B10FA3" w:rsidRDefault="00B10FA3"/>
    <w:p w14:paraId="5DB516D6" w14:textId="77777777" w:rsidR="00B10FA3" w:rsidRDefault="00B10FA3"/>
    <w:p w14:paraId="58B0B207" w14:textId="77777777" w:rsidR="00B10FA3" w:rsidRDefault="00B10FA3"/>
    <w:p w14:paraId="6277BC86" w14:textId="77777777" w:rsidR="00B10FA3" w:rsidRDefault="00B10FA3"/>
    <w:p w14:paraId="55255BDF" w14:textId="77777777" w:rsidR="00B10FA3" w:rsidRDefault="00B10FA3"/>
    <w:p w14:paraId="3026DADF" w14:textId="77777777" w:rsidR="00B10FA3" w:rsidRDefault="00B10FA3"/>
    <w:p w14:paraId="455EE069" w14:textId="77777777" w:rsidR="003A4C68" w:rsidRDefault="006C076B">
      <w:r>
        <w:tab/>
      </w:r>
      <w:r>
        <w:tab/>
      </w:r>
      <w:r>
        <w:tab/>
      </w:r>
      <w:r>
        <w:tab/>
      </w:r>
    </w:p>
    <w:p w14:paraId="7C287F22" w14:textId="5DE57516" w:rsidR="00B10FA3" w:rsidRPr="00CE0B6F" w:rsidRDefault="003A4C68">
      <w:pPr>
        <w:rPr>
          <w:rFonts w:ascii="Times New Roman" w:hAnsi="Times New Roman" w:cs="Times New Roman"/>
          <w:b/>
          <w:bCs/>
          <w:i/>
          <w:iCs/>
          <w:sz w:val="28"/>
          <w:szCs w:val="28"/>
        </w:rPr>
      </w:pPr>
      <w:r>
        <w:tab/>
      </w:r>
      <w:r>
        <w:tab/>
      </w:r>
      <w:r>
        <w:tab/>
      </w:r>
      <w:r>
        <w:tab/>
        <w:t xml:space="preserve">   </w:t>
      </w:r>
      <w:r w:rsidR="006C076B">
        <w:tab/>
      </w:r>
      <w:r w:rsidR="00853F63" w:rsidRPr="00CE0B6F">
        <w:rPr>
          <w:rFonts w:ascii="Times New Roman" w:hAnsi="Times New Roman" w:cs="Times New Roman"/>
          <w:i/>
          <w:iCs/>
        </w:rPr>
        <w:t xml:space="preserve">     </w:t>
      </w:r>
      <w:r w:rsidR="00853F63" w:rsidRPr="00CE0B6F">
        <w:rPr>
          <w:rFonts w:ascii="Times New Roman" w:hAnsi="Times New Roman" w:cs="Times New Roman"/>
          <w:b/>
          <w:bCs/>
          <w:i/>
          <w:iCs/>
          <w:sz w:val="28"/>
          <w:szCs w:val="28"/>
        </w:rPr>
        <w:t>Prologue</w:t>
      </w:r>
    </w:p>
    <w:p w14:paraId="71314A4E" w14:textId="7142559F" w:rsidR="00B10FA3" w:rsidRDefault="00B10FA3">
      <w:pPr>
        <w:rPr>
          <w:rFonts w:ascii="Times New Roman" w:hAnsi="Times New Roman" w:cs="Times New Roman"/>
          <w:sz w:val="28"/>
          <w:szCs w:val="28"/>
        </w:rPr>
      </w:pPr>
      <w:r>
        <w:rPr>
          <w:rFonts w:ascii="Times New Roman" w:hAnsi="Times New Roman" w:cs="Times New Roman"/>
        </w:rPr>
        <w:t xml:space="preserve">     </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sidRPr="006D1DEA">
        <w:rPr>
          <w:rFonts w:ascii="Times New Roman" w:hAnsi="Times New Roman" w:cs="Times New Roman"/>
          <w:sz w:val="28"/>
          <w:szCs w:val="28"/>
        </w:rPr>
        <w:t xml:space="preserve"> </w:t>
      </w:r>
    </w:p>
    <w:p w14:paraId="0AFC825B" w14:textId="2E597D46" w:rsidR="00B10FA3" w:rsidRPr="006D1DEA" w:rsidRDefault="00CE0B6F" w:rsidP="00CE0B6F">
      <w:pPr>
        <w:rPr>
          <w:rFonts w:ascii="Times New Roman" w:hAnsi="Times New Roman" w:cs="Times New Roman"/>
          <w:b/>
          <w:bCs/>
          <w:i/>
          <w:iCs/>
          <w:sz w:val="28"/>
          <w:szCs w:val="28"/>
        </w:rPr>
      </w:pPr>
      <w:r>
        <w:rPr>
          <w:rFonts w:ascii="Times New Roman" w:hAnsi="Times New Roman" w:cs="Times New Roman"/>
          <w:b/>
          <w:bCs/>
          <w:i/>
          <w:iCs/>
          <w:sz w:val="28"/>
          <w:szCs w:val="28"/>
        </w:rPr>
        <w:t xml:space="preserve">                                </w:t>
      </w:r>
      <w:r w:rsidR="00B10FA3" w:rsidRPr="006D1DEA">
        <w:rPr>
          <w:rFonts w:ascii="Times New Roman" w:hAnsi="Times New Roman" w:cs="Times New Roman"/>
          <w:b/>
          <w:bCs/>
          <w:i/>
          <w:iCs/>
          <w:sz w:val="28"/>
          <w:szCs w:val="28"/>
        </w:rPr>
        <w:t>Science Confronts a 17</w:t>
      </w:r>
      <w:r w:rsidR="00B10FA3" w:rsidRPr="006D1DEA">
        <w:rPr>
          <w:rFonts w:ascii="Times New Roman" w:hAnsi="Times New Roman" w:cs="Times New Roman"/>
          <w:b/>
          <w:bCs/>
          <w:i/>
          <w:iCs/>
          <w:sz w:val="28"/>
          <w:szCs w:val="28"/>
          <w:vertAlign w:val="superscript"/>
        </w:rPr>
        <w:t>th</w:t>
      </w:r>
      <w:r w:rsidR="00B10FA3" w:rsidRPr="006D1DEA">
        <w:rPr>
          <w:rFonts w:ascii="Times New Roman" w:hAnsi="Times New Roman" w:cs="Times New Roman"/>
          <w:b/>
          <w:bCs/>
          <w:i/>
          <w:iCs/>
          <w:sz w:val="28"/>
          <w:szCs w:val="28"/>
        </w:rPr>
        <w:t xml:space="preserve"> Century Pest</w:t>
      </w:r>
    </w:p>
    <w:p w14:paraId="1E6492A4" w14:textId="77777777" w:rsidR="00CE0B6F" w:rsidRDefault="00B10FA3">
      <w:pPr>
        <w:rPr>
          <w:rFonts w:ascii="Times New Roman" w:hAnsi="Times New Roman" w:cs="Times New Roman"/>
          <w:b/>
          <w:bCs/>
          <w:i/>
          <w:iCs/>
        </w:rPr>
      </w:pPr>
      <w:r>
        <w:rPr>
          <w:rFonts w:ascii="Times New Roman" w:hAnsi="Times New Roman" w:cs="Times New Roman"/>
          <w:b/>
          <w:bCs/>
          <w:i/>
          <w:iCs/>
        </w:rPr>
        <w:tab/>
      </w:r>
      <w:r>
        <w:rPr>
          <w:rFonts w:ascii="Times New Roman" w:hAnsi="Times New Roman" w:cs="Times New Roman"/>
          <w:b/>
          <w:bCs/>
          <w:i/>
          <w:iCs/>
        </w:rPr>
        <w:tab/>
      </w:r>
      <w:r>
        <w:rPr>
          <w:rFonts w:ascii="Times New Roman" w:hAnsi="Times New Roman" w:cs="Times New Roman"/>
          <w:b/>
          <w:bCs/>
          <w:i/>
          <w:iCs/>
        </w:rPr>
        <w:tab/>
      </w:r>
    </w:p>
    <w:p w14:paraId="1421A5D1" w14:textId="46DD0C04" w:rsidR="00B10FA3" w:rsidRPr="00CE0B6F" w:rsidRDefault="00CE0B6F">
      <w:pPr>
        <w:rPr>
          <w:rFonts w:ascii="Times New Roman" w:hAnsi="Times New Roman" w:cs="Times New Roman"/>
          <w:b/>
          <w:bCs/>
          <w:sz w:val="32"/>
          <w:szCs w:val="32"/>
        </w:rPr>
      </w:pPr>
      <w:r>
        <w:rPr>
          <w:rFonts w:ascii="Times New Roman" w:hAnsi="Times New Roman" w:cs="Times New Roman"/>
          <w:b/>
          <w:bCs/>
          <w:i/>
          <w:iCs/>
        </w:rPr>
        <w:t xml:space="preserve">                                    </w:t>
      </w:r>
      <w:r w:rsidR="00B10FA3">
        <w:rPr>
          <w:rFonts w:ascii="Times New Roman" w:hAnsi="Times New Roman" w:cs="Times New Roman"/>
          <w:b/>
          <w:bCs/>
          <w:i/>
          <w:iCs/>
        </w:rPr>
        <w:tab/>
      </w:r>
      <w:r w:rsidR="00B10FA3">
        <w:rPr>
          <w:rFonts w:ascii="Times New Roman" w:hAnsi="Times New Roman" w:cs="Times New Roman"/>
          <w:b/>
          <w:bCs/>
          <w:i/>
          <w:iCs/>
        </w:rPr>
        <w:tab/>
      </w:r>
      <w:r w:rsidR="00B10FA3" w:rsidRPr="00CE0B6F">
        <w:rPr>
          <w:rFonts w:ascii="Times New Roman" w:hAnsi="Times New Roman" w:cs="Times New Roman"/>
          <w:b/>
          <w:bCs/>
          <w:sz w:val="32"/>
          <w:szCs w:val="32"/>
        </w:rPr>
        <w:t>Monte Lupo</w:t>
      </w:r>
    </w:p>
    <w:p w14:paraId="69E304B6" w14:textId="77777777" w:rsidR="00B10FA3" w:rsidRDefault="00B10FA3">
      <w:pPr>
        <w:rPr>
          <w:rFonts w:ascii="Times New Roman" w:hAnsi="Times New Roman" w:cs="Times New Roman"/>
        </w:rPr>
      </w:pPr>
    </w:p>
    <w:p w14:paraId="4538A663" w14:textId="77777777" w:rsidR="00B10FA3" w:rsidRDefault="00B10FA3" w:rsidP="00CE0B6F">
      <w:pPr>
        <w:spacing w:line="480" w:lineRule="auto"/>
        <w:rPr>
          <w:rFonts w:ascii="Times New Roman" w:hAnsi="Times New Roman" w:cs="Times New Roman"/>
        </w:rPr>
      </w:pPr>
    </w:p>
    <w:p w14:paraId="29540FDD" w14:textId="77777777" w:rsidR="00B10FA3" w:rsidRDefault="00B10FA3" w:rsidP="00CE0B6F">
      <w:pPr>
        <w:spacing w:line="480" w:lineRule="auto"/>
        <w:rPr>
          <w:rFonts w:ascii="Times New Roman" w:hAnsi="Times New Roman" w:cs="Times New Roman"/>
        </w:rPr>
      </w:pPr>
      <w:r>
        <w:rPr>
          <w:rFonts w:ascii="Times New Roman" w:hAnsi="Times New Roman" w:cs="Times New Roman"/>
        </w:rPr>
        <w:t xml:space="preserve">     In August of 1630, the Tuscan village of St. Lupo, Italy, fell victim to a virulent outbreak of plague. The village was an impoverished backwater of Florence, during a time when the population wrestled with discerning newly discovered scientific explanations for phenomena from traditional, divine interpretations. Many clergy opposed the efforts of the regional health ministry to intervene in the crisis, preferring to maintain their local (spiritual) authority. Their support was critical, however, because the campaign for the “common good” waged by health officials could not succeed without clerical support in the villages and countryside.</w:t>
      </w:r>
      <w:r>
        <w:rPr>
          <w:rStyle w:val="FootnoteReference"/>
          <w:rFonts w:ascii="Times New Roman" w:hAnsi="Times New Roman" w:cs="Times New Roman"/>
        </w:rPr>
        <w:footnoteReference w:id="1"/>
      </w:r>
      <w:r>
        <w:rPr>
          <w:rFonts w:ascii="Times New Roman" w:hAnsi="Times New Roman" w:cs="Times New Roman"/>
        </w:rPr>
        <w:t xml:space="preserve"> </w:t>
      </w:r>
    </w:p>
    <w:p w14:paraId="18F15A58" w14:textId="14A914A5" w:rsidR="00B10FA3" w:rsidRDefault="00B10FA3" w:rsidP="00CE0B6F">
      <w:pPr>
        <w:spacing w:line="480" w:lineRule="auto"/>
        <w:rPr>
          <w:rFonts w:ascii="Times New Roman" w:hAnsi="Times New Roman" w:cs="Times New Roman"/>
        </w:rPr>
      </w:pPr>
      <w:r>
        <w:rPr>
          <w:rFonts w:ascii="Times New Roman" w:hAnsi="Times New Roman" w:cs="Times New Roman"/>
        </w:rPr>
        <w:t xml:space="preserve">     Health ministers were often unpopular, for their suggestions and policies included quarantines, the closing of schools and the curtailing of parties, weddings, funerals and other social events, in the interest of curbing the spread of plague. A chorus of reli</w:t>
      </w:r>
      <w:r w:rsidR="00E402DE">
        <w:rPr>
          <w:rFonts w:ascii="Times New Roman" w:hAnsi="Times New Roman" w:cs="Times New Roman"/>
        </w:rPr>
        <w:t>gi</w:t>
      </w:r>
      <w:r>
        <w:rPr>
          <w:rFonts w:ascii="Times New Roman" w:hAnsi="Times New Roman" w:cs="Times New Roman"/>
        </w:rPr>
        <w:t>on</w:t>
      </w:r>
      <w:r w:rsidR="00BD2C0B">
        <w:rPr>
          <w:rFonts w:ascii="Times New Roman" w:hAnsi="Times New Roman" w:cs="Times New Roman"/>
        </w:rPr>
        <w:t>-</w:t>
      </w:r>
      <w:r>
        <w:rPr>
          <w:rFonts w:ascii="Times New Roman" w:hAnsi="Times New Roman" w:cs="Times New Roman"/>
        </w:rPr>
        <w:t xml:space="preserve">based justifications for inaction grew, namely that human effort and health care could not (and </w:t>
      </w:r>
      <w:r>
        <w:rPr>
          <w:rFonts w:ascii="Times New Roman" w:hAnsi="Times New Roman" w:cs="Times New Roman"/>
        </w:rPr>
        <w:lastRenderedPageBreak/>
        <w:t>perhaps should not) rectify the situation, and that only the intervention of the Almighty could offer hope against the Pest.</w:t>
      </w:r>
    </w:p>
    <w:p w14:paraId="7E239943" w14:textId="77777777" w:rsidR="00B10FA3" w:rsidRDefault="00B10FA3" w:rsidP="00CE0B6F">
      <w:pPr>
        <w:spacing w:line="480" w:lineRule="auto"/>
        <w:rPr>
          <w:rFonts w:ascii="Times New Roman" w:hAnsi="Times New Roman" w:cs="Times New Roman"/>
        </w:rPr>
      </w:pPr>
      <w:r>
        <w:rPr>
          <w:rFonts w:ascii="Times New Roman" w:hAnsi="Times New Roman" w:cs="Times New Roman"/>
        </w:rPr>
        <w:t xml:space="preserve">     In fact, both appeals to divine and medical intervention were fatally flawed during the outbreak. Attribution of sickness to God’s will was flawed for its lack of evidence, but medical advice, too, was lacking in its understanding of the transmissibility of the Plague. (For example, the contagion was blamed on dogs and cats, while, in fact, rats were the principal spreader.)</w:t>
      </w:r>
    </w:p>
    <w:p w14:paraId="36BBA17E" w14:textId="77777777" w:rsidR="00B10FA3" w:rsidRDefault="00B10FA3" w:rsidP="00CE0B6F">
      <w:pPr>
        <w:spacing w:line="480" w:lineRule="auto"/>
        <w:rPr>
          <w:rFonts w:ascii="Times New Roman" w:hAnsi="Times New Roman" w:cs="Times New Roman"/>
        </w:rPr>
      </w:pPr>
      <w:r>
        <w:rPr>
          <w:rFonts w:ascii="Times New Roman" w:hAnsi="Times New Roman" w:cs="Times New Roman"/>
        </w:rPr>
        <w:t xml:space="preserve">    Health ordinances were passed, binding on all residents of Mt. Lupo. These decrees were widely ignored and circumvented as ineffective and illusory. Doctors were frequently attacked, and some killed, principally by lower class mobs. Health passes required for entry to public facilities were often forged, and merchants vociferously opposed limiting the numbers of shoppers in their markets. In general cities were more compliant than rural areas in enforcing quarantine rules.</w:t>
      </w:r>
      <w:r>
        <w:rPr>
          <w:rStyle w:val="FootnoteReference"/>
          <w:rFonts w:ascii="Times New Roman" w:hAnsi="Times New Roman" w:cs="Times New Roman"/>
        </w:rPr>
        <w:footnoteReference w:id="2"/>
      </w:r>
      <w:r>
        <w:rPr>
          <w:rFonts w:ascii="Times New Roman" w:hAnsi="Times New Roman" w:cs="Times New Roman"/>
        </w:rPr>
        <w:t xml:space="preserve"> </w:t>
      </w:r>
    </w:p>
    <w:p w14:paraId="572F25E1" w14:textId="40E8499E" w:rsidR="00B10FA3" w:rsidRDefault="00B10FA3" w:rsidP="00CE0B6F">
      <w:pPr>
        <w:spacing w:line="480" w:lineRule="auto"/>
        <w:rPr>
          <w:rFonts w:ascii="Times New Roman" w:hAnsi="Times New Roman" w:cs="Times New Roman"/>
        </w:rPr>
      </w:pPr>
      <w:r>
        <w:rPr>
          <w:rFonts w:ascii="Times New Roman" w:hAnsi="Times New Roman" w:cs="Times New Roman"/>
        </w:rPr>
        <w:t xml:space="preserve">      In addition to restrictive measures, taxes were raised on residents to cover the cost of bread, to fund the local pest house, and to provide for burial of victims. In the face of widespread opposition to many of these measures, force was applied to ensure obedience. A local priest, Fr. </w:t>
      </w:r>
      <w:proofErr w:type="spellStart"/>
      <w:r>
        <w:rPr>
          <w:rFonts w:ascii="Times New Roman" w:hAnsi="Times New Roman" w:cs="Times New Roman"/>
        </w:rPr>
        <w:t>Dragoni</w:t>
      </w:r>
      <w:proofErr w:type="spellEnd"/>
      <w:r>
        <w:rPr>
          <w:rFonts w:ascii="Times New Roman" w:hAnsi="Times New Roman" w:cs="Times New Roman"/>
        </w:rPr>
        <w:t>, felt a personal obligation to work with local and Florentine authorities to mitigate the effects of plague, and he was attacked relentlessly for “</w:t>
      </w:r>
      <w:r w:rsidRPr="00147BDC">
        <w:rPr>
          <w:rFonts w:ascii="Times New Roman" w:hAnsi="Times New Roman" w:cs="Times New Roman"/>
          <w:i/>
          <w:iCs/>
        </w:rPr>
        <w:t>inhibiting free passage</w:t>
      </w:r>
      <w:r>
        <w:rPr>
          <w:rFonts w:ascii="Times New Roman" w:hAnsi="Times New Roman" w:cs="Times New Roman"/>
        </w:rPr>
        <w:t>” of locals.</w:t>
      </w:r>
      <w:r>
        <w:rPr>
          <w:rStyle w:val="FootnoteReference"/>
          <w:rFonts w:ascii="Times New Roman" w:hAnsi="Times New Roman" w:cs="Times New Roman"/>
        </w:rPr>
        <w:footnoteReference w:id="3"/>
      </w:r>
    </w:p>
    <w:p w14:paraId="46CD110A" w14:textId="77777777" w:rsidR="00B10FA3" w:rsidRDefault="00B10FA3" w:rsidP="00CE0B6F">
      <w:pPr>
        <w:spacing w:line="480" w:lineRule="auto"/>
        <w:rPr>
          <w:rFonts w:ascii="Times New Roman" w:hAnsi="Times New Roman" w:cs="Times New Roman"/>
        </w:rPr>
      </w:pPr>
      <w:r>
        <w:rPr>
          <w:rFonts w:ascii="Times New Roman" w:hAnsi="Times New Roman" w:cs="Times New Roman"/>
        </w:rPr>
        <w:t xml:space="preserve">     By 1631, a second wave of the plague had entered Mt. Lupo, and threats to local authorities, including the mayor, increased. Crime rose as well, particularly burglaries. As the infection spread, an illegal procession was planned by many villagers. The group gathered </w:t>
      </w:r>
      <w:r>
        <w:rPr>
          <w:rFonts w:ascii="Times New Roman" w:hAnsi="Times New Roman" w:cs="Times New Roman"/>
        </w:rPr>
        <w:lastRenderedPageBreak/>
        <w:t xml:space="preserve">with a large crucifix that they wished to march outside of the village barricades, that had been set up to prevent transit. Fr. </w:t>
      </w:r>
      <w:proofErr w:type="spellStart"/>
      <w:r>
        <w:rPr>
          <w:rFonts w:ascii="Times New Roman" w:hAnsi="Times New Roman" w:cs="Times New Roman"/>
        </w:rPr>
        <w:t>Dragoni</w:t>
      </w:r>
      <w:proofErr w:type="spellEnd"/>
      <w:r>
        <w:rPr>
          <w:rFonts w:ascii="Times New Roman" w:hAnsi="Times New Roman" w:cs="Times New Roman"/>
        </w:rPr>
        <w:t xml:space="preserve"> appealed to villagers and authorities alike to avoid exposure, but the barricades were breached nonetheless. </w:t>
      </w:r>
      <w:r w:rsidRPr="00147BDC">
        <w:rPr>
          <w:rFonts w:ascii="Times New Roman" w:hAnsi="Times New Roman" w:cs="Times New Roman"/>
          <w:i/>
          <w:iCs/>
        </w:rPr>
        <w:t>In the aftermath, a huge spike in illness occurred</w:t>
      </w:r>
      <w:r>
        <w:rPr>
          <w:rFonts w:ascii="Times New Roman" w:hAnsi="Times New Roman" w:cs="Times New Roman"/>
        </w:rPr>
        <w:t>, as villagers did not understand the relationship between gatherings, plague incubation, and transmission.</w:t>
      </w:r>
      <w:r>
        <w:rPr>
          <w:rStyle w:val="FootnoteReference"/>
          <w:rFonts w:ascii="Times New Roman" w:hAnsi="Times New Roman" w:cs="Times New Roman"/>
        </w:rPr>
        <w:footnoteReference w:id="4"/>
      </w:r>
    </w:p>
    <w:p w14:paraId="4413807A" w14:textId="77777777" w:rsidR="00B10FA3" w:rsidRDefault="00B10FA3" w:rsidP="00CE0B6F">
      <w:pPr>
        <w:spacing w:line="480" w:lineRule="auto"/>
        <w:rPr>
          <w:rFonts w:ascii="Times New Roman" w:hAnsi="Times New Roman" w:cs="Times New Roman"/>
        </w:rPr>
      </w:pPr>
      <w:r>
        <w:rPr>
          <w:rFonts w:ascii="Times New Roman" w:hAnsi="Times New Roman" w:cs="Times New Roman"/>
        </w:rPr>
        <w:t xml:space="preserve">      It doesn’t take a great leap of imagination to recognize that, if today, we were to replace the name of Fr. </w:t>
      </w:r>
      <w:proofErr w:type="spellStart"/>
      <w:r>
        <w:rPr>
          <w:rFonts w:ascii="Times New Roman" w:hAnsi="Times New Roman" w:cs="Times New Roman"/>
        </w:rPr>
        <w:t>Dragoni</w:t>
      </w:r>
      <w:proofErr w:type="spellEnd"/>
      <w:r>
        <w:rPr>
          <w:rFonts w:ascii="Times New Roman" w:hAnsi="Times New Roman" w:cs="Times New Roman"/>
        </w:rPr>
        <w:t xml:space="preserve"> with that of Dr. Anthony Fauci, the health ministry with the CDC, and local officials and business owners with their modern-day local functionaries, we would notice a very similar and unfortunate trend in the development of the Covid pandemic in the US. Similarities abound. </w:t>
      </w:r>
    </w:p>
    <w:p w14:paraId="3B34ABFA" w14:textId="7F485D74" w:rsidR="00B10FA3" w:rsidRDefault="00B10FA3" w:rsidP="00CE0B6F">
      <w:pPr>
        <w:spacing w:line="480" w:lineRule="auto"/>
        <w:rPr>
          <w:rFonts w:ascii="Times New Roman" w:hAnsi="Times New Roman" w:cs="Times New Roman"/>
        </w:rPr>
      </w:pPr>
      <w:r>
        <w:rPr>
          <w:rFonts w:ascii="Times New Roman" w:hAnsi="Times New Roman" w:cs="Times New Roman"/>
        </w:rPr>
        <w:t xml:space="preserve">     What is particularly striking, not to mention tragic, about the American comparison is the intervening fact of nearly four centuries of scientific advancement. That American culture fell pr</w:t>
      </w:r>
      <w:r w:rsidR="00BD2C0B">
        <w:rPr>
          <w:rFonts w:ascii="Times New Roman" w:hAnsi="Times New Roman" w:cs="Times New Roman"/>
        </w:rPr>
        <w:t>e</w:t>
      </w:r>
      <w:r>
        <w:rPr>
          <w:rFonts w:ascii="Times New Roman" w:hAnsi="Times New Roman" w:cs="Times New Roman"/>
        </w:rPr>
        <w:t xml:space="preserve">y to the same widespread ignorance, superstition and indifference that befell Mt. Lupo in 1630-31 calls forth a need for explanation – one that goes far beyond the immediate medical issue at hand. It requires a careful re-examination of the commonality of culture, the public sphere, perhaps even local, regional or national identity as an entity experiencing widespread change, decline, anger and perceived threat. </w:t>
      </w:r>
    </w:p>
    <w:p w14:paraId="6EB65F9F" w14:textId="77777777" w:rsidR="00B10FA3" w:rsidRPr="004F4904" w:rsidRDefault="00B10FA3" w:rsidP="00CE0B6F">
      <w:pPr>
        <w:spacing w:line="480" w:lineRule="auto"/>
        <w:rPr>
          <w:rFonts w:ascii="Times New Roman" w:hAnsi="Times New Roman" w:cs="Times New Roman"/>
        </w:rPr>
      </w:pPr>
      <w:r>
        <w:rPr>
          <w:rFonts w:ascii="Times New Roman" w:hAnsi="Times New Roman" w:cs="Times New Roman"/>
        </w:rPr>
        <w:t xml:space="preserve">     My hope is that this retrospective about recent trends in American history and culture will shed some light on the origins of discontent, and the more immediate causes – or at least provocations for the insecurity, uncertainty and violent and tribal, cultish radicalism that plagues the US today.</w:t>
      </w:r>
    </w:p>
    <w:p w14:paraId="4024872B" w14:textId="77777777" w:rsidR="00B10FA3" w:rsidRDefault="00B10FA3" w:rsidP="00CE0B6F">
      <w:pPr>
        <w:spacing w:line="480" w:lineRule="auto"/>
      </w:pPr>
    </w:p>
    <w:p w14:paraId="69CFB91F" w14:textId="77777777" w:rsidR="00B10FA3" w:rsidRDefault="00B10FA3" w:rsidP="00CE0B6F">
      <w:pPr>
        <w:spacing w:line="480" w:lineRule="auto"/>
      </w:pPr>
    </w:p>
    <w:p w14:paraId="05933A54" w14:textId="77777777" w:rsidR="00B10FA3" w:rsidRDefault="00B10FA3" w:rsidP="00CE0B6F">
      <w:pPr>
        <w:spacing w:line="480" w:lineRule="auto"/>
      </w:pPr>
    </w:p>
    <w:p w14:paraId="0B2E3C2A" w14:textId="77777777" w:rsidR="00CE0B6F" w:rsidRDefault="00CE0B6F" w:rsidP="00A968A9">
      <w:pPr>
        <w:spacing w:before="120" w:line="480" w:lineRule="auto"/>
        <w:ind w:left="3600" w:right="567"/>
        <w:rPr>
          <w:rFonts w:ascii="Times New Roman" w:hAnsi="Times New Roman" w:cs="Times New Roman"/>
          <w:b/>
          <w:bCs/>
          <w:i/>
          <w:iCs/>
          <w:sz w:val="28"/>
          <w:szCs w:val="28"/>
        </w:rPr>
      </w:pPr>
    </w:p>
    <w:p w14:paraId="025D5AA2" w14:textId="74B2D1F9" w:rsidR="00B10FA3" w:rsidRDefault="00B10FA3" w:rsidP="00A968A9">
      <w:pPr>
        <w:spacing w:before="120" w:line="480" w:lineRule="auto"/>
        <w:ind w:left="3600" w:right="567"/>
        <w:rPr>
          <w:rFonts w:ascii="Times New Roman" w:hAnsi="Times New Roman" w:cs="Times New Roman"/>
          <w:b/>
          <w:bCs/>
          <w:i/>
          <w:iCs/>
          <w:sz w:val="28"/>
          <w:szCs w:val="28"/>
        </w:rPr>
      </w:pPr>
      <w:r>
        <w:rPr>
          <w:rFonts w:ascii="Times New Roman" w:hAnsi="Times New Roman" w:cs="Times New Roman"/>
          <w:b/>
          <w:bCs/>
          <w:i/>
          <w:iCs/>
          <w:sz w:val="28"/>
          <w:szCs w:val="28"/>
        </w:rPr>
        <w:t>Introduction</w:t>
      </w:r>
    </w:p>
    <w:p w14:paraId="526AAC40" w14:textId="77777777" w:rsidR="00B10FA3" w:rsidRPr="00FB562F" w:rsidRDefault="00B10FA3" w:rsidP="00A968A9">
      <w:pPr>
        <w:spacing w:before="120" w:line="480" w:lineRule="auto"/>
        <w:ind w:left="3600" w:right="567"/>
        <w:rPr>
          <w:rFonts w:ascii="Times New Roman" w:hAnsi="Times New Roman" w:cs="Times New Roman"/>
        </w:rPr>
      </w:pPr>
      <w:r w:rsidRPr="00FB562F">
        <w:rPr>
          <w:rFonts w:ascii="Times New Roman" w:hAnsi="Times New Roman" w:cs="Times New Roman"/>
        </w:rPr>
        <w:t xml:space="preserve">     </w:t>
      </w:r>
    </w:p>
    <w:p w14:paraId="615F0451" w14:textId="77777777" w:rsidR="00B10FA3" w:rsidRPr="00FB562F" w:rsidRDefault="00B10FA3" w:rsidP="00F70369">
      <w:pPr>
        <w:spacing w:before="120" w:line="480" w:lineRule="auto"/>
        <w:ind w:left="567" w:right="567"/>
        <w:rPr>
          <w:rFonts w:ascii="Times New Roman" w:hAnsi="Times New Roman" w:cs="Times New Roman"/>
        </w:rPr>
      </w:pPr>
      <w:r w:rsidRPr="00FB562F">
        <w:rPr>
          <w:rFonts w:ascii="Times New Roman" w:hAnsi="Times New Roman" w:cs="Times New Roman"/>
        </w:rPr>
        <w:t xml:space="preserve">     There is a sense that, today, not all is well in the United States. From conspiracy theories about ‘disputed’ election</w:t>
      </w:r>
      <w:r>
        <w:rPr>
          <w:rFonts w:ascii="Times New Roman" w:hAnsi="Times New Roman" w:cs="Times New Roman"/>
        </w:rPr>
        <w:t>s</w:t>
      </w:r>
      <w:r w:rsidRPr="00FB562F">
        <w:rPr>
          <w:rFonts w:ascii="Times New Roman" w:hAnsi="Times New Roman" w:cs="Times New Roman"/>
        </w:rPr>
        <w:t xml:space="preserve"> to a </w:t>
      </w:r>
      <w:r>
        <w:rPr>
          <w:rFonts w:ascii="Times New Roman" w:hAnsi="Times New Roman" w:cs="Times New Roman"/>
        </w:rPr>
        <w:t xml:space="preserve">2020 </w:t>
      </w:r>
      <w:r w:rsidRPr="00FB562F">
        <w:rPr>
          <w:rFonts w:ascii="Times New Roman" w:hAnsi="Times New Roman" w:cs="Times New Roman"/>
        </w:rPr>
        <w:t xml:space="preserve">violent insurrection at the US Capitol, to continued wild and irresponsible claims and threats against members of Congress and state governments – all in the shadow of a </w:t>
      </w:r>
      <w:r>
        <w:rPr>
          <w:rFonts w:ascii="Times New Roman" w:hAnsi="Times New Roman" w:cs="Times New Roman"/>
        </w:rPr>
        <w:t xml:space="preserve">needlessly </w:t>
      </w:r>
      <w:r w:rsidRPr="00FB562F">
        <w:rPr>
          <w:rFonts w:ascii="Times New Roman" w:hAnsi="Times New Roman" w:cs="Times New Roman"/>
        </w:rPr>
        <w:t>controversial Covid pandemic</w:t>
      </w:r>
      <w:r>
        <w:rPr>
          <w:rFonts w:ascii="Times New Roman" w:hAnsi="Times New Roman" w:cs="Times New Roman"/>
        </w:rPr>
        <w:t>,</w:t>
      </w:r>
      <w:r w:rsidRPr="00FB562F">
        <w:rPr>
          <w:rFonts w:ascii="Times New Roman" w:hAnsi="Times New Roman" w:cs="Times New Roman"/>
        </w:rPr>
        <w:t xml:space="preserve"> </w:t>
      </w:r>
      <w:r>
        <w:rPr>
          <w:rFonts w:ascii="Times New Roman" w:hAnsi="Times New Roman" w:cs="Times New Roman"/>
        </w:rPr>
        <w:t xml:space="preserve">not to mention the 2024 re-election of a convicted felon and sex offender as President, </w:t>
      </w:r>
      <w:r w:rsidRPr="00FB562F">
        <w:rPr>
          <w:rFonts w:ascii="Times New Roman" w:hAnsi="Times New Roman" w:cs="Times New Roman"/>
        </w:rPr>
        <w:t xml:space="preserve">one could be forgiven for feeling a tad uneasy and pessimistic about the future. </w:t>
      </w:r>
    </w:p>
    <w:p w14:paraId="15358BF1" w14:textId="77777777" w:rsidR="00B10FA3" w:rsidRDefault="00B10FA3" w:rsidP="00F70369">
      <w:pPr>
        <w:spacing w:before="120" w:line="480" w:lineRule="auto"/>
        <w:ind w:left="567" w:right="567"/>
        <w:rPr>
          <w:rFonts w:ascii="Times New Roman" w:hAnsi="Times New Roman" w:cs="Times New Roman"/>
        </w:rPr>
      </w:pPr>
      <w:r w:rsidRPr="00FB562F">
        <w:rPr>
          <w:rFonts w:ascii="Times New Roman" w:hAnsi="Times New Roman" w:cs="Times New Roman"/>
        </w:rPr>
        <w:t xml:space="preserve">     How did we get here? Is this just a low ebb in a normal cycle of cultural change, or have we actually entered into a final, inevitable decline from which we cannot recover? Who are we</w:t>
      </w:r>
      <w:r>
        <w:rPr>
          <w:rFonts w:ascii="Times New Roman" w:hAnsi="Times New Roman" w:cs="Times New Roman"/>
        </w:rPr>
        <w:t>,</w:t>
      </w:r>
      <w:r w:rsidRPr="00FB562F">
        <w:rPr>
          <w:rFonts w:ascii="Times New Roman" w:hAnsi="Times New Roman" w:cs="Times New Roman"/>
        </w:rPr>
        <w:t xml:space="preserve"> and what is </w:t>
      </w:r>
      <w:r>
        <w:rPr>
          <w:rFonts w:ascii="Times New Roman" w:hAnsi="Times New Roman" w:cs="Times New Roman"/>
        </w:rPr>
        <w:t xml:space="preserve">America - and </w:t>
      </w:r>
      <w:r w:rsidRPr="00FB562F">
        <w:rPr>
          <w:rFonts w:ascii="Times New Roman" w:hAnsi="Times New Roman" w:cs="Times New Roman"/>
        </w:rPr>
        <w:t>an American in 202</w:t>
      </w:r>
      <w:r>
        <w:rPr>
          <w:rFonts w:ascii="Times New Roman" w:hAnsi="Times New Roman" w:cs="Times New Roman"/>
        </w:rPr>
        <w:t>2 – in 2024 – or 2026</w:t>
      </w:r>
      <w:r w:rsidRPr="00FB562F">
        <w:rPr>
          <w:rFonts w:ascii="Times New Roman" w:hAnsi="Times New Roman" w:cs="Times New Roman"/>
        </w:rPr>
        <w:t>?</w:t>
      </w:r>
    </w:p>
    <w:p w14:paraId="42466156" w14:textId="77777777" w:rsidR="00B10FA3" w:rsidRPr="00FB562F" w:rsidRDefault="00B10FA3" w:rsidP="00F70369">
      <w:pPr>
        <w:spacing w:before="120" w:line="480" w:lineRule="auto"/>
        <w:ind w:left="567" w:right="567"/>
        <w:rPr>
          <w:rFonts w:ascii="Times New Roman" w:hAnsi="Times New Roman" w:cs="Times New Roman"/>
        </w:rPr>
      </w:pPr>
      <w:r>
        <w:rPr>
          <w:rFonts w:ascii="Times New Roman" w:hAnsi="Times New Roman" w:cs="Times New Roman"/>
        </w:rPr>
        <w:t xml:space="preserve">     </w:t>
      </w:r>
      <w:r w:rsidRPr="00FB562F">
        <w:rPr>
          <w:rFonts w:ascii="Times New Roman" w:hAnsi="Times New Roman" w:cs="Times New Roman"/>
        </w:rPr>
        <w:t xml:space="preserve"> </w:t>
      </w:r>
      <w:r>
        <w:rPr>
          <w:rFonts w:ascii="Times New Roman" w:hAnsi="Times New Roman" w:cs="Times New Roman"/>
        </w:rPr>
        <w:t xml:space="preserve">Some insight may be gained </w:t>
      </w:r>
      <w:r w:rsidRPr="00FB562F">
        <w:rPr>
          <w:rFonts w:ascii="Times New Roman" w:hAnsi="Times New Roman" w:cs="Times New Roman"/>
        </w:rPr>
        <w:t xml:space="preserve">into these questions by looking a bit under the rug of </w:t>
      </w:r>
      <w:r>
        <w:rPr>
          <w:rFonts w:ascii="Times New Roman" w:hAnsi="Times New Roman" w:cs="Times New Roman"/>
        </w:rPr>
        <w:t xml:space="preserve">various trends within </w:t>
      </w:r>
      <w:r w:rsidRPr="00FB562F">
        <w:rPr>
          <w:rFonts w:ascii="Times New Roman" w:hAnsi="Times New Roman" w:cs="Times New Roman"/>
        </w:rPr>
        <w:t xml:space="preserve">American culture in recent decades. My </w:t>
      </w:r>
      <w:r>
        <w:rPr>
          <w:rFonts w:ascii="Times New Roman" w:hAnsi="Times New Roman" w:cs="Times New Roman"/>
        </w:rPr>
        <w:t>goal is, through a series of free-standing essays, t</w:t>
      </w:r>
      <w:r w:rsidRPr="00FB562F">
        <w:rPr>
          <w:rFonts w:ascii="Times New Roman" w:hAnsi="Times New Roman" w:cs="Times New Roman"/>
        </w:rPr>
        <w:t>o examine certain cultural, political and economic pressure points to flesh out</w:t>
      </w:r>
      <w:r>
        <w:rPr>
          <w:rFonts w:ascii="Times New Roman" w:hAnsi="Times New Roman" w:cs="Times New Roman"/>
        </w:rPr>
        <w:t xml:space="preserve"> a sense of what the hell is going on now in our culture.</w:t>
      </w:r>
    </w:p>
    <w:p w14:paraId="2110F058" w14:textId="77777777" w:rsidR="00B10FA3" w:rsidRDefault="00B10FA3" w:rsidP="00F70369">
      <w:pPr>
        <w:spacing w:before="120" w:line="480" w:lineRule="auto"/>
        <w:ind w:left="567" w:right="567"/>
        <w:rPr>
          <w:rFonts w:ascii="Times New Roman" w:hAnsi="Times New Roman" w:cs="Times New Roman"/>
        </w:rPr>
      </w:pPr>
      <w:r w:rsidRPr="00FB562F">
        <w:rPr>
          <w:rFonts w:ascii="Times New Roman" w:hAnsi="Times New Roman" w:cs="Times New Roman"/>
        </w:rPr>
        <w:t xml:space="preserve">     How </w:t>
      </w:r>
      <w:r>
        <w:rPr>
          <w:rFonts w:ascii="Times New Roman" w:hAnsi="Times New Roman" w:cs="Times New Roman"/>
        </w:rPr>
        <w:t>does one</w:t>
      </w:r>
      <w:r w:rsidRPr="00FB562F">
        <w:rPr>
          <w:rFonts w:ascii="Times New Roman" w:hAnsi="Times New Roman" w:cs="Times New Roman"/>
        </w:rPr>
        <w:t xml:space="preserve"> get inside such a wide</w:t>
      </w:r>
      <w:r>
        <w:rPr>
          <w:rFonts w:ascii="Times New Roman" w:hAnsi="Times New Roman" w:cs="Times New Roman"/>
        </w:rPr>
        <w:t>, wild, diverse and often politically inexplicable and</w:t>
      </w:r>
      <w:r w:rsidRPr="00FB562F">
        <w:rPr>
          <w:rFonts w:ascii="Times New Roman" w:hAnsi="Times New Roman" w:cs="Times New Roman"/>
        </w:rPr>
        <w:t xml:space="preserve"> incoherent culture? I have lived outside of the US</w:t>
      </w:r>
      <w:r>
        <w:rPr>
          <w:rFonts w:ascii="Times New Roman" w:hAnsi="Times New Roman" w:cs="Times New Roman"/>
        </w:rPr>
        <w:t xml:space="preserve"> – in Europe -</w:t>
      </w:r>
      <w:r w:rsidRPr="00FB562F">
        <w:rPr>
          <w:rFonts w:ascii="Times New Roman" w:hAnsi="Times New Roman" w:cs="Times New Roman"/>
        </w:rPr>
        <w:t xml:space="preserve"> </w:t>
      </w:r>
      <w:r w:rsidRPr="00FB562F">
        <w:rPr>
          <w:rFonts w:ascii="Times New Roman" w:hAnsi="Times New Roman" w:cs="Times New Roman"/>
        </w:rPr>
        <w:lastRenderedPageBreak/>
        <w:t>for decades. In some respects</w:t>
      </w:r>
      <w:r>
        <w:rPr>
          <w:rFonts w:ascii="Times New Roman" w:hAnsi="Times New Roman" w:cs="Times New Roman"/>
        </w:rPr>
        <w:t>,</w:t>
      </w:r>
      <w:r w:rsidRPr="00FB562F">
        <w:rPr>
          <w:rFonts w:ascii="Times New Roman" w:hAnsi="Times New Roman" w:cs="Times New Roman"/>
        </w:rPr>
        <w:t xml:space="preserve"> it is easier to observe </w:t>
      </w:r>
      <w:r>
        <w:rPr>
          <w:rFonts w:ascii="Times New Roman" w:hAnsi="Times New Roman" w:cs="Times New Roman"/>
        </w:rPr>
        <w:t xml:space="preserve">my own culture </w:t>
      </w:r>
      <w:r w:rsidRPr="00FB562F">
        <w:rPr>
          <w:rFonts w:ascii="Times New Roman" w:hAnsi="Times New Roman" w:cs="Times New Roman"/>
        </w:rPr>
        <w:t>as an outsider, but I have no illusions that I miss much that is subtle and contemporary</w:t>
      </w:r>
      <w:r>
        <w:rPr>
          <w:rFonts w:ascii="Times New Roman" w:hAnsi="Times New Roman" w:cs="Times New Roman"/>
        </w:rPr>
        <w:t xml:space="preserve"> (Example: I still don’t get that some American women call other women ‘dude’). </w:t>
      </w:r>
      <w:r w:rsidRPr="00FB562F">
        <w:rPr>
          <w:rFonts w:ascii="Times New Roman" w:hAnsi="Times New Roman" w:cs="Times New Roman"/>
        </w:rPr>
        <w:t>Instead, I have chosen to focus my attention on some larger categories that may provide a hint of how we got to where we are.</w:t>
      </w:r>
      <w:r>
        <w:rPr>
          <w:rFonts w:ascii="Times New Roman" w:hAnsi="Times New Roman" w:cs="Times New Roman"/>
        </w:rPr>
        <w:t xml:space="preserve"> These include tackling some of the hot button issues in US life, like violence, abortion and LGBTQ issues, the newfound proclivity towards lying in public life, the loss of status experienced currently by white males, and – perhaps most importantly to the aforementioned issues, the commensurate gender and identity crisis associated with status loss and conceptions of masculinity. </w:t>
      </w:r>
    </w:p>
    <w:p w14:paraId="21E11A1E" w14:textId="467F241A" w:rsidR="00B10FA3" w:rsidRDefault="00B10FA3" w:rsidP="00F70369">
      <w:pPr>
        <w:spacing w:before="120" w:line="480" w:lineRule="auto"/>
        <w:ind w:left="567" w:right="567"/>
        <w:rPr>
          <w:rFonts w:ascii="Times New Roman" w:hAnsi="Times New Roman" w:cs="Times New Roman"/>
        </w:rPr>
      </w:pPr>
      <w:r>
        <w:rPr>
          <w:rFonts w:ascii="Times New Roman" w:hAnsi="Times New Roman" w:cs="Times New Roman"/>
        </w:rPr>
        <w:t xml:space="preserve">     Further, </w:t>
      </w:r>
      <w:r w:rsidR="00C066D1">
        <w:rPr>
          <w:rFonts w:ascii="Times New Roman" w:hAnsi="Times New Roman" w:cs="Times New Roman"/>
        </w:rPr>
        <w:t xml:space="preserve">given the vast economic inequalities in the US at present, </w:t>
      </w:r>
      <w:r>
        <w:rPr>
          <w:rFonts w:ascii="Times New Roman" w:hAnsi="Times New Roman" w:cs="Times New Roman"/>
        </w:rPr>
        <w:t xml:space="preserve">I want also to take a stab at a sacred cow (perhaps better termed a sacred taboo) of American economic life; the redistribution of wealth. What holds these essays together is a contemporary world in which connectivity by technology has rendered people more alienated than ever; that the social fabric, perhaps better termed the </w:t>
      </w:r>
      <w:r w:rsidRPr="00B37C75">
        <w:rPr>
          <w:rFonts w:ascii="Times New Roman" w:hAnsi="Times New Roman" w:cs="Times New Roman"/>
          <w:i/>
          <w:iCs/>
        </w:rPr>
        <w:t>public sphere</w:t>
      </w:r>
      <w:r>
        <w:rPr>
          <w:rFonts w:ascii="Times New Roman" w:hAnsi="Times New Roman" w:cs="Times New Roman"/>
        </w:rPr>
        <w:t xml:space="preserve"> of America, has been frayed to the point of breakage; that over 200 years of experimentation as a democratic republic, that we may be seeing serious cracks in the edifice.  Just recently, now Vice President J.D. Vance argued that childless adults should not participate in politics. Things have gotten weird.</w:t>
      </w:r>
    </w:p>
    <w:p w14:paraId="53B3A293" w14:textId="6A11D2EF" w:rsidR="00B10FA3" w:rsidRPr="00FB562F" w:rsidRDefault="00B10FA3" w:rsidP="00F70369">
      <w:pPr>
        <w:spacing w:before="120" w:line="480" w:lineRule="auto"/>
        <w:ind w:left="567" w:right="567"/>
        <w:rPr>
          <w:rFonts w:ascii="Times New Roman" w:hAnsi="Times New Roman" w:cs="Times New Roman"/>
        </w:rPr>
      </w:pPr>
      <w:r>
        <w:rPr>
          <w:rFonts w:ascii="Times New Roman" w:hAnsi="Times New Roman" w:cs="Times New Roman"/>
        </w:rPr>
        <w:t xml:space="preserve">     All nations have myths, and those myths often help to guide the ethos of people, and to express the core meaning of their identity, their better angels. But myths, used in the nationalist or tribal sense, are typically wishes, even dreams, that may or may not correspond to anything concrete or even approximate in reality. American myths are of a different sort than, say, European myths, because of our relative cultural youth and lack of a unifying creed, religion, race or </w:t>
      </w:r>
      <w:r>
        <w:rPr>
          <w:rFonts w:ascii="Times New Roman" w:hAnsi="Times New Roman" w:cs="Times New Roman"/>
        </w:rPr>
        <w:lastRenderedPageBreak/>
        <w:t>ethnicity. Different, yes, but also more powerful when expressed, as the US is a leading world power. Just as the 19</w:t>
      </w:r>
      <w:r w:rsidRPr="002D5953">
        <w:rPr>
          <w:rFonts w:ascii="Times New Roman" w:hAnsi="Times New Roman" w:cs="Times New Roman"/>
          <w:vertAlign w:val="superscript"/>
        </w:rPr>
        <w:t>th</w:t>
      </w:r>
      <w:r>
        <w:rPr>
          <w:rFonts w:ascii="Times New Roman" w:hAnsi="Times New Roman" w:cs="Times New Roman"/>
        </w:rPr>
        <w:t xml:space="preserve"> century imperial French proffered as propaganda the myth of the “civilizing mission” to its horribly repressed colonies, so too a long held US myth claims a shining beacon of democracy and freedom, as a self</w:t>
      </w:r>
      <w:r w:rsidR="00A61909">
        <w:rPr>
          <w:rFonts w:ascii="Times New Roman" w:hAnsi="Times New Roman" w:cs="Times New Roman"/>
        </w:rPr>
        <w:t>-</w:t>
      </w:r>
      <w:r>
        <w:rPr>
          <w:rFonts w:ascii="Times New Roman" w:hAnsi="Times New Roman" w:cs="Times New Roman"/>
        </w:rPr>
        <w:t>defining image – the mirror tells a different story.</w:t>
      </w:r>
    </w:p>
    <w:p w14:paraId="2D70CBA7" w14:textId="77777777" w:rsidR="00B10FA3" w:rsidRPr="00FB562F" w:rsidRDefault="00B10FA3" w:rsidP="00F70369">
      <w:pPr>
        <w:spacing w:before="120" w:line="480" w:lineRule="auto"/>
        <w:ind w:left="567" w:right="567"/>
        <w:rPr>
          <w:rFonts w:ascii="Times New Roman" w:hAnsi="Times New Roman" w:cs="Times New Roman"/>
        </w:rPr>
      </w:pPr>
      <w:r w:rsidRPr="00FB562F">
        <w:rPr>
          <w:rFonts w:ascii="Times New Roman" w:hAnsi="Times New Roman" w:cs="Times New Roman"/>
        </w:rPr>
        <w:t xml:space="preserve">     Rome wasn’t built in a day, nor was Washington. Our present circumstance, I would argue, has been created by a process that has been decades</w:t>
      </w:r>
      <w:r>
        <w:rPr>
          <w:rFonts w:ascii="Times New Roman" w:hAnsi="Times New Roman" w:cs="Times New Roman"/>
        </w:rPr>
        <w:t xml:space="preserve">, perhaps 50 years, </w:t>
      </w:r>
      <w:r w:rsidRPr="00FB562F">
        <w:rPr>
          <w:rFonts w:ascii="Times New Roman" w:hAnsi="Times New Roman" w:cs="Times New Roman"/>
        </w:rPr>
        <w:t xml:space="preserve">in the making. Many components of this system are the results of neglect or bad policy; others </w:t>
      </w:r>
      <w:r>
        <w:rPr>
          <w:rFonts w:ascii="Times New Roman" w:hAnsi="Times New Roman" w:cs="Times New Roman"/>
        </w:rPr>
        <w:t xml:space="preserve"> - perhaps the lions share - </w:t>
      </w:r>
      <w:r w:rsidRPr="00FB562F">
        <w:rPr>
          <w:rFonts w:ascii="Times New Roman" w:hAnsi="Times New Roman" w:cs="Times New Roman"/>
        </w:rPr>
        <w:t>are the result of deliberate, calibrated strategy over the course of nearly fifty years.</w:t>
      </w:r>
    </w:p>
    <w:p w14:paraId="5B418EDF" w14:textId="466A7E03" w:rsidR="00B10FA3" w:rsidRPr="00FB562F" w:rsidRDefault="00B10FA3" w:rsidP="00F70369">
      <w:pPr>
        <w:spacing w:before="120" w:line="480" w:lineRule="auto"/>
        <w:ind w:left="567" w:right="567"/>
        <w:rPr>
          <w:rFonts w:ascii="Times New Roman" w:hAnsi="Times New Roman" w:cs="Times New Roman"/>
        </w:rPr>
      </w:pPr>
      <w:r w:rsidRPr="00FB562F">
        <w:rPr>
          <w:rFonts w:ascii="Times New Roman" w:hAnsi="Times New Roman" w:cs="Times New Roman"/>
        </w:rPr>
        <w:t xml:space="preserve">     One prominent feature of modern</w:t>
      </w:r>
      <w:r>
        <w:rPr>
          <w:rFonts w:ascii="Times New Roman" w:hAnsi="Times New Roman" w:cs="Times New Roman"/>
        </w:rPr>
        <w:t>, non-mythical</w:t>
      </w:r>
      <w:r w:rsidRPr="00FB562F">
        <w:rPr>
          <w:rFonts w:ascii="Times New Roman" w:hAnsi="Times New Roman" w:cs="Times New Roman"/>
        </w:rPr>
        <w:t xml:space="preserve"> America is the </w:t>
      </w:r>
      <w:r w:rsidRPr="001C016D">
        <w:rPr>
          <w:rFonts w:ascii="Times New Roman" w:hAnsi="Times New Roman" w:cs="Times New Roman"/>
          <w:i/>
          <w:iCs/>
        </w:rPr>
        <w:t>extreme imbalance of wealth</w:t>
      </w:r>
      <w:r w:rsidRPr="00FB562F">
        <w:rPr>
          <w:rFonts w:ascii="Times New Roman" w:hAnsi="Times New Roman" w:cs="Times New Roman"/>
        </w:rPr>
        <w:t xml:space="preserve"> throughout society. Redistribution</w:t>
      </w:r>
      <w:r>
        <w:rPr>
          <w:rFonts w:ascii="Times New Roman" w:hAnsi="Times New Roman" w:cs="Times New Roman"/>
        </w:rPr>
        <w:t xml:space="preserve">, upward or downward, </w:t>
      </w:r>
      <w:r w:rsidRPr="00FB562F">
        <w:rPr>
          <w:rFonts w:ascii="Times New Roman" w:hAnsi="Times New Roman" w:cs="Times New Roman"/>
        </w:rPr>
        <w:t>may be a dirty word in some circles, but American culture</w:t>
      </w:r>
      <w:r>
        <w:rPr>
          <w:rFonts w:ascii="Times New Roman" w:hAnsi="Times New Roman" w:cs="Times New Roman"/>
        </w:rPr>
        <w:t xml:space="preserve">, while being an </w:t>
      </w:r>
      <w:r w:rsidRPr="00FB562F">
        <w:rPr>
          <w:rFonts w:ascii="Times New Roman" w:hAnsi="Times New Roman" w:cs="Times New Roman"/>
        </w:rPr>
        <w:t>efficient redistributor of wealth and privilege</w:t>
      </w:r>
      <w:r>
        <w:rPr>
          <w:rFonts w:ascii="Times New Roman" w:hAnsi="Times New Roman" w:cs="Times New Roman"/>
        </w:rPr>
        <w:t>, has an interesting</w:t>
      </w:r>
      <w:r w:rsidR="009B7CFF">
        <w:rPr>
          <w:rFonts w:ascii="Times New Roman" w:hAnsi="Times New Roman" w:cs="Times New Roman"/>
        </w:rPr>
        <w:t xml:space="preserve">, odd and inexplicable </w:t>
      </w:r>
      <w:r w:rsidRPr="00FB562F">
        <w:rPr>
          <w:rFonts w:ascii="Times New Roman" w:hAnsi="Times New Roman" w:cs="Times New Roman"/>
        </w:rPr>
        <w:t xml:space="preserve">tendency to push it </w:t>
      </w:r>
      <w:r w:rsidRPr="000F2B24">
        <w:rPr>
          <w:rFonts w:ascii="Times New Roman" w:hAnsi="Times New Roman" w:cs="Times New Roman"/>
          <w:i/>
          <w:iCs/>
        </w:rPr>
        <w:t>upward</w:t>
      </w:r>
      <w:r w:rsidRPr="00FB562F">
        <w:rPr>
          <w:rFonts w:ascii="Times New Roman" w:hAnsi="Times New Roman" w:cs="Times New Roman"/>
        </w:rPr>
        <w:t xml:space="preserve">. What is the role of </w:t>
      </w:r>
      <w:r>
        <w:rPr>
          <w:rFonts w:ascii="Times New Roman" w:hAnsi="Times New Roman" w:cs="Times New Roman"/>
        </w:rPr>
        <w:t>government in assisting the fair distribution of resources</w:t>
      </w:r>
      <w:r w:rsidRPr="00FB562F">
        <w:rPr>
          <w:rFonts w:ascii="Times New Roman" w:hAnsi="Times New Roman" w:cs="Times New Roman"/>
        </w:rPr>
        <w:t xml:space="preserve"> in a democracy</w:t>
      </w:r>
      <w:r>
        <w:rPr>
          <w:rFonts w:ascii="Times New Roman" w:hAnsi="Times New Roman" w:cs="Times New Roman"/>
        </w:rPr>
        <w:t xml:space="preserve"> – morally and pragmatically - </w:t>
      </w:r>
      <w:r w:rsidRPr="00FB562F">
        <w:rPr>
          <w:rFonts w:ascii="Times New Roman" w:hAnsi="Times New Roman" w:cs="Times New Roman"/>
        </w:rPr>
        <w:t>and to what degree does it further or harm democratic values?</w:t>
      </w:r>
    </w:p>
    <w:p w14:paraId="7D12EC9B" w14:textId="77777777" w:rsidR="00B10FA3" w:rsidRDefault="00B10FA3" w:rsidP="00F70369">
      <w:pPr>
        <w:spacing w:before="120" w:line="480" w:lineRule="auto"/>
        <w:ind w:left="567" w:right="567"/>
        <w:rPr>
          <w:rFonts w:ascii="Times New Roman" w:hAnsi="Times New Roman" w:cs="Times New Roman"/>
        </w:rPr>
      </w:pPr>
      <w:r w:rsidRPr="00FB562F">
        <w:rPr>
          <w:rFonts w:ascii="Times New Roman" w:hAnsi="Times New Roman" w:cs="Times New Roman"/>
        </w:rPr>
        <w:t xml:space="preserve">     Of course, the determination of who the haves and have nots are in a society is a function of political decisions</w:t>
      </w:r>
      <w:r>
        <w:rPr>
          <w:rFonts w:ascii="Times New Roman" w:hAnsi="Times New Roman" w:cs="Times New Roman"/>
        </w:rPr>
        <w:t xml:space="preserve"> (often termed </w:t>
      </w:r>
      <w:r w:rsidRPr="00F36214">
        <w:rPr>
          <w:rFonts w:ascii="Times New Roman" w:hAnsi="Times New Roman" w:cs="Times New Roman"/>
          <w:i/>
          <w:iCs/>
        </w:rPr>
        <w:t>political economy</w:t>
      </w:r>
      <w:r>
        <w:rPr>
          <w:rFonts w:ascii="Times New Roman" w:hAnsi="Times New Roman" w:cs="Times New Roman"/>
        </w:rPr>
        <w:t xml:space="preserve">), </w:t>
      </w:r>
      <w:r w:rsidRPr="00FB562F">
        <w:rPr>
          <w:rFonts w:ascii="Times New Roman" w:hAnsi="Times New Roman" w:cs="Times New Roman"/>
        </w:rPr>
        <w:t xml:space="preserve">carried out by the representatives of those who put them in power. That mass of voting energy is guided (or not guided) by their level of civic mindedness and intelligence. How does the US match up to other nations in its civic intelligence? What are the consequences of an ignorant, uninformed populace? Are we merely the ‘bewildered herd’ of </w:t>
      </w:r>
      <w:r>
        <w:rPr>
          <w:rFonts w:ascii="Times New Roman" w:hAnsi="Times New Roman" w:cs="Times New Roman"/>
        </w:rPr>
        <w:t xml:space="preserve">American liberal theorist </w:t>
      </w:r>
      <w:r w:rsidRPr="00FB562F">
        <w:rPr>
          <w:rFonts w:ascii="Times New Roman" w:hAnsi="Times New Roman" w:cs="Times New Roman"/>
        </w:rPr>
        <w:t>Walter Lippman’s writings, observing but not really participating in our own republican experiment?</w:t>
      </w:r>
    </w:p>
    <w:p w14:paraId="5A0BF037" w14:textId="27E0D0FD" w:rsidR="00B10FA3" w:rsidRDefault="00B10FA3" w:rsidP="00F70369">
      <w:pPr>
        <w:spacing w:before="120" w:line="480" w:lineRule="auto"/>
        <w:ind w:left="567" w:right="567"/>
        <w:rPr>
          <w:rFonts w:ascii="Times New Roman" w:hAnsi="Times New Roman" w:cs="Times New Roman"/>
        </w:rPr>
      </w:pPr>
      <w:r>
        <w:rPr>
          <w:rFonts w:ascii="Times New Roman" w:hAnsi="Times New Roman" w:cs="Times New Roman"/>
        </w:rPr>
        <w:lastRenderedPageBreak/>
        <w:t xml:space="preserve">      </w:t>
      </w:r>
      <w:r w:rsidRPr="00FB562F">
        <w:rPr>
          <w:rFonts w:ascii="Times New Roman" w:hAnsi="Times New Roman" w:cs="Times New Roman"/>
        </w:rPr>
        <w:t xml:space="preserve">Redistribution, civic intelligence, propaganda and mythology all come into focus when they crash head on into what I consider to be </w:t>
      </w:r>
      <w:r w:rsidRPr="008D704B">
        <w:rPr>
          <w:rFonts w:ascii="Times New Roman" w:hAnsi="Times New Roman" w:cs="Times New Roman"/>
          <w:i/>
          <w:iCs/>
        </w:rPr>
        <w:t xml:space="preserve">the defining issue of American culture today: </w:t>
      </w:r>
      <w:r w:rsidRPr="00A61909">
        <w:rPr>
          <w:rFonts w:ascii="Times New Roman" w:hAnsi="Times New Roman" w:cs="Times New Roman"/>
          <w:b/>
          <w:bCs/>
        </w:rPr>
        <w:t>The Crisis of White Males</w:t>
      </w:r>
      <w:r w:rsidRPr="008D704B">
        <w:rPr>
          <w:rFonts w:ascii="Times New Roman" w:hAnsi="Times New Roman" w:cs="Times New Roman"/>
          <w:i/>
          <w:iCs/>
        </w:rPr>
        <w:t>.</w:t>
      </w:r>
      <w:r w:rsidRPr="00FB562F">
        <w:rPr>
          <w:rFonts w:ascii="Times New Roman" w:hAnsi="Times New Roman" w:cs="Times New Roman"/>
        </w:rPr>
        <w:t xml:space="preserve">  White American ma</w:t>
      </w:r>
      <w:r>
        <w:rPr>
          <w:rFonts w:ascii="Times New Roman" w:hAnsi="Times New Roman" w:cs="Times New Roman"/>
        </w:rPr>
        <w:t>le power</w:t>
      </w:r>
      <w:r w:rsidRPr="00FB562F">
        <w:rPr>
          <w:rFonts w:ascii="Times New Roman" w:hAnsi="Times New Roman" w:cs="Times New Roman"/>
        </w:rPr>
        <w:t xml:space="preserve"> and masculine values have been threatened for decades. There is a </w:t>
      </w:r>
      <w:r>
        <w:rPr>
          <w:rFonts w:ascii="Times New Roman" w:hAnsi="Times New Roman" w:cs="Times New Roman"/>
        </w:rPr>
        <w:t xml:space="preserve">palpable </w:t>
      </w:r>
      <w:r w:rsidRPr="00FB562F">
        <w:rPr>
          <w:rFonts w:ascii="Times New Roman" w:hAnsi="Times New Roman" w:cs="Times New Roman"/>
        </w:rPr>
        <w:t>general fear in the</w:t>
      </w:r>
      <w:r>
        <w:rPr>
          <w:rFonts w:ascii="Times New Roman" w:hAnsi="Times New Roman" w:cs="Times New Roman"/>
        </w:rPr>
        <w:t xml:space="preserve"> white male population</w:t>
      </w:r>
      <w:r w:rsidR="009B7CFF">
        <w:rPr>
          <w:rFonts w:ascii="Times New Roman" w:hAnsi="Times New Roman" w:cs="Times New Roman"/>
        </w:rPr>
        <w:t xml:space="preserve"> - </w:t>
      </w:r>
      <w:r>
        <w:rPr>
          <w:rFonts w:ascii="Times New Roman" w:hAnsi="Times New Roman" w:cs="Times New Roman"/>
        </w:rPr>
        <w:t xml:space="preserve"> and this fear transcends class and race.</w:t>
      </w:r>
      <w:r w:rsidRPr="00FB562F">
        <w:rPr>
          <w:rFonts w:ascii="Times New Roman" w:hAnsi="Times New Roman" w:cs="Times New Roman"/>
        </w:rPr>
        <w:t xml:space="preserve"> Identifying and labeling it is not easy, as it is not a phenomenon that wants to identify itself. It isn’t really discussed in the press or the culture, and white males carry it around as a badge of shame</w:t>
      </w:r>
      <w:r>
        <w:rPr>
          <w:rFonts w:ascii="Times New Roman" w:hAnsi="Times New Roman" w:cs="Times New Roman"/>
        </w:rPr>
        <w:t xml:space="preserve"> and bewilderment.</w:t>
      </w:r>
    </w:p>
    <w:p w14:paraId="170B5C34" w14:textId="77777777" w:rsidR="00B10FA3" w:rsidRDefault="00B10FA3" w:rsidP="00F70369">
      <w:pPr>
        <w:spacing w:before="120" w:line="480" w:lineRule="auto"/>
        <w:ind w:left="567" w:right="567"/>
        <w:rPr>
          <w:rFonts w:ascii="Times New Roman" w:hAnsi="Times New Roman" w:cs="Times New Roman"/>
        </w:rPr>
      </w:pPr>
      <w:r>
        <w:rPr>
          <w:rFonts w:ascii="Times New Roman" w:hAnsi="Times New Roman" w:cs="Times New Roman"/>
        </w:rPr>
        <w:t xml:space="preserve">      </w:t>
      </w:r>
      <w:r w:rsidRPr="00FB562F">
        <w:rPr>
          <w:rFonts w:ascii="Times New Roman" w:hAnsi="Times New Roman" w:cs="Times New Roman"/>
        </w:rPr>
        <w:t xml:space="preserve">American culture </w:t>
      </w:r>
      <w:r>
        <w:rPr>
          <w:rFonts w:ascii="Times New Roman" w:hAnsi="Times New Roman" w:cs="Times New Roman"/>
        </w:rPr>
        <w:t>‘</w:t>
      </w:r>
      <w:r w:rsidRPr="000279E2">
        <w:rPr>
          <w:rFonts w:ascii="Times New Roman" w:hAnsi="Times New Roman" w:cs="Times New Roman"/>
        </w:rPr>
        <w:t>celebrates</w:t>
      </w:r>
      <w:r>
        <w:rPr>
          <w:rFonts w:ascii="Times New Roman" w:hAnsi="Times New Roman" w:cs="Times New Roman"/>
        </w:rPr>
        <w:t>’</w:t>
      </w:r>
      <w:r w:rsidRPr="00FB562F">
        <w:rPr>
          <w:rFonts w:ascii="Times New Roman" w:hAnsi="Times New Roman" w:cs="Times New Roman"/>
        </w:rPr>
        <w:t xml:space="preserve"> various groups</w:t>
      </w:r>
      <w:r>
        <w:rPr>
          <w:rFonts w:ascii="Times New Roman" w:hAnsi="Times New Roman" w:cs="Times New Roman"/>
        </w:rPr>
        <w:t>;</w:t>
      </w:r>
      <w:r w:rsidRPr="00FB562F">
        <w:rPr>
          <w:rFonts w:ascii="Times New Roman" w:hAnsi="Times New Roman" w:cs="Times New Roman"/>
        </w:rPr>
        <w:t xml:space="preserve"> women, people with disabilities</w:t>
      </w:r>
      <w:r>
        <w:rPr>
          <w:rFonts w:ascii="Times New Roman" w:hAnsi="Times New Roman" w:cs="Times New Roman"/>
        </w:rPr>
        <w:t>, people of color, native Americans,</w:t>
      </w:r>
      <w:r w:rsidRPr="00FB562F">
        <w:rPr>
          <w:rFonts w:ascii="Times New Roman" w:hAnsi="Times New Roman" w:cs="Times New Roman"/>
        </w:rPr>
        <w:t xml:space="preserve"> and LGBTQ groups</w:t>
      </w:r>
      <w:r>
        <w:rPr>
          <w:rFonts w:ascii="Times New Roman" w:hAnsi="Times New Roman" w:cs="Times New Roman"/>
        </w:rPr>
        <w:t xml:space="preserve">, among others. </w:t>
      </w:r>
      <w:r w:rsidRPr="00FB562F">
        <w:rPr>
          <w:rFonts w:ascii="Times New Roman" w:hAnsi="Times New Roman" w:cs="Times New Roman"/>
        </w:rPr>
        <w:t xml:space="preserve"> </w:t>
      </w:r>
      <w:r>
        <w:rPr>
          <w:rFonts w:ascii="Times New Roman" w:hAnsi="Times New Roman" w:cs="Times New Roman"/>
        </w:rPr>
        <w:t xml:space="preserve">CNN runs special segments on “exceptional women” and “new heroes.” In 2023, the city of San Francisco launched an initiative to encourage people to patronize “female owned” businesses. Among these celebratory events and marketing schemes, white men are generally not invited to the party. </w:t>
      </w:r>
    </w:p>
    <w:p w14:paraId="29DCF1C9" w14:textId="31F62F37" w:rsidR="00B10FA3" w:rsidRPr="00FB562F" w:rsidRDefault="00B10FA3" w:rsidP="00F70369">
      <w:pPr>
        <w:spacing w:before="120" w:line="480" w:lineRule="auto"/>
        <w:ind w:left="567" w:right="567"/>
        <w:rPr>
          <w:rFonts w:ascii="Times New Roman" w:hAnsi="Times New Roman" w:cs="Times New Roman"/>
        </w:rPr>
      </w:pPr>
      <w:r>
        <w:rPr>
          <w:rFonts w:ascii="Times New Roman" w:hAnsi="Times New Roman" w:cs="Times New Roman"/>
        </w:rPr>
        <w:t xml:space="preserve">     W</w:t>
      </w:r>
      <w:r w:rsidRPr="00FB562F">
        <w:rPr>
          <w:rFonts w:ascii="Times New Roman" w:hAnsi="Times New Roman" w:cs="Times New Roman"/>
        </w:rPr>
        <w:t>hite men are invisible in this regard, a bit like the child who asks about Mothers and Fathers</w:t>
      </w:r>
      <w:r w:rsidR="00A61909">
        <w:rPr>
          <w:rFonts w:ascii="Times New Roman" w:hAnsi="Times New Roman" w:cs="Times New Roman"/>
        </w:rPr>
        <w:t>’</w:t>
      </w:r>
      <w:r w:rsidRPr="00FB562F">
        <w:rPr>
          <w:rFonts w:ascii="Times New Roman" w:hAnsi="Times New Roman" w:cs="Times New Roman"/>
        </w:rPr>
        <w:t xml:space="preserve"> Day, being told that </w:t>
      </w:r>
      <w:r w:rsidRPr="00FB562F">
        <w:rPr>
          <w:rFonts w:ascii="Times New Roman" w:hAnsi="Times New Roman" w:cs="Times New Roman"/>
          <w:i/>
          <w:iCs/>
        </w:rPr>
        <w:t>every</w:t>
      </w:r>
      <w:r w:rsidRPr="00FB562F">
        <w:rPr>
          <w:rFonts w:ascii="Times New Roman" w:hAnsi="Times New Roman" w:cs="Times New Roman"/>
        </w:rPr>
        <w:t xml:space="preserve"> day is </w:t>
      </w:r>
      <w:r>
        <w:rPr>
          <w:rFonts w:ascii="Times New Roman" w:hAnsi="Times New Roman" w:cs="Times New Roman"/>
        </w:rPr>
        <w:t>C</w:t>
      </w:r>
      <w:r w:rsidRPr="00FB562F">
        <w:rPr>
          <w:rFonts w:ascii="Times New Roman" w:hAnsi="Times New Roman" w:cs="Times New Roman"/>
        </w:rPr>
        <w:t>hildren</w:t>
      </w:r>
      <w:r>
        <w:rPr>
          <w:rFonts w:ascii="Times New Roman" w:hAnsi="Times New Roman" w:cs="Times New Roman"/>
        </w:rPr>
        <w:t>’</w:t>
      </w:r>
      <w:r w:rsidRPr="00FB562F">
        <w:rPr>
          <w:rFonts w:ascii="Times New Roman" w:hAnsi="Times New Roman" w:cs="Times New Roman"/>
        </w:rPr>
        <w:t xml:space="preserve">s day. In the popular mind, every day is </w:t>
      </w:r>
      <w:r>
        <w:rPr>
          <w:rFonts w:ascii="Times New Roman" w:hAnsi="Times New Roman" w:cs="Times New Roman"/>
        </w:rPr>
        <w:t xml:space="preserve">considered a privileged </w:t>
      </w:r>
      <w:r w:rsidRPr="00FB562F">
        <w:rPr>
          <w:rFonts w:ascii="Times New Roman" w:hAnsi="Times New Roman" w:cs="Times New Roman"/>
        </w:rPr>
        <w:t>White Male Day, and this can be very frustrating to white men who don’t see any particular advantage to their status</w:t>
      </w:r>
      <w:r>
        <w:rPr>
          <w:rFonts w:ascii="Times New Roman" w:hAnsi="Times New Roman" w:cs="Times New Roman"/>
        </w:rPr>
        <w:t xml:space="preserve"> (especially among working class white men)</w:t>
      </w:r>
      <w:r w:rsidRPr="00FB562F">
        <w:rPr>
          <w:rFonts w:ascii="Times New Roman" w:hAnsi="Times New Roman" w:cs="Times New Roman"/>
        </w:rPr>
        <w:t xml:space="preserve">, but who, nonetheless get besieged with reminders of their supposed </w:t>
      </w:r>
      <w:r>
        <w:rPr>
          <w:rFonts w:ascii="Times New Roman" w:hAnsi="Times New Roman" w:cs="Times New Roman"/>
        </w:rPr>
        <w:t xml:space="preserve">innate </w:t>
      </w:r>
      <w:r w:rsidRPr="00FB562F">
        <w:rPr>
          <w:rFonts w:ascii="Times New Roman" w:hAnsi="Times New Roman" w:cs="Times New Roman"/>
        </w:rPr>
        <w:t xml:space="preserve">privilege. </w:t>
      </w:r>
    </w:p>
    <w:p w14:paraId="1C347D05" w14:textId="77777777" w:rsidR="00B10FA3" w:rsidRPr="00FB562F" w:rsidRDefault="00B10FA3" w:rsidP="00F70369">
      <w:pPr>
        <w:spacing w:before="120" w:line="480" w:lineRule="auto"/>
        <w:ind w:left="567" w:right="567"/>
        <w:rPr>
          <w:rFonts w:ascii="Times New Roman" w:hAnsi="Times New Roman" w:cs="Times New Roman"/>
        </w:rPr>
      </w:pPr>
      <w:r w:rsidRPr="00FB562F">
        <w:rPr>
          <w:rFonts w:ascii="Times New Roman" w:hAnsi="Times New Roman" w:cs="Times New Roman"/>
        </w:rPr>
        <w:t xml:space="preserve">     The truth is that white American males are not wrong in their anger and frustration. White males in America have been beating a cultural, economic and, in some case, a political retreat for the better part of four decades. No, it’s not a</w:t>
      </w:r>
      <w:r>
        <w:rPr>
          <w:rFonts w:ascii="Times New Roman" w:hAnsi="Times New Roman" w:cs="Times New Roman"/>
        </w:rPr>
        <w:t xml:space="preserve"> rural,</w:t>
      </w:r>
      <w:r w:rsidRPr="00FB562F">
        <w:rPr>
          <w:rFonts w:ascii="Times New Roman" w:hAnsi="Times New Roman" w:cs="Times New Roman"/>
        </w:rPr>
        <w:t xml:space="preserve"> Southern or Midwestern thing – it appears throughout the culture</w:t>
      </w:r>
      <w:r>
        <w:rPr>
          <w:rFonts w:ascii="Times New Roman" w:hAnsi="Times New Roman" w:cs="Times New Roman"/>
        </w:rPr>
        <w:t xml:space="preserve"> and </w:t>
      </w:r>
      <w:r>
        <w:rPr>
          <w:rFonts w:ascii="Times New Roman" w:hAnsi="Times New Roman" w:cs="Times New Roman"/>
        </w:rPr>
        <w:lastRenderedPageBreak/>
        <w:t>country</w:t>
      </w:r>
      <w:r w:rsidRPr="00FB562F">
        <w:rPr>
          <w:rFonts w:ascii="Times New Roman" w:hAnsi="Times New Roman" w:cs="Times New Roman"/>
        </w:rPr>
        <w:t>, albeit in different forms</w:t>
      </w:r>
      <w:r>
        <w:rPr>
          <w:rFonts w:ascii="Times New Roman" w:hAnsi="Times New Roman" w:cs="Times New Roman"/>
        </w:rPr>
        <w:t>, different dialects expressing multiple traditions</w:t>
      </w:r>
      <w:r w:rsidRPr="00FB562F">
        <w:rPr>
          <w:rFonts w:ascii="Times New Roman" w:hAnsi="Times New Roman" w:cs="Times New Roman"/>
        </w:rPr>
        <w:t xml:space="preserve"> and manifestations.</w:t>
      </w:r>
    </w:p>
    <w:p w14:paraId="24ACE9DB" w14:textId="77777777" w:rsidR="00B10FA3" w:rsidRDefault="00B10FA3" w:rsidP="00F70369">
      <w:pPr>
        <w:spacing w:before="120" w:line="480" w:lineRule="auto"/>
        <w:ind w:left="567" w:right="567"/>
        <w:rPr>
          <w:rFonts w:ascii="Times New Roman" w:hAnsi="Times New Roman" w:cs="Times New Roman"/>
        </w:rPr>
      </w:pPr>
      <w:r w:rsidRPr="00FB562F">
        <w:rPr>
          <w:rFonts w:ascii="Times New Roman" w:hAnsi="Times New Roman" w:cs="Times New Roman"/>
        </w:rPr>
        <w:t xml:space="preserve">      </w:t>
      </w:r>
      <w:r>
        <w:rPr>
          <w:rFonts w:ascii="Times New Roman" w:hAnsi="Times New Roman" w:cs="Times New Roman"/>
        </w:rPr>
        <w:t xml:space="preserve">Different manifestations? </w:t>
      </w:r>
      <w:r w:rsidRPr="00FB562F">
        <w:rPr>
          <w:rFonts w:ascii="Times New Roman" w:hAnsi="Times New Roman" w:cs="Times New Roman"/>
        </w:rPr>
        <w:t xml:space="preserve">Well, for one, </w:t>
      </w:r>
      <w:r>
        <w:rPr>
          <w:rFonts w:ascii="Times New Roman" w:hAnsi="Times New Roman" w:cs="Times New Roman"/>
        </w:rPr>
        <w:t xml:space="preserve">insecurity – economic, social or political - </w:t>
      </w:r>
      <w:r w:rsidRPr="00FB562F">
        <w:rPr>
          <w:rFonts w:ascii="Times New Roman" w:hAnsi="Times New Roman" w:cs="Times New Roman"/>
        </w:rPr>
        <w:t xml:space="preserve">does not normally package itself in </w:t>
      </w:r>
      <w:r>
        <w:rPr>
          <w:rFonts w:ascii="Times New Roman" w:hAnsi="Times New Roman" w:cs="Times New Roman"/>
        </w:rPr>
        <w:t xml:space="preserve">visible </w:t>
      </w:r>
      <w:r w:rsidRPr="00FB562F">
        <w:rPr>
          <w:rFonts w:ascii="Times New Roman" w:hAnsi="Times New Roman" w:cs="Times New Roman"/>
        </w:rPr>
        <w:t>images of insecurity, neediness and fear. Rather, it doubles down, projecting dominance and invincibility at every moment that it feels most vulnerable</w:t>
      </w:r>
      <w:r>
        <w:rPr>
          <w:rFonts w:ascii="Times New Roman" w:hAnsi="Times New Roman" w:cs="Times New Roman"/>
        </w:rPr>
        <w:t xml:space="preserve">. Scared privileged groups strike back with vengeance. </w:t>
      </w:r>
    </w:p>
    <w:p w14:paraId="18944383" w14:textId="77777777" w:rsidR="00B10FA3" w:rsidRDefault="00B10FA3" w:rsidP="00F70369">
      <w:pPr>
        <w:spacing w:before="120" w:line="480" w:lineRule="auto"/>
        <w:ind w:left="567" w:right="567"/>
        <w:rPr>
          <w:rFonts w:ascii="Times New Roman" w:hAnsi="Times New Roman" w:cs="Times New Roman"/>
        </w:rPr>
      </w:pPr>
      <w:r>
        <w:rPr>
          <w:rFonts w:ascii="Times New Roman" w:hAnsi="Times New Roman" w:cs="Times New Roman"/>
        </w:rPr>
        <w:t xml:space="preserve">     But, reaction to status change can also assume other forms. Oddly, in recent decades, a new twist has emerged; a form of hyper masculine</w:t>
      </w:r>
      <w:r w:rsidRPr="005673C8">
        <w:rPr>
          <w:rFonts w:ascii="Times New Roman" w:hAnsi="Times New Roman" w:cs="Times New Roman"/>
          <w:i/>
          <w:iCs/>
        </w:rPr>
        <w:t xml:space="preserve"> victimization</w:t>
      </w:r>
      <w:r>
        <w:rPr>
          <w:rFonts w:ascii="Times New Roman" w:hAnsi="Times New Roman" w:cs="Times New Roman"/>
        </w:rPr>
        <w:t xml:space="preserve"> has become prevalent on the (late) Rush Limbaugh Show, on </w:t>
      </w:r>
      <w:r w:rsidRPr="005673C8">
        <w:rPr>
          <w:rFonts w:ascii="Times New Roman" w:hAnsi="Times New Roman" w:cs="Times New Roman"/>
        </w:rPr>
        <w:t>Hannity</w:t>
      </w:r>
      <w:r>
        <w:rPr>
          <w:rFonts w:ascii="Times New Roman" w:hAnsi="Times New Roman" w:cs="Times New Roman"/>
        </w:rPr>
        <w:t>, and on other right wing speak sites. What it means to be a white man under stress is a model that is slowly evolving, utilizing aggression when effective and victimization when aggression fails to win the day.</w:t>
      </w:r>
    </w:p>
    <w:p w14:paraId="1C0A50D2" w14:textId="77777777" w:rsidR="00A61909" w:rsidRDefault="00A61909" w:rsidP="00F70369">
      <w:pPr>
        <w:spacing w:before="120" w:line="480" w:lineRule="auto"/>
        <w:ind w:left="567" w:right="567"/>
        <w:rPr>
          <w:rFonts w:ascii="Times New Roman" w:hAnsi="Times New Roman" w:cs="Times New Roman"/>
        </w:rPr>
      </w:pPr>
    </w:p>
    <w:p w14:paraId="0AEEC0F9" w14:textId="77777777" w:rsidR="00B10FA3" w:rsidRPr="00AC6053" w:rsidRDefault="00B10FA3" w:rsidP="00F70369">
      <w:pPr>
        <w:spacing w:before="120" w:line="480" w:lineRule="auto"/>
        <w:ind w:left="567" w:right="567"/>
        <w:rPr>
          <w:rFonts w:ascii="Times New Roman" w:hAnsi="Times New Roman" w:cs="Times New Roman"/>
          <w:b/>
          <w:bCs/>
          <w:i/>
          <w:iCs/>
          <w:sz w:val="28"/>
          <w:szCs w:val="28"/>
        </w:rPr>
      </w:pPr>
      <w:r>
        <w:rPr>
          <w:rFonts w:ascii="Times New Roman" w:hAnsi="Times New Roman" w:cs="Times New Roman"/>
          <w:b/>
          <w:bCs/>
          <w:i/>
          <w:iCs/>
          <w:sz w:val="28"/>
          <w:szCs w:val="28"/>
        </w:rPr>
        <w:t>What this Book is About</w:t>
      </w:r>
    </w:p>
    <w:p w14:paraId="046DD5C5" w14:textId="77777777" w:rsidR="00B10FA3" w:rsidRPr="00FB562F" w:rsidRDefault="00B10FA3" w:rsidP="00F70369">
      <w:pPr>
        <w:spacing w:before="120" w:line="480" w:lineRule="auto"/>
        <w:ind w:left="567" w:right="567"/>
        <w:rPr>
          <w:rFonts w:ascii="Times New Roman" w:hAnsi="Times New Roman" w:cs="Times New Roman"/>
        </w:rPr>
      </w:pPr>
      <w:r w:rsidRPr="00FB562F">
        <w:rPr>
          <w:rFonts w:ascii="Times New Roman" w:hAnsi="Times New Roman" w:cs="Times New Roman"/>
        </w:rPr>
        <w:t xml:space="preserve">      What I am interested in writing about is what is happening to white men in the US today – how their lives are changing, how their relationships differ from previous generations, and how their overall status in a rapidly changing culture has been affected and provoked. </w:t>
      </w:r>
    </w:p>
    <w:p w14:paraId="04AE9AB8" w14:textId="77777777" w:rsidR="00B10FA3" w:rsidRDefault="00B10FA3" w:rsidP="00F70369">
      <w:pPr>
        <w:spacing w:before="120" w:line="480" w:lineRule="auto"/>
        <w:ind w:left="567" w:right="567"/>
        <w:rPr>
          <w:rFonts w:ascii="Times New Roman" w:hAnsi="Times New Roman" w:cs="Times New Roman"/>
        </w:rPr>
      </w:pPr>
      <w:r w:rsidRPr="00FB562F">
        <w:rPr>
          <w:rFonts w:ascii="Times New Roman" w:hAnsi="Times New Roman" w:cs="Times New Roman"/>
        </w:rPr>
        <w:t xml:space="preserve">     The current crisis</w:t>
      </w:r>
      <w:r>
        <w:rPr>
          <w:rFonts w:ascii="Times New Roman" w:hAnsi="Times New Roman" w:cs="Times New Roman"/>
        </w:rPr>
        <w:t xml:space="preserve"> has been a long time coming – perhaps four decades or more. And, as I see it,</w:t>
      </w:r>
      <w:r w:rsidRPr="00FB562F">
        <w:rPr>
          <w:rFonts w:ascii="Times New Roman" w:hAnsi="Times New Roman" w:cs="Times New Roman"/>
        </w:rPr>
        <w:t xml:space="preserve"> traditional markers of masculine worth and virtue have changed; much of what used to create identity for this large group of Americans has been either discredited, discarded or ignored</w:t>
      </w:r>
      <w:r>
        <w:rPr>
          <w:rFonts w:ascii="Times New Roman" w:hAnsi="Times New Roman" w:cs="Times New Roman"/>
        </w:rPr>
        <w:t xml:space="preserve"> in recent years</w:t>
      </w:r>
      <w:r w:rsidRPr="00FB562F">
        <w:rPr>
          <w:rFonts w:ascii="Times New Roman" w:hAnsi="Times New Roman" w:cs="Times New Roman"/>
        </w:rPr>
        <w:t>.</w:t>
      </w:r>
      <w:r>
        <w:rPr>
          <w:rFonts w:ascii="Times New Roman" w:hAnsi="Times New Roman" w:cs="Times New Roman"/>
        </w:rPr>
        <w:t xml:space="preserve"> Call it “wokeism,” </w:t>
      </w:r>
      <w:r>
        <w:rPr>
          <w:rFonts w:ascii="Times New Roman" w:hAnsi="Times New Roman" w:cs="Times New Roman"/>
        </w:rPr>
        <w:lastRenderedPageBreak/>
        <w:t>“political correctness” or the “Me-Too” movement; the end result has been that white men remain marginalized and held in contempt, or, at best, indifference.</w:t>
      </w:r>
      <w:r w:rsidRPr="00FB562F">
        <w:rPr>
          <w:rFonts w:ascii="Times New Roman" w:hAnsi="Times New Roman" w:cs="Times New Roman"/>
        </w:rPr>
        <w:t xml:space="preserve"> </w:t>
      </w:r>
    </w:p>
    <w:p w14:paraId="39724881" w14:textId="77777777" w:rsidR="00B10FA3" w:rsidRPr="00FB562F" w:rsidRDefault="00B10FA3" w:rsidP="00D02DC7">
      <w:pPr>
        <w:spacing w:before="120" w:line="480" w:lineRule="auto"/>
        <w:ind w:left="567" w:right="567"/>
        <w:rPr>
          <w:rFonts w:ascii="Times New Roman" w:hAnsi="Times New Roman" w:cs="Times New Roman"/>
        </w:rPr>
      </w:pPr>
      <w:r>
        <w:rPr>
          <w:rFonts w:ascii="Times New Roman" w:hAnsi="Times New Roman" w:cs="Times New Roman"/>
        </w:rPr>
        <w:t xml:space="preserve">     </w:t>
      </w:r>
      <w:r w:rsidRPr="00FB562F">
        <w:rPr>
          <w:rFonts w:ascii="Times New Roman" w:hAnsi="Times New Roman" w:cs="Times New Roman"/>
        </w:rPr>
        <w:t xml:space="preserve">The resulting status loss has been accompanied by </w:t>
      </w:r>
      <w:r>
        <w:rPr>
          <w:rFonts w:ascii="Times New Roman" w:hAnsi="Times New Roman" w:cs="Times New Roman"/>
        </w:rPr>
        <w:t xml:space="preserve">questions or challenging the legitimacy of </w:t>
      </w:r>
      <w:r w:rsidRPr="00FB562F">
        <w:rPr>
          <w:rFonts w:ascii="Times New Roman" w:hAnsi="Times New Roman" w:cs="Times New Roman"/>
        </w:rPr>
        <w:t>traditional male values, rendering many middling and lower status white males to a status of irrelevancy. As such, many white men feel that their backs are against the wall, and that they have no place in the culture. Not surprisingly, a person who feels this level of imminent threat is likely to use whatever tools remain at their disposal</w:t>
      </w:r>
      <w:r>
        <w:rPr>
          <w:rFonts w:ascii="Times New Roman" w:hAnsi="Times New Roman" w:cs="Times New Roman"/>
        </w:rPr>
        <w:t xml:space="preserve"> to promote their perspective.</w:t>
      </w:r>
      <w:r w:rsidRPr="00FB562F">
        <w:rPr>
          <w:rFonts w:ascii="Times New Roman" w:hAnsi="Times New Roman" w:cs="Times New Roman"/>
        </w:rPr>
        <w:t xml:space="preserve"> Unfortunately, these remaining tools are often the instruments of desperation – guns and violence. </w:t>
      </w:r>
    </w:p>
    <w:p w14:paraId="70545786" w14:textId="52CB52EB" w:rsidR="00B10FA3" w:rsidRDefault="00B10FA3" w:rsidP="00F70369">
      <w:pPr>
        <w:spacing w:before="120" w:line="480" w:lineRule="auto"/>
        <w:ind w:left="567" w:right="567"/>
        <w:rPr>
          <w:rFonts w:ascii="Times New Roman" w:hAnsi="Times New Roman" w:cs="Times New Roman"/>
        </w:rPr>
      </w:pPr>
      <w:r w:rsidRPr="00FB562F">
        <w:rPr>
          <w:rFonts w:ascii="Times New Roman" w:hAnsi="Times New Roman" w:cs="Times New Roman"/>
        </w:rPr>
        <w:t xml:space="preserve">     It is certainly possible that many of the contemporary problems in American society are, in fact, mis-identified. White Nationalism</w:t>
      </w:r>
      <w:r>
        <w:rPr>
          <w:rFonts w:ascii="Times New Roman" w:hAnsi="Times New Roman" w:cs="Times New Roman"/>
        </w:rPr>
        <w:t xml:space="preserve"> is one example</w:t>
      </w:r>
      <w:r w:rsidRPr="00FB562F">
        <w:rPr>
          <w:rFonts w:ascii="Times New Roman" w:hAnsi="Times New Roman" w:cs="Times New Roman"/>
        </w:rPr>
        <w:t xml:space="preserve">. Now, without denying that white supremacist ideas not only exist but flourish in the US, I would argue that at least a </w:t>
      </w:r>
      <w:r>
        <w:rPr>
          <w:rFonts w:ascii="Times New Roman" w:hAnsi="Times New Roman" w:cs="Times New Roman"/>
        </w:rPr>
        <w:t xml:space="preserve">significant </w:t>
      </w:r>
      <w:r w:rsidRPr="00FB562F">
        <w:rPr>
          <w:rFonts w:ascii="Times New Roman" w:hAnsi="Times New Roman" w:cs="Times New Roman"/>
        </w:rPr>
        <w:t>portion of the anti-immigrant, white nationalist, anti</w:t>
      </w:r>
      <w:r w:rsidR="00D235CA">
        <w:rPr>
          <w:rFonts w:ascii="Times New Roman" w:hAnsi="Times New Roman" w:cs="Times New Roman"/>
        </w:rPr>
        <w:t>-</w:t>
      </w:r>
      <w:r w:rsidRPr="00FB562F">
        <w:rPr>
          <w:rFonts w:ascii="Times New Roman" w:hAnsi="Times New Roman" w:cs="Times New Roman"/>
        </w:rPr>
        <w:t>feminist and antigay movements are, in fact</w:t>
      </w:r>
      <w:r w:rsidR="00A61909">
        <w:rPr>
          <w:rFonts w:ascii="Times New Roman" w:hAnsi="Times New Roman" w:cs="Times New Roman"/>
        </w:rPr>
        <w:t>,</w:t>
      </w:r>
      <w:r w:rsidRPr="00FB562F">
        <w:rPr>
          <w:rFonts w:ascii="Times New Roman" w:hAnsi="Times New Roman" w:cs="Times New Roman"/>
        </w:rPr>
        <w:t xml:space="preserve"> </w:t>
      </w:r>
      <w:r w:rsidRPr="00E4591C">
        <w:rPr>
          <w:rFonts w:ascii="Times New Roman" w:hAnsi="Times New Roman" w:cs="Times New Roman"/>
          <w:i/>
          <w:iCs/>
        </w:rPr>
        <w:t>expressions of white male status loss</w:t>
      </w:r>
      <w:r w:rsidRPr="00FB562F">
        <w:rPr>
          <w:rFonts w:ascii="Times New Roman" w:hAnsi="Times New Roman" w:cs="Times New Roman"/>
        </w:rPr>
        <w:t xml:space="preserve">, involving issues closer to </w:t>
      </w:r>
      <w:r>
        <w:rPr>
          <w:rFonts w:ascii="Times New Roman" w:hAnsi="Times New Roman" w:cs="Times New Roman"/>
        </w:rPr>
        <w:t xml:space="preserve">threatened </w:t>
      </w:r>
      <w:r w:rsidRPr="00FB562F">
        <w:rPr>
          <w:rFonts w:ascii="Times New Roman" w:hAnsi="Times New Roman" w:cs="Times New Roman"/>
        </w:rPr>
        <w:t>white masculine values than</w:t>
      </w:r>
      <w:r>
        <w:rPr>
          <w:rFonts w:ascii="Times New Roman" w:hAnsi="Times New Roman" w:cs="Times New Roman"/>
        </w:rPr>
        <w:t xml:space="preserve"> directly </w:t>
      </w:r>
      <w:r w:rsidRPr="00FB562F">
        <w:rPr>
          <w:rFonts w:ascii="Times New Roman" w:hAnsi="Times New Roman" w:cs="Times New Roman"/>
        </w:rPr>
        <w:t xml:space="preserve">to racism or intolerance. </w:t>
      </w:r>
      <w:r w:rsidRPr="00F36214">
        <w:rPr>
          <w:rFonts w:ascii="Times New Roman" w:hAnsi="Times New Roman" w:cs="Times New Roman"/>
          <w:i/>
          <w:iCs/>
        </w:rPr>
        <w:t>The anger is displaced and projected</w:t>
      </w:r>
      <w:r>
        <w:rPr>
          <w:rFonts w:ascii="Times New Roman" w:hAnsi="Times New Roman" w:cs="Times New Roman"/>
        </w:rPr>
        <w:t>, often onto other groups, such as women, immigrants, people of color or of non-traditional sexual beliefs. Further, t</w:t>
      </w:r>
      <w:r w:rsidRPr="00FB562F">
        <w:rPr>
          <w:rFonts w:ascii="Times New Roman" w:hAnsi="Times New Roman" w:cs="Times New Roman"/>
        </w:rPr>
        <w:t>he expressive capacity of status threatened white males has even distorted their own message</w:t>
      </w:r>
      <w:r>
        <w:rPr>
          <w:rFonts w:ascii="Times New Roman" w:hAnsi="Times New Roman" w:cs="Times New Roman"/>
        </w:rPr>
        <w:t xml:space="preserve">, which is based on fear, </w:t>
      </w:r>
      <w:r w:rsidRPr="00FB562F">
        <w:rPr>
          <w:rFonts w:ascii="Times New Roman" w:hAnsi="Times New Roman" w:cs="Times New Roman"/>
        </w:rPr>
        <w:t>in a changing modern world.</w:t>
      </w:r>
    </w:p>
    <w:p w14:paraId="6EAEA7A3" w14:textId="77777777" w:rsidR="00B10FA3" w:rsidRPr="00FB562F" w:rsidRDefault="00B10FA3" w:rsidP="00F70369">
      <w:pPr>
        <w:spacing w:before="120" w:line="480" w:lineRule="auto"/>
        <w:ind w:left="567" w:right="567"/>
        <w:rPr>
          <w:rFonts w:ascii="Times New Roman" w:hAnsi="Times New Roman" w:cs="Times New Roman"/>
        </w:rPr>
      </w:pPr>
      <w:r>
        <w:rPr>
          <w:rFonts w:ascii="Times New Roman" w:hAnsi="Times New Roman" w:cs="Times New Roman"/>
        </w:rPr>
        <w:t xml:space="preserve">     However, politics and power, as the saying goes, do not exist in vacuums. American culture is broad and multifarious, with a multitude of competing interests fighting for influence. While some groups are currently ascendent and others diminishing in their relative cultural clout, all of these groups operate </w:t>
      </w:r>
      <w:r>
        <w:rPr>
          <w:rFonts w:ascii="Times New Roman" w:hAnsi="Times New Roman" w:cs="Times New Roman"/>
        </w:rPr>
        <w:lastRenderedPageBreak/>
        <w:t xml:space="preserve">within a system of political and social norms – some of which are in flux at present. The flashpoint comes when traditional power groups find their influence reduced, and yet cling to a political economy and cultural assumptions which have shifted under their feet. It is at this juncture that we often find the phenomenon whereby the “turkeys vote for Thanksgiving,” with constituencies voting away their own interests because they have been misdirected; hoodwinked, by fear, prejudice or ignorance from the ability to see, much less stand up for, their needs and the very political actors and institutions that can deliver those needs, by nefarious actors.    </w:t>
      </w:r>
    </w:p>
    <w:p w14:paraId="3D621113" w14:textId="77777777" w:rsidR="00B10FA3" w:rsidRDefault="00B10FA3" w:rsidP="00F70369">
      <w:pPr>
        <w:spacing w:before="120" w:line="480" w:lineRule="auto"/>
        <w:ind w:left="567" w:right="567"/>
      </w:pPr>
      <w:r>
        <w:t xml:space="preserve">      </w:t>
      </w:r>
    </w:p>
    <w:p w14:paraId="7635DF4A" w14:textId="77777777" w:rsidR="00B10FA3" w:rsidRDefault="00B10FA3" w:rsidP="00F70369">
      <w:pPr>
        <w:spacing w:before="120" w:line="480" w:lineRule="auto"/>
        <w:ind w:left="567" w:right="567"/>
      </w:pPr>
      <w:r>
        <w:t xml:space="preserve">     </w:t>
      </w:r>
    </w:p>
    <w:p w14:paraId="0BC40E7A" w14:textId="77777777" w:rsidR="00B10FA3" w:rsidRDefault="00B10FA3" w:rsidP="00F70369">
      <w:pPr>
        <w:spacing w:before="120" w:line="480" w:lineRule="auto"/>
        <w:ind w:left="567" w:right="567"/>
      </w:pPr>
    </w:p>
    <w:p w14:paraId="7B6C03B5" w14:textId="77777777" w:rsidR="00B10FA3" w:rsidRDefault="00B10FA3" w:rsidP="00F70369">
      <w:pPr>
        <w:spacing w:before="120" w:line="480" w:lineRule="auto"/>
        <w:ind w:left="567" w:right="567"/>
      </w:pPr>
    </w:p>
    <w:p w14:paraId="79D72917" w14:textId="77777777" w:rsidR="00B10FA3" w:rsidRPr="00C4759F" w:rsidRDefault="00B10FA3" w:rsidP="00F70369">
      <w:pPr>
        <w:spacing w:before="120" w:line="480" w:lineRule="auto"/>
        <w:ind w:left="567" w:right="567"/>
      </w:pPr>
    </w:p>
    <w:p w14:paraId="2C4E9913" w14:textId="77777777" w:rsidR="00B10FA3" w:rsidRDefault="00B10FA3"/>
    <w:p w14:paraId="7C4FCE47" w14:textId="77777777" w:rsidR="00B10FA3" w:rsidRDefault="00B10FA3"/>
    <w:p w14:paraId="2BE826E7" w14:textId="77777777" w:rsidR="00B10FA3" w:rsidRDefault="00B10FA3"/>
    <w:p w14:paraId="39C2CA90" w14:textId="77777777" w:rsidR="00B10FA3" w:rsidRDefault="00B10FA3"/>
    <w:p w14:paraId="6E43C4A5" w14:textId="77777777" w:rsidR="00B10FA3" w:rsidRDefault="00B10FA3"/>
    <w:p w14:paraId="65AE1CC8" w14:textId="77777777" w:rsidR="00B10FA3" w:rsidRDefault="00B10FA3"/>
    <w:p w14:paraId="1EEB7E3E" w14:textId="77777777" w:rsidR="00B10FA3" w:rsidRDefault="00B10FA3"/>
    <w:p w14:paraId="5DAF42E2" w14:textId="77777777" w:rsidR="00B10FA3" w:rsidRDefault="00B10FA3"/>
    <w:p w14:paraId="1B2F5626" w14:textId="77777777" w:rsidR="00B10FA3" w:rsidRDefault="00B10FA3"/>
    <w:p w14:paraId="2013B6D7" w14:textId="77777777" w:rsidR="00B10FA3" w:rsidRDefault="00B10FA3"/>
    <w:p w14:paraId="2E030CBA" w14:textId="77777777" w:rsidR="00B10FA3" w:rsidRDefault="00B10FA3"/>
    <w:p w14:paraId="7B76BF12" w14:textId="77777777" w:rsidR="00B10FA3" w:rsidRDefault="00B10FA3"/>
    <w:p w14:paraId="158D184B" w14:textId="77777777" w:rsidR="00B10FA3" w:rsidRDefault="00B10FA3"/>
    <w:p w14:paraId="7EC6D534" w14:textId="512188D0" w:rsidR="00B10FA3" w:rsidRDefault="00B10FA3">
      <w:pPr>
        <w:rPr>
          <w:sz w:val="28"/>
          <w:szCs w:val="28"/>
        </w:rPr>
      </w:pPr>
      <w:r>
        <w:tab/>
      </w:r>
      <w:r>
        <w:tab/>
        <w:t xml:space="preserve">  </w:t>
      </w:r>
      <w:r>
        <w:tab/>
      </w:r>
      <w:r w:rsidRPr="007E0A73">
        <w:rPr>
          <w:sz w:val="28"/>
          <w:szCs w:val="28"/>
        </w:rPr>
        <w:t xml:space="preserve"> </w:t>
      </w:r>
    </w:p>
    <w:p w14:paraId="2CEE2919" w14:textId="77777777" w:rsidR="00B10FA3" w:rsidRDefault="00B10FA3">
      <w:pPr>
        <w:rPr>
          <w:sz w:val="28"/>
          <w:szCs w:val="28"/>
        </w:rPr>
      </w:pPr>
    </w:p>
    <w:p w14:paraId="47AB6BA3" w14:textId="77777777" w:rsidR="00B10FA3" w:rsidRDefault="00B10FA3">
      <w:pPr>
        <w:rPr>
          <w:sz w:val="28"/>
          <w:szCs w:val="28"/>
        </w:rPr>
      </w:pPr>
    </w:p>
    <w:p w14:paraId="164D37F7" w14:textId="77777777" w:rsidR="00B10FA3" w:rsidRPr="007E0A73" w:rsidRDefault="00B10FA3" w:rsidP="007E0A73">
      <w:pPr>
        <w:ind w:left="2880" w:firstLine="720"/>
        <w:rPr>
          <w:b/>
          <w:bCs/>
          <w:i/>
          <w:iCs/>
          <w:sz w:val="28"/>
          <w:szCs w:val="28"/>
        </w:rPr>
      </w:pPr>
      <w:r>
        <w:rPr>
          <w:sz w:val="28"/>
          <w:szCs w:val="28"/>
        </w:rPr>
        <w:t xml:space="preserve"> </w:t>
      </w:r>
      <w:r w:rsidRPr="007E0A73">
        <w:rPr>
          <w:sz w:val="28"/>
          <w:szCs w:val="28"/>
        </w:rPr>
        <w:t xml:space="preserve">    </w:t>
      </w:r>
      <w:r w:rsidRPr="007E0A73">
        <w:rPr>
          <w:b/>
          <w:bCs/>
          <w:i/>
          <w:iCs/>
          <w:sz w:val="28"/>
          <w:szCs w:val="28"/>
        </w:rPr>
        <w:t>Chapter One</w:t>
      </w:r>
    </w:p>
    <w:p w14:paraId="2B68B9DA" w14:textId="77777777" w:rsidR="00B10FA3" w:rsidRDefault="00B10FA3">
      <w:pPr>
        <w:rPr>
          <w:b/>
          <w:bCs/>
          <w:i/>
          <w:iCs/>
        </w:rPr>
      </w:pPr>
      <w:r w:rsidRPr="007E0A73">
        <w:rPr>
          <w:b/>
          <w:bCs/>
          <w:i/>
          <w:iCs/>
          <w:sz w:val="28"/>
          <w:szCs w:val="28"/>
        </w:rPr>
        <w:tab/>
      </w:r>
      <w:r w:rsidRPr="007E0A73">
        <w:rPr>
          <w:b/>
          <w:bCs/>
          <w:i/>
          <w:iCs/>
          <w:sz w:val="28"/>
          <w:szCs w:val="28"/>
        </w:rPr>
        <w:tab/>
      </w:r>
      <w:r w:rsidRPr="007E0A73">
        <w:rPr>
          <w:b/>
          <w:bCs/>
          <w:i/>
          <w:iCs/>
          <w:sz w:val="28"/>
          <w:szCs w:val="28"/>
        </w:rPr>
        <w:tab/>
      </w:r>
      <w:r w:rsidRPr="007E0A73">
        <w:rPr>
          <w:b/>
          <w:bCs/>
          <w:i/>
          <w:iCs/>
          <w:sz w:val="28"/>
          <w:szCs w:val="28"/>
        </w:rPr>
        <w:tab/>
        <w:t xml:space="preserve">      Modern American Culture</w:t>
      </w:r>
      <w:r w:rsidRPr="00AD35C7">
        <w:rPr>
          <w:b/>
          <w:bCs/>
          <w:i/>
          <w:iCs/>
        </w:rPr>
        <w:tab/>
      </w:r>
    </w:p>
    <w:p w14:paraId="6BAE9FBB" w14:textId="77777777" w:rsidR="00B10FA3" w:rsidRDefault="00B10FA3">
      <w:pPr>
        <w:rPr>
          <w:b/>
          <w:bCs/>
          <w:i/>
          <w:iCs/>
        </w:rPr>
      </w:pPr>
    </w:p>
    <w:p w14:paraId="2532CA56" w14:textId="77777777" w:rsidR="00B10FA3" w:rsidRDefault="00B10FA3">
      <w:pPr>
        <w:rPr>
          <w:b/>
          <w:bCs/>
          <w:i/>
          <w:iCs/>
        </w:rPr>
      </w:pPr>
    </w:p>
    <w:p w14:paraId="28891365" w14:textId="77777777" w:rsidR="00B10FA3" w:rsidRPr="00AD35C7" w:rsidRDefault="00B10FA3">
      <w:pPr>
        <w:rPr>
          <w:b/>
          <w:bCs/>
          <w:i/>
          <w:iCs/>
        </w:rPr>
      </w:pPr>
    </w:p>
    <w:p w14:paraId="2DB9CE7A" w14:textId="77777777" w:rsidR="00B10FA3" w:rsidRDefault="00B10FA3" w:rsidP="009F5473">
      <w:pPr>
        <w:spacing w:line="240" w:lineRule="auto"/>
        <w:ind w:left="2155" w:right="2155"/>
        <w:rPr>
          <w:b/>
          <w:bCs/>
          <w:i/>
          <w:iCs/>
        </w:rPr>
      </w:pPr>
    </w:p>
    <w:p w14:paraId="4C32EE6B" w14:textId="77777777" w:rsidR="00B10FA3" w:rsidRPr="00A61909" w:rsidRDefault="00B10FA3" w:rsidP="009F5473">
      <w:pPr>
        <w:spacing w:line="240" w:lineRule="auto"/>
        <w:ind w:left="2155" w:right="2155"/>
        <w:rPr>
          <w:rFonts w:ascii="Times New Roman" w:hAnsi="Times New Roman" w:cs="Times New Roman"/>
          <w:b/>
          <w:bCs/>
          <w:i/>
          <w:iCs/>
        </w:rPr>
      </w:pPr>
      <w:r w:rsidRPr="00656B2B">
        <w:rPr>
          <w:b/>
          <w:bCs/>
          <w:i/>
          <w:iCs/>
        </w:rPr>
        <w:t xml:space="preserve"> </w:t>
      </w:r>
      <w:r w:rsidRPr="00A61909">
        <w:rPr>
          <w:rFonts w:ascii="Times New Roman" w:hAnsi="Times New Roman" w:cs="Times New Roman"/>
        </w:rPr>
        <w:t xml:space="preserve">“I don’t really identify with America. I don’t really feel like an American or part of the American experience, and I don’t really feel like a member of the human race, to tell you the truth. I know I am, but I really don’t. All the definitions are there, but I don’t really feel a part of it. I think I have found a detached point of view, an ideal emotional detachment from the American experience and culture…” </w:t>
      </w:r>
      <w:r w:rsidRPr="00A61909">
        <w:rPr>
          <w:rFonts w:ascii="Times New Roman" w:hAnsi="Times New Roman" w:cs="Times New Roman"/>
        </w:rPr>
        <w:br/>
        <w:t xml:space="preserve">― </w:t>
      </w:r>
      <w:r w:rsidRPr="00A61909">
        <w:rPr>
          <w:rStyle w:val="authorortitle"/>
          <w:rFonts w:ascii="Times New Roman" w:hAnsi="Times New Roman" w:cs="Times New Roman"/>
        </w:rPr>
        <w:t>George Carlin</w:t>
      </w:r>
    </w:p>
    <w:p w14:paraId="58F15F61" w14:textId="77777777" w:rsidR="00B10FA3" w:rsidRPr="00656B2B" w:rsidRDefault="00B10FA3">
      <w:pPr>
        <w:rPr>
          <w:b/>
          <w:bCs/>
          <w:i/>
          <w:iCs/>
        </w:rPr>
      </w:pPr>
    </w:p>
    <w:p w14:paraId="3EE4E448" w14:textId="77777777" w:rsidR="00B10FA3" w:rsidRPr="00656B2B" w:rsidRDefault="00B10FA3">
      <w:pPr>
        <w:rPr>
          <w:b/>
          <w:bCs/>
          <w:i/>
          <w:iCs/>
        </w:rPr>
      </w:pPr>
    </w:p>
    <w:p w14:paraId="6E16620A" w14:textId="77777777" w:rsidR="00B10FA3" w:rsidRPr="00656B2B" w:rsidRDefault="00B10FA3">
      <w:pPr>
        <w:rPr>
          <w:b/>
          <w:bCs/>
          <w:i/>
          <w:iCs/>
        </w:rPr>
      </w:pPr>
    </w:p>
    <w:p w14:paraId="6BBC0933" w14:textId="77777777" w:rsidR="00B10FA3" w:rsidRDefault="00B10FA3" w:rsidP="0061591A">
      <w:pPr>
        <w:spacing w:line="480" w:lineRule="auto"/>
      </w:pPr>
    </w:p>
    <w:p w14:paraId="27B9D533" w14:textId="77777777" w:rsidR="00B10FA3" w:rsidRDefault="00B10FA3" w:rsidP="0061591A">
      <w:pPr>
        <w:spacing w:line="480" w:lineRule="auto"/>
      </w:pPr>
    </w:p>
    <w:p w14:paraId="1F34E01E" w14:textId="77777777" w:rsidR="00B10FA3" w:rsidRDefault="00B10FA3" w:rsidP="0061591A">
      <w:pPr>
        <w:spacing w:line="480" w:lineRule="auto"/>
      </w:pPr>
      <w:r w:rsidRPr="00656B2B">
        <w:t xml:space="preserve">     </w:t>
      </w:r>
    </w:p>
    <w:p w14:paraId="4A86A987" w14:textId="77777777" w:rsidR="00B10FA3" w:rsidRDefault="00B10FA3" w:rsidP="0061591A">
      <w:pPr>
        <w:spacing w:line="480" w:lineRule="auto"/>
      </w:pPr>
    </w:p>
    <w:p w14:paraId="2B227696" w14:textId="77777777" w:rsidR="00B10FA3" w:rsidRDefault="00B10FA3" w:rsidP="0061591A">
      <w:pPr>
        <w:spacing w:line="480" w:lineRule="auto"/>
      </w:pPr>
    </w:p>
    <w:p w14:paraId="642C2A76" w14:textId="77777777" w:rsidR="00B10FA3" w:rsidRDefault="00B10FA3" w:rsidP="0061591A">
      <w:pPr>
        <w:spacing w:line="480" w:lineRule="auto"/>
      </w:pPr>
    </w:p>
    <w:p w14:paraId="0D65E622" w14:textId="77777777" w:rsidR="00B10FA3" w:rsidRDefault="00B10FA3" w:rsidP="0061591A">
      <w:pPr>
        <w:spacing w:line="480" w:lineRule="auto"/>
      </w:pPr>
      <w:r>
        <w:t xml:space="preserve">     </w:t>
      </w:r>
      <w:r w:rsidRPr="00656B2B">
        <w:t xml:space="preserve">One could spend a lot of wasted time trying to figure out what an ‘American’ is. But, to bastardize the adage, the statement “I don’t know what an American is, but I know one when I see one,” holds some resonance in much of the world. Culture is defined in </w:t>
      </w:r>
      <w:r>
        <w:t xml:space="preserve">multiple </w:t>
      </w:r>
      <w:r w:rsidRPr="00656B2B">
        <w:t>terms</w:t>
      </w:r>
      <w:r>
        <w:t>, ranging from the tribal and religious to the mythological historical, and can be expressed as well by markers of shared experience. Sometimes these markers can be negative; such as a common enemy or a shared ordeal.</w:t>
      </w:r>
    </w:p>
    <w:p w14:paraId="193A6418" w14:textId="43BC2FCD" w:rsidR="00B10FA3" w:rsidRPr="00656B2B" w:rsidRDefault="00B10FA3" w:rsidP="007E0A73">
      <w:pPr>
        <w:spacing w:line="480" w:lineRule="auto"/>
      </w:pPr>
      <w:r>
        <w:t xml:space="preserve">     </w:t>
      </w:r>
      <w:r w:rsidRPr="00656B2B">
        <w:t xml:space="preserve"> </w:t>
      </w:r>
      <w:r>
        <w:t xml:space="preserve">Let’s jump out for a moment from the American context and examine </w:t>
      </w:r>
      <w:r w:rsidRPr="00222957">
        <w:rPr>
          <w:i/>
          <w:iCs/>
        </w:rPr>
        <w:t>Italy</w:t>
      </w:r>
      <w:r>
        <w:t xml:space="preserve"> – a country with a shared language and religion, by and large, but, at the same time</w:t>
      </w:r>
      <w:r w:rsidRPr="00656B2B">
        <w:t xml:space="preserve"> a very </w:t>
      </w:r>
      <w:r>
        <w:t xml:space="preserve">new (1871) and </w:t>
      </w:r>
      <w:r w:rsidRPr="00656B2B">
        <w:t>fragmented country, with multiple autonomous regions, regional dialects and languages, and traditions that have profoundly different historical antecedents</w:t>
      </w:r>
      <w:r>
        <w:t xml:space="preserve">, dating back over </w:t>
      </w:r>
      <w:r w:rsidR="00A61909">
        <w:t xml:space="preserve">two </w:t>
      </w:r>
      <w:r>
        <w:t>millennia.</w:t>
      </w:r>
      <w:r w:rsidRPr="00656B2B">
        <w:t xml:space="preserve">  </w:t>
      </w:r>
      <w:r>
        <w:t xml:space="preserve">Unified? Organized? (Try standing in a line at an Italian Post Office. Did I say </w:t>
      </w:r>
      <w:r w:rsidRPr="00FD1A24">
        <w:rPr>
          <w:i/>
          <w:iCs/>
        </w:rPr>
        <w:t>line</w:t>
      </w:r>
      <w:r>
        <w:t>? Buying opera tickets in Sicily requires one to be repeatedly kicked in the shins</w:t>
      </w:r>
      <w:r w:rsidR="00EB6AE1">
        <w:t xml:space="preserve"> – my shins, historically,</w:t>
      </w:r>
      <w:r>
        <w:t xml:space="preserve"> by little old ladies with a taste for </w:t>
      </w:r>
      <w:r>
        <w:rPr>
          <w:i/>
          <w:iCs/>
        </w:rPr>
        <w:t xml:space="preserve">Don Giovanni, </w:t>
      </w:r>
      <w:r w:rsidRPr="00FD1A24">
        <w:t>butting in line</w:t>
      </w:r>
      <w:r>
        <w:t>.</w:t>
      </w:r>
      <w:r w:rsidRPr="00FD1A24">
        <w:t>)</w:t>
      </w:r>
      <w:r>
        <w:rPr>
          <w:i/>
          <w:iCs/>
        </w:rPr>
        <w:t xml:space="preserve"> </w:t>
      </w:r>
      <w:r>
        <w:t xml:space="preserve">But, recall Italy – </w:t>
      </w:r>
      <w:r w:rsidRPr="000D7757">
        <w:rPr>
          <w:i/>
          <w:iCs/>
        </w:rPr>
        <w:t>the country</w:t>
      </w:r>
      <w:r>
        <w:t>. D</w:t>
      </w:r>
      <w:r w:rsidRPr="00656B2B">
        <w:t>uring the Covid crisis</w:t>
      </w:r>
      <w:r>
        <w:t>;</w:t>
      </w:r>
      <w:r w:rsidRPr="00656B2B">
        <w:t xml:space="preserve"> Italians, hit hardest of all European countries initially, found the cultural sweet spot to coalesce in a program of national unity which was not only supported by local and national government entities, but which was adhered to by the general population</w:t>
      </w:r>
      <w:r>
        <w:t xml:space="preserve"> – a population that cannot form a supermarket line. </w:t>
      </w:r>
    </w:p>
    <w:p w14:paraId="701EB9F8" w14:textId="77777777" w:rsidR="00B10FA3" w:rsidRDefault="00B10FA3" w:rsidP="0061591A">
      <w:pPr>
        <w:spacing w:line="480" w:lineRule="auto"/>
      </w:pPr>
      <w:r w:rsidRPr="00656B2B">
        <w:t xml:space="preserve">     Culture. A shared perspective. A shared religion, </w:t>
      </w:r>
      <w:r>
        <w:t xml:space="preserve">behavior, ritual </w:t>
      </w:r>
      <w:r w:rsidRPr="00656B2B">
        <w:t>or history. Habits of learning that are passed on generationally</w:t>
      </w:r>
      <w:r>
        <w:t>, along with s</w:t>
      </w:r>
      <w:r w:rsidRPr="00656B2B">
        <w:t>hared experience</w:t>
      </w:r>
      <w:r>
        <w:t>,</w:t>
      </w:r>
      <w:r w:rsidRPr="00656B2B">
        <w:t xml:space="preserve"> </w:t>
      </w:r>
      <w:r>
        <w:t>r</w:t>
      </w:r>
      <w:r w:rsidRPr="00656B2B">
        <w:t>acial identification</w:t>
      </w:r>
      <w:r>
        <w:t>, l</w:t>
      </w:r>
      <w:r w:rsidRPr="00656B2B">
        <w:t>earned symbolic communication</w:t>
      </w:r>
      <w:r>
        <w:t>, and u</w:t>
      </w:r>
      <w:r w:rsidRPr="00656B2B">
        <w:t>nconscious ways of being and behaving</w:t>
      </w:r>
      <w:r>
        <w:t>, and b</w:t>
      </w:r>
      <w:r w:rsidRPr="00656B2B">
        <w:t xml:space="preserve">ehavior stemming from social learning. </w:t>
      </w:r>
    </w:p>
    <w:p w14:paraId="171444FE" w14:textId="77777777" w:rsidR="00E6549E" w:rsidRDefault="00E6549E" w:rsidP="0061591A">
      <w:pPr>
        <w:spacing w:line="480" w:lineRule="auto"/>
        <w:rPr>
          <w:b/>
          <w:bCs/>
          <w:sz w:val="28"/>
          <w:szCs w:val="28"/>
        </w:rPr>
      </w:pPr>
    </w:p>
    <w:p w14:paraId="57845F98" w14:textId="77777777" w:rsidR="00E6549E" w:rsidRDefault="00E6549E" w:rsidP="0061591A">
      <w:pPr>
        <w:spacing w:line="480" w:lineRule="auto"/>
        <w:rPr>
          <w:b/>
          <w:bCs/>
          <w:sz w:val="28"/>
          <w:szCs w:val="28"/>
        </w:rPr>
      </w:pPr>
    </w:p>
    <w:p w14:paraId="65D14359" w14:textId="7FA77D71" w:rsidR="00B10FA3" w:rsidRPr="0002025E" w:rsidRDefault="00B10FA3" w:rsidP="0061591A">
      <w:pPr>
        <w:spacing w:line="480" w:lineRule="auto"/>
      </w:pPr>
      <w:r>
        <w:rPr>
          <w:b/>
          <w:bCs/>
          <w:sz w:val="28"/>
          <w:szCs w:val="28"/>
        </w:rPr>
        <w:t>The US: Culture, Politics and Covid</w:t>
      </w:r>
    </w:p>
    <w:p w14:paraId="281188AC" w14:textId="77777777" w:rsidR="00B10FA3" w:rsidRDefault="00B10FA3" w:rsidP="0061591A">
      <w:pPr>
        <w:spacing w:line="480" w:lineRule="auto"/>
      </w:pPr>
      <w:r>
        <w:t xml:space="preserve">     </w:t>
      </w:r>
      <w:r w:rsidRPr="00656B2B">
        <w:t>The United States experienced a very different result for the Covid crisis than did Italy</w:t>
      </w:r>
      <w:r>
        <w:t xml:space="preserve"> (and the rest of the world)</w:t>
      </w:r>
      <w:r w:rsidRPr="00656B2B">
        <w:t xml:space="preserve">, with over 1 million dead as a result. Social behavior </w:t>
      </w:r>
      <w:r>
        <w:t xml:space="preserve">in America </w:t>
      </w:r>
      <w:r w:rsidRPr="00656B2B">
        <w:t xml:space="preserve">was less disciplined, resistance was rampant, authority and science were questioned, often without legitimacy, and violence was threatened. </w:t>
      </w:r>
    </w:p>
    <w:p w14:paraId="43B4F212" w14:textId="77777777" w:rsidR="00B10FA3" w:rsidRPr="00656B2B" w:rsidRDefault="00B10FA3" w:rsidP="0061591A">
      <w:pPr>
        <w:spacing w:line="480" w:lineRule="auto"/>
      </w:pPr>
      <w:r>
        <w:t xml:space="preserve">     </w:t>
      </w:r>
      <w:r w:rsidRPr="00656B2B">
        <w:t xml:space="preserve">To make matters worse, elements of the political class found advantage in fostering and promoting many of the </w:t>
      </w:r>
      <w:r>
        <w:t xml:space="preserve">manifest contemporary </w:t>
      </w:r>
      <w:r w:rsidRPr="00656B2B">
        <w:t>misrepresentations and conspiratorial fantasies. In the end, the American culture became hopelessly confused, and a false equivalency between science and belief took hold. The results of this unholy alliance were exceptional, and, in the western world, hugely damaging.</w:t>
      </w:r>
    </w:p>
    <w:p w14:paraId="0FB7703D" w14:textId="77777777" w:rsidR="00B10FA3" w:rsidRPr="00656B2B" w:rsidRDefault="00B10FA3" w:rsidP="0061591A">
      <w:pPr>
        <w:spacing w:line="480" w:lineRule="auto"/>
      </w:pPr>
      <w:r w:rsidRPr="00656B2B">
        <w:t xml:space="preserve">      Now, in 202</w:t>
      </w:r>
      <w:r>
        <w:t>4</w:t>
      </w:r>
      <w:r w:rsidRPr="00656B2B">
        <w:t xml:space="preserve">, it is remarkable that an event that cost the country more lives than either WWI or the American Civil War </w:t>
      </w:r>
      <w:r w:rsidRPr="00BC78F5">
        <w:rPr>
          <w:i/>
          <w:iCs/>
        </w:rPr>
        <w:t>has no memorial</w:t>
      </w:r>
      <w:r w:rsidRPr="00656B2B">
        <w:t xml:space="preserve"> (as of this</w:t>
      </w:r>
      <w:r>
        <w:t xml:space="preserve"> 2025</w:t>
      </w:r>
      <w:r w:rsidRPr="00656B2B">
        <w:t xml:space="preserve"> writing).  It reminds one of the </w:t>
      </w:r>
      <w:r>
        <w:t xml:space="preserve">troop </w:t>
      </w:r>
      <w:r w:rsidRPr="00656B2B">
        <w:t>withdraw</w:t>
      </w:r>
      <w:r>
        <w:t>a</w:t>
      </w:r>
      <w:r w:rsidRPr="00656B2B">
        <w:t>l from Vietnam</w:t>
      </w:r>
      <w:r>
        <w:t xml:space="preserve"> in 1975</w:t>
      </w:r>
      <w:r w:rsidRPr="00656B2B">
        <w:t xml:space="preserve">, and the deafening silence that accompanied that action within the political class </w:t>
      </w:r>
      <w:r>
        <w:t>during the campaign for the 1976 Presidential elections.</w:t>
      </w:r>
      <w:r w:rsidRPr="00656B2B">
        <w:t xml:space="preserve"> If </w:t>
      </w:r>
      <w:r w:rsidRPr="00656B2B">
        <w:rPr>
          <w:i/>
          <w:iCs/>
        </w:rPr>
        <w:t>denial</w:t>
      </w:r>
      <w:r w:rsidRPr="00656B2B">
        <w:t xml:space="preserve"> is an attribute of culture, then it appears that the US possesses more than its fair share.</w:t>
      </w:r>
    </w:p>
    <w:p w14:paraId="1D88DCB5" w14:textId="77777777" w:rsidR="00A61909" w:rsidRDefault="00B10FA3" w:rsidP="0061591A">
      <w:pPr>
        <w:spacing w:line="480" w:lineRule="auto"/>
      </w:pPr>
      <w:r w:rsidRPr="00656B2B">
        <w:t xml:space="preserve">     Don’t look for consistency in American culture. Not only is it divided regionally, but also by class</w:t>
      </w:r>
      <w:r>
        <w:t>, ethnicity, education, creed and – significantly, race. Subtle cultural d</w:t>
      </w:r>
      <w:r w:rsidRPr="00656B2B">
        <w:t xml:space="preserve">istinctions </w:t>
      </w:r>
      <w:r>
        <w:t xml:space="preserve">pervade, </w:t>
      </w:r>
      <w:r w:rsidRPr="00656B2B">
        <w:t xml:space="preserve">not readily acknowledged </w:t>
      </w:r>
      <w:r>
        <w:t xml:space="preserve">in either the media or </w:t>
      </w:r>
      <w:r w:rsidRPr="00656B2B">
        <w:t xml:space="preserve">within the presumably neutral local and regional structures. The United States of America, either by design or by supreme ignorance, runs by its own rules.  </w:t>
      </w:r>
    </w:p>
    <w:p w14:paraId="0B598385" w14:textId="6C4E0A75" w:rsidR="00B10FA3" w:rsidRDefault="00A61909" w:rsidP="0061591A">
      <w:pPr>
        <w:spacing w:line="480" w:lineRule="auto"/>
      </w:pPr>
      <w:r>
        <w:lastRenderedPageBreak/>
        <w:t xml:space="preserve">     </w:t>
      </w:r>
      <w:r w:rsidR="00B10FA3" w:rsidRPr="00656B2B">
        <w:t>These rules, however explicit or implicit, run from the</w:t>
      </w:r>
      <w:r w:rsidR="00B10FA3" w:rsidRPr="00656B2B">
        <w:rPr>
          <w:i/>
          <w:iCs/>
        </w:rPr>
        <w:t xml:space="preserve"> liberal </w:t>
      </w:r>
      <w:r w:rsidR="00B10FA3" w:rsidRPr="00656B2B">
        <w:t xml:space="preserve">perspective, </w:t>
      </w:r>
      <w:r w:rsidR="00B10FA3">
        <w:t>a</w:t>
      </w:r>
      <w:r w:rsidR="00B10FA3" w:rsidRPr="00656B2B">
        <w:t xml:space="preserve">s such: We are all equal. There is no difference between people, as a result of race, gender, sexual preference, and so forth. The less privileged </w:t>
      </w:r>
      <w:r w:rsidR="00B10FA3">
        <w:t>should not be denied opportunity, and should benefit from social integrat</w:t>
      </w:r>
      <w:r w:rsidR="00B10FA3" w:rsidRPr="00656B2B">
        <w:t xml:space="preserve">ion and acceptance. </w:t>
      </w:r>
    </w:p>
    <w:p w14:paraId="04173101" w14:textId="77777777" w:rsidR="00B10FA3" w:rsidRPr="00656B2B" w:rsidRDefault="00B10FA3" w:rsidP="0061591A">
      <w:pPr>
        <w:spacing w:line="480" w:lineRule="auto"/>
      </w:pPr>
      <w:r>
        <w:t xml:space="preserve">     But, t</w:t>
      </w:r>
      <w:r w:rsidRPr="00656B2B">
        <w:t>he rules from the</w:t>
      </w:r>
      <w:r w:rsidRPr="00656B2B">
        <w:rPr>
          <w:i/>
          <w:iCs/>
        </w:rPr>
        <w:t xml:space="preserve"> </w:t>
      </w:r>
      <w:r>
        <w:rPr>
          <w:i/>
          <w:iCs/>
        </w:rPr>
        <w:t xml:space="preserve">right </w:t>
      </w:r>
      <w:r w:rsidRPr="00656B2B">
        <w:t>are different</w:t>
      </w:r>
      <w:r w:rsidRPr="00656B2B">
        <w:rPr>
          <w:i/>
          <w:iCs/>
        </w:rPr>
        <w:t>:</w:t>
      </w:r>
      <w:r w:rsidRPr="00656B2B">
        <w:t xml:space="preserve"> Conservative based tradition</w:t>
      </w:r>
      <w:r>
        <w:t>, as defined generationally,</w:t>
      </w:r>
      <w:r w:rsidRPr="00656B2B">
        <w:t xml:space="preserve"> must be respected with regard to gender (and often race) distinctions, sexuality, and hierarchy. And, sentimentality aside, traditionally privileged economic and social groups </w:t>
      </w:r>
      <w:r w:rsidRPr="00352718">
        <w:rPr>
          <w:i/>
          <w:iCs/>
        </w:rPr>
        <w:t>should</w:t>
      </w:r>
      <w:r>
        <w:t>, they say,</w:t>
      </w:r>
      <w:r w:rsidRPr="00656B2B">
        <w:t xml:space="preserve"> hold advantage in the political realm</w:t>
      </w:r>
      <w:r>
        <w:t>, even if that money is unearned (as with inheritance).</w:t>
      </w:r>
    </w:p>
    <w:p w14:paraId="08BFA2DF" w14:textId="77777777" w:rsidR="00B10FA3" w:rsidRDefault="00B10FA3" w:rsidP="0061591A">
      <w:pPr>
        <w:spacing w:line="480" w:lineRule="auto"/>
      </w:pPr>
      <w:r w:rsidRPr="00656B2B">
        <w:t xml:space="preserve">     </w:t>
      </w:r>
      <w:r>
        <w:t xml:space="preserve">In truth, the US is not really an ideological country, although aphorisms of ideology are thrown around without much concern for their applicability. Thomas Jeffersons is quoted across the political and ideological spectrum, though few contemporaries have ever read a word of his views on government. </w:t>
      </w:r>
    </w:p>
    <w:p w14:paraId="3AD7FEA2" w14:textId="56611ACE" w:rsidR="00B10FA3" w:rsidRDefault="00B10FA3" w:rsidP="0061591A">
      <w:pPr>
        <w:spacing w:line="480" w:lineRule="auto"/>
      </w:pPr>
      <w:r>
        <w:t xml:space="preserve">      Big Government. Small Government. Individual rights. Freedom of speech. Guns. Generally, these and other issues are not so much debated but rather subjected to emotional rants and threats via social media. Some benefit from these rants, and have learned, over time, to monetarize them. Thus, in the end, much of the “partisan divide” </w:t>
      </w:r>
      <w:r w:rsidRPr="00656B2B">
        <w:t xml:space="preserve">isn’t </w:t>
      </w:r>
      <w:r>
        <w:t>so</w:t>
      </w:r>
      <w:r w:rsidRPr="00656B2B">
        <w:t xml:space="preserve"> much an ideological divide, as </w:t>
      </w:r>
      <w:r>
        <w:t xml:space="preserve">it is a pragmatic, </w:t>
      </w:r>
      <w:r w:rsidRPr="00656B2B">
        <w:t xml:space="preserve">calculated grab for the </w:t>
      </w:r>
      <w:r w:rsidR="00A61909">
        <w:t xml:space="preserve">societal and governmental </w:t>
      </w:r>
      <w:r w:rsidRPr="00656B2B">
        <w:t>goods</w:t>
      </w:r>
      <w:r>
        <w:t xml:space="preserve"> through the use of targeted, inflammatory language.</w:t>
      </w:r>
      <w:r w:rsidRPr="00656B2B">
        <w:t xml:space="preserve"> </w:t>
      </w:r>
      <w:r>
        <w:t xml:space="preserve">(Witness Steve Bannon’s efforts to bilk MAGA supporters – his own people - for his scam </w:t>
      </w:r>
      <w:r w:rsidRPr="0040377E">
        <w:rPr>
          <w:i/>
          <w:iCs/>
        </w:rPr>
        <w:t>Build the Wall</w:t>
      </w:r>
      <w:r>
        <w:t xml:space="preserve"> scheme - which duped </w:t>
      </w:r>
      <w:r w:rsidRPr="00E12F9F">
        <w:rPr>
          <w:i/>
          <w:iCs/>
        </w:rPr>
        <w:t>Trump voters</w:t>
      </w:r>
      <w:r>
        <w:t xml:space="preserve"> of millions of dollars - or the Trump campaign efforts to repeatedly charge single contribution supporters for monthly donations, though the contributors had not agreed to such a billing.) </w:t>
      </w:r>
    </w:p>
    <w:p w14:paraId="0B505A7B" w14:textId="08D30DB7" w:rsidR="00B10FA3" w:rsidRDefault="00B10FA3" w:rsidP="0061591A">
      <w:pPr>
        <w:spacing w:line="480" w:lineRule="auto"/>
      </w:pPr>
      <w:r>
        <w:lastRenderedPageBreak/>
        <w:t xml:space="preserve">     Contrary to what you might hear, i</w:t>
      </w:r>
      <w:r w:rsidRPr="00656B2B">
        <w:t xml:space="preserve">t is a bit of a stretch to consider that the US has anything resembling a </w:t>
      </w:r>
      <w:r>
        <w:t xml:space="preserve">true </w:t>
      </w:r>
      <w:r w:rsidRPr="00656B2B">
        <w:t>‘left wing’ in politics</w:t>
      </w:r>
      <w:r w:rsidR="00352718">
        <w:t xml:space="preserve"> (much less a ‘radical left,’ as portrayed in Trump</w:t>
      </w:r>
      <w:r w:rsidR="004B52EB">
        <w:t xml:space="preserve"> </w:t>
      </w:r>
      <w:r w:rsidR="00352718">
        <w:t xml:space="preserve">world.) </w:t>
      </w:r>
      <w:r>
        <w:t>No viable Socialist</w:t>
      </w:r>
      <w:r w:rsidR="00053350">
        <w:t>, Social Democratic or</w:t>
      </w:r>
      <w:r>
        <w:t xml:space="preserve"> Communist party exists in America, and these </w:t>
      </w:r>
      <w:r w:rsidR="00106F9A">
        <w:t xml:space="preserve">political </w:t>
      </w:r>
      <w:r>
        <w:t>tendencies have exactly no influence in the US Congress. No one is US politics talks of egalitarianism or economic equality; no one openly discusses the transference of societal resources to the less fortunate, large public housing investment, universal</w:t>
      </w:r>
      <w:r w:rsidR="00352718">
        <w:t xml:space="preserve">, single payer </w:t>
      </w:r>
      <w:r>
        <w:t xml:space="preserve">health care, child care, state sponsored jobs programs, or guaranteed incomes. </w:t>
      </w:r>
      <w:r w:rsidRPr="00FA7EE4">
        <w:rPr>
          <w:i/>
          <w:iCs/>
        </w:rPr>
        <w:t xml:space="preserve">Rarely is </w:t>
      </w:r>
      <w:r w:rsidRPr="00656432">
        <w:rPr>
          <w:i/>
          <w:iCs/>
          <w:u w:val="single"/>
        </w:rPr>
        <w:t>class</w:t>
      </w:r>
      <w:r w:rsidRPr="00FA7EE4">
        <w:rPr>
          <w:i/>
          <w:iCs/>
        </w:rPr>
        <w:t xml:space="preserve"> even discussed in any serious way.</w:t>
      </w:r>
      <w:r>
        <w:t xml:space="preserve">  Few challenge the fact of obscene CEO salaries, or discrepancies in pay grade scales. Union membership is at an all</w:t>
      </w:r>
      <w:r w:rsidR="00D235CA">
        <w:t>-</w:t>
      </w:r>
      <w:r>
        <w:t>time low, hovering around 6% of workers in 2025. Mass strikes against concentrated power? Climate change? Progressive tax policy?  Crickets. Well – a few showed up for Defund Wall St., and Black Lives Matter tried to address racial injustice for a bit, but, regarding economics, America</w:t>
      </w:r>
      <w:r w:rsidR="002E4154">
        <w:t xml:space="preserve">, indignation aside, </w:t>
      </w:r>
      <w:r>
        <w:t xml:space="preserve"> </w:t>
      </w:r>
      <w:r w:rsidR="00352718">
        <w:t xml:space="preserve">largely </w:t>
      </w:r>
      <w:r>
        <w:t xml:space="preserve">holds a blind eye towards the wealthy; their ire remains focused on the presumed </w:t>
      </w:r>
      <w:r w:rsidRPr="00FA7EE4">
        <w:rPr>
          <w:i/>
          <w:iCs/>
        </w:rPr>
        <w:t>undeserving lower class</w:t>
      </w:r>
      <w:r>
        <w:t xml:space="preserve">. The poor. THOSE people. The Other. </w:t>
      </w:r>
    </w:p>
    <w:p w14:paraId="24ABDB0E" w14:textId="77777777" w:rsidR="00B10FA3" w:rsidRDefault="00B10FA3" w:rsidP="0061591A">
      <w:pPr>
        <w:spacing w:line="480" w:lineRule="auto"/>
      </w:pPr>
      <w:r>
        <w:t xml:space="preserve">     Why is this? Perhaps, </w:t>
      </w:r>
      <w:r w:rsidRPr="00A61909">
        <w:rPr>
          <w:i/>
          <w:iCs/>
        </w:rPr>
        <w:t>identification with the well to do</w:t>
      </w:r>
      <w:r>
        <w:t xml:space="preserve"> has a more restorative function to a troubled body politic than a lower-class identification would have. Or, more cynically, perhaps the working and middle classes have simply been sold a bill of goods that benefits them not at all, but that contains some inner logic or symbolism that makes some sort of rudimentary sense to them, and may be easily regurgitated. This second interpretation makes much more sense to me. </w:t>
      </w:r>
    </w:p>
    <w:p w14:paraId="6FFF6EAA" w14:textId="77777777" w:rsidR="00B10FA3" w:rsidRDefault="00B10FA3" w:rsidP="0061591A">
      <w:pPr>
        <w:spacing w:line="480" w:lineRule="auto"/>
      </w:pPr>
      <w:r>
        <w:t xml:space="preserve">     Actual, traditional l</w:t>
      </w:r>
      <w:r w:rsidRPr="00656B2B">
        <w:t xml:space="preserve">eftism tends to support an </w:t>
      </w:r>
      <w:r w:rsidRPr="00C236E5">
        <w:rPr>
          <w:i/>
          <w:iCs/>
        </w:rPr>
        <w:t>economic version of democracy</w:t>
      </w:r>
      <w:r w:rsidRPr="00656B2B">
        <w:t>: if the right to vote is liberal, th</w:t>
      </w:r>
      <w:r>
        <w:t>e</w:t>
      </w:r>
      <w:r w:rsidRPr="00656B2B">
        <w:t xml:space="preserve">n the equal weight of each vote is leftist. </w:t>
      </w:r>
      <w:r w:rsidRPr="00C236E5">
        <w:rPr>
          <w:i/>
          <w:iCs/>
        </w:rPr>
        <w:t xml:space="preserve">Mandatory voting </w:t>
      </w:r>
      <w:r w:rsidRPr="00656B2B">
        <w:t xml:space="preserve">is a leftist position, as it </w:t>
      </w:r>
      <w:r>
        <w:t>requires and encourages</w:t>
      </w:r>
      <w:r w:rsidRPr="00656B2B">
        <w:t xml:space="preserve"> low voting portions of the population </w:t>
      </w:r>
      <w:r>
        <w:t xml:space="preserve">(generally the </w:t>
      </w:r>
      <w:r>
        <w:lastRenderedPageBreak/>
        <w:t xml:space="preserve">less wealthy and less educated) </w:t>
      </w:r>
      <w:r w:rsidRPr="00656B2B">
        <w:t xml:space="preserve">to represent and express their interests. Belgium and Australia, among other healthy democracies, require this. </w:t>
      </w:r>
      <w:r>
        <w:t xml:space="preserve">However, given this - what is seen as a social, democratic and political opportunity and obligation in Europe is often seen as a burden and an unwelcome mandate in the US. Imagine the claimed American right to not vote. Imagine a mandate for mask wearing in the US. </w:t>
      </w:r>
    </w:p>
    <w:p w14:paraId="35457402" w14:textId="54EF9B4E" w:rsidR="00B10FA3" w:rsidRPr="00656B2B" w:rsidRDefault="00B10FA3" w:rsidP="0061591A">
      <w:pPr>
        <w:spacing w:line="480" w:lineRule="auto"/>
      </w:pPr>
      <w:r>
        <w:t xml:space="preserve">     </w:t>
      </w:r>
      <w:r w:rsidRPr="00656B2B">
        <w:t xml:space="preserve">If </w:t>
      </w:r>
      <w:r w:rsidRPr="00222957">
        <w:rPr>
          <w:i/>
          <w:iCs/>
        </w:rPr>
        <w:t>liberal economics</w:t>
      </w:r>
      <w:r w:rsidRPr="00656B2B">
        <w:t xml:space="preserve"> opens the health care system to more participants, the </w:t>
      </w:r>
      <w:r w:rsidR="0045552E">
        <w:t xml:space="preserve">true </w:t>
      </w:r>
      <w:r w:rsidRPr="00656B2B">
        <w:t xml:space="preserve">leftist view is that </w:t>
      </w:r>
      <w:r w:rsidRPr="00656B2B">
        <w:rPr>
          <w:i/>
          <w:iCs/>
        </w:rPr>
        <w:t>all</w:t>
      </w:r>
      <w:r w:rsidRPr="00656B2B">
        <w:t xml:space="preserve"> people should have equal access to health care. If liberals offer subsidized, public housing as an option to poor people, leftists will call for government sponsored housing that fits the special needs of lower income people. In other words, leftists will </w:t>
      </w:r>
      <w:r w:rsidRPr="00063466">
        <w:rPr>
          <w:i/>
          <w:iCs/>
        </w:rPr>
        <w:t>remove the market</w:t>
      </w:r>
      <w:r w:rsidRPr="00656B2B">
        <w:t xml:space="preserve"> from the equation, preferring to focus on the </w:t>
      </w:r>
      <w:r w:rsidRPr="00BC78F5">
        <w:rPr>
          <w:i/>
          <w:iCs/>
        </w:rPr>
        <w:t>end result</w:t>
      </w:r>
      <w:r w:rsidRPr="00656B2B">
        <w:t xml:space="preserve"> of policy, whereas liberals will generally work</w:t>
      </w:r>
      <w:r w:rsidRPr="00063466">
        <w:rPr>
          <w:i/>
          <w:iCs/>
        </w:rPr>
        <w:t xml:space="preserve"> within</w:t>
      </w:r>
      <w:r w:rsidRPr="00656B2B">
        <w:t xml:space="preserve"> market-based parameters with a focus on theory and efficiency.</w:t>
      </w:r>
    </w:p>
    <w:p w14:paraId="44803B21" w14:textId="76BC59AE" w:rsidR="00B10FA3" w:rsidRPr="00656B2B" w:rsidRDefault="00B10FA3" w:rsidP="0061591A">
      <w:pPr>
        <w:spacing w:line="480" w:lineRule="auto"/>
      </w:pPr>
      <w:r w:rsidRPr="00656B2B">
        <w:t xml:space="preserve">      So, </w:t>
      </w:r>
      <w:r>
        <w:t>putting</w:t>
      </w:r>
      <w:r w:rsidRPr="00656B2B">
        <w:t xml:space="preserve"> ideology</w:t>
      </w:r>
      <w:r>
        <w:t xml:space="preserve"> aside</w:t>
      </w:r>
      <w:r w:rsidRPr="00656B2B">
        <w:t xml:space="preserve">, how do communities take care of themselves? </w:t>
      </w:r>
      <w:r>
        <w:t xml:space="preserve">Let’s take a </w:t>
      </w:r>
      <w:r w:rsidR="00E13F6C">
        <w:t xml:space="preserve">few </w:t>
      </w:r>
      <w:r>
        <w:t>far-flung example</w:t>
      </w:r>
      <w:r w:rsidR="00E13F6C">
        <w:t>s</w:t>
      </w:r>
      <w:r>
        <w:t xml:space="preserve">. </w:t>
      </w:r>
      <w:r w:rsidRPr="00656B2B">
        <w:t>In a tribally ordered community, such as the Darod in Somalia, group allegiance, while strict, can be highly beneficial in times of crisis. During lean times, author Ayaan Hirsi Ali recalls</w:t>
      </w:r>
      <w:r>
        <w:t>,</w:t>
      </w:r>
      <w:r w:rsidRPr="00656B2B">
        <w:t xml:space="preserve"> vital medical aid </w:t>
      </w:r>
      <w:r w:rsidR="00501C32">
        <w:t>is</w:t>
      </w:r>
      <w:r w:rsidRPr="00656B2B">
        <w:t xml:space="preserve"> gathered and provided from the Muslim Brotherhood, without corruption. Loans, or payments of bribes to guards might be provided through the collective efforts of the clan. A clan could assist a bad marriage with intervention, either emotional or financial. The death or sickness of a spouse might be mitigated with monetary help from the clan.</w:t>
      </w:r>
      <w:r w:rsidRPr="00656B2B">
        <w:rPr>
          <w:rStyle w:val="FootnoteReference"/>
        </w:rPr>
        <w:footnoteReference w:id="5"/>
      </w:r>
    </w:p>
    <w:p w14:paraId="066948FE" w14:textId="160E1911" w:rsidR="00B10FA3" w:rsidRPr="00656B2B" w:rsidRDefault="00B10FA3" w:rsidP="0061591A">
      <w:pPr>
        <w:spacing w:line="480" w:lineRule="auto"/>
      </w:pPr>
      <w:r w:rsidRPr="00656B2B">
        <w:lastRenderedPageBreak/>
        <w:t xml:space="preserve">     To cite another cultural example, medical benefits today in Italy are uncharacteristically low by European standards, but they are based on the cultural assumption that families will pick up much of the responsibility for the care and recuperation of a loved one. Social contracts of this type don’t exist in any formalized way in the US, apart from</w:t>
      </w:r>
      <w:r>
        <w:t xml:space="preserve"> organized local, traditional religious communities such as the Church of the Latter Day Saints, Seventh Day Adventists and the like. </w:t>
      </w:r>
      <w:r w:rsidRPr="00656B2B">
        <w:t xml:space="preserve">  So, let</w:t>
      </w:r>
      <w:r w:rsidR="00A61909">
        <w:t>’</w:t>
      </w:r>
      <w:r w:rsidRPr="00656B2B">
        <w:t>s look at some of the characteristics that serve to divide the general American culture into whatever it is.</w:t>
      </w:r>
    </w:p>
    <w:p w14:paraId="1021F040" w14:textId="77777777" w:rsidR="00B10FA3" w:rsidRPr="00D92BA2" w:rsidRDefault="00B10FA3" w:rsidP="0061591A">
      <w:pPr>
        <w:spacing w:line="480" w:lineRule="auto"/>
        <w:rPr>
          <w:b/>
          <w:bCs/>
          <w:i/>
          <w:iCs/>
          <w:sz w:val="28"/>
          <w:szCs w:val="28"/>
        </w:rPr>
      </w:pPr>
      <w:r w:rsidRPr="00D92BA2">
        <w:rPr>
          <w:b/>
          <w:bCs/>
          <w:i/>
          <w:iCs/>
          <w:sz w:val="28"/>
          <w:szCs w:val="28"/>
        </w:rPr>
        <w:t>Class</w:t>
      </w:r>
    </w:p>
    <w:p w14:paraId="010A6EAB" w14:textId="1FD4289A" w:rsidR="00B10FA3" w:rsidRDefault="00B10FA3" w:rsidP="0061591A">
      <w:pPr>
        <w:spacing w:line="480" w:lineRule="auto"/>
      </w:pPr>
      <w:r>
        <w:t xml:space="preserve">     </w:t>
      </w:r>
      <w:r w:rsidRPr="00656B2B">
        <w:t>Class is an interesti</w:t>
      </w:r>
      <w:r>
        <w:t>n</w:t>
      </w:r>
      <w:r w:rsidRPr="00656B2B">
        <w:t>g concept to Americans</w:t>
      </w:r>
      <w:r>
        <w:t xml:space="preserve"> - i</w:t>
      </w:r>
      <w:r w:rsidRPr="00656B2B">
        <w:t xml:space="preserve">nteresting because, in polite conversation, it is a subject that is normally never </w:t>
      </w:r>
      <w:r>
        <w:t xml:space="preserve">discussed, much less understood. </w:t>
      </w:r>
      <w:r w:rsidRPr="00656B2B">
        <w:t xml:space="preserve"> And with good reason – at least in middle class households.  The fact that it never comes up</w:t>
      </w:r>
      <w:r>
        <w:t xml:space="preserve"> may reflect an overriding modern sentiment that middle class values are </w:t>
      </w:r>
      <w:r>
        <w:rPr>
          <w:i/>
          <w:iCs/>
        </w:rPr>
        <w:t xml:space="preserve">the norm, </w:t>
      </w:r>
      <w:r>
        <w:t xml:space="preserve">and that other ways of living must aspire to the dominant model. </w:t>
      </w:r>
      <w:r w:rsidRPr="00656B2B">
        <w:t xml:space="preserve"> </w:t>
      </w:r>
      <w:r>
        <w:t xml:space="preserve">The best that the popular media can do to describe working class status is to define “non-college graduates,” a tone-deaf catch phrase that barely begins to grasp the surface of what working class status </w:t>
      </w:r>
      <w:r w:rsidR="003230E9">
        <w:t xml:space="preserve">actually </w:t>
      </w:r>
      <w:r>
        <w:t xml:space="preserve">is in the modern world. </w:t>
      </w:r>
    </w:p>
    <w:p w14:paraId="08443811" w14:textId="3C607E1B" w:rsidR="00B10FA3" w:rsidRDefault="00B10FA3" w:rsidP="0061591A">
      <w:pPr>
        <w:spacing w:line="480" w:lineRule="auto"/>
      </w:pPr>
      <w:r w:rsidRPr="00222957">
        <w:t xml:space="preserve">     In a </w:t>
      </w:r>
      <w:r w:rsidRPr="00222957">
        <w:rPr>
          <w:i/>
          <w:iCs/>
        </w:rPr>
        <w:t>working-class family</w:t>
      </w:r>
      <w:r w:rsidRPr="00222957">
        <w:t>, unlike middle class households</w:t>
      </w:r>
      <w:r>
        <w:rPr>
          <w:i/>
          <w:iCs/>
        </w:rPr>
        <w:t xml:space="preserve">, </w:t>
      </w:r>
      <w:r w:rsidRPr="00154CA4">
        <w:rPr>
          <w:i/>
          <w:iCs/>
          <w:u w:val="single"/>
        </w:rPr>
        <w:t>class consciousness is a given</w:t>
      </w:r>
      <w:r w:rsidRPr="00656B2B">
        <w:t>. It is understood.</w:t>
      </w:r>
      <w:r>
        <w:t xml:space="preserve"> They see their secondary status against a higher educated, more politically and economically potent middle class. There was a time in the early to mid</w:t>
      </w:r>
      <w:r w:rsidR="00D235CA">
        <w:t>-</w:t>
      </w:r>
      <w:r>
        <w:t xml:space="preserve">twentieth century when working class culture was present in the media (labor journals and working-class newspapers), entertainment (vaudeville, boxing, carnivals and amusement parks) and politics. Today, the labor movement is emasculated, politicians pay little more than lip service to the working population, the media is largely corporate driven, and the working class rarely appears in movies or television – and, when they do, it is often as parody or buffoonery </w:t>
      </w:r>
      <w:r>
        <w:lastRenderedPageBreak/>
        <w:t>(</w:t>
      </w:r>
      <w:r w:rsidRPr="00222957">
        <w:rPr>
          <w:i/>
          <w:iCs/>
        </w:rPr>
        <w:t>Married with Children, Duck Dynasty, Jerry Springer</w:t>
      </w:r>
      <w:r>
        <w:t>) aimed, at least in part, at a derisive</w:t>
      </w:r>
      <w:r w:rsidR="00134AB5">
        <w:t>, condescending</w:t>
      </w:r>
      <w:r>
        <w:t xml:space="preserve"> middle-class audience. The “working class” is just the ignorant, the rural or uneducated, the unsophisticated and unwashed, the left out and irrelevant. In fact, the term </w:t>
      </w:r>
      <w:r>
        <w:rPr>
          <w:i/>
          <w:iCs/>
        </w:rPr>
        <w:t>working class</w:t>
      </w:r>
      <w:r>
        <w:t xml:space="preserve"> is rarely uttered in the US. Politicians refer to “working Americans,” “average working people,” “hard working middle Americans” and “regular folks” as convenient euphemisms, a practice that can cause real working-class people to feel that they are culturally invisible. </w:t>
      </w:r>
      <w:r w:rsidRPr="00656B2B">
        <w:t xml:space="preserve"> </w:t>
      </w:r>
    </w:p>
    <w:p w14:paraId="3C27A285" w14:textId="77777777" w:rsidR="00B10FA3" w:rsidRPr="00656B2B" w:rsidRDefault="00B10FA3" w:rsidP="0061591A">
      <w:pPr>
        <w:spacing w:line="480" w:lineRule="auto"/>
      </w:pPr>
      <w:r>
        <w:t xml:space="preserve">      </w:t>
      </w:r>
      <w:r w:rsidRPr="00656B2B">
        <w:t xml:space="preserve">Working class people are reminded every day in the United States of their status, however implicitly; that they are merely aspirants – place holders – for the middle class. </w:t>
      </w:r>
      <w:r w:rsidRPr="00656B2B">
        <w:rPr>
          <w:i/>
          <w:iCs/>
        </w:rPr>
        <w:t>It’s where the others want to go.</w:t>
      </w:r>
      <w:r w:rsidRPr="00656B2B">
        <w:t xml:space="preserve"> </w:t>
      </w:r>
      <w:r>
        <w:t xml:space="preserve">Or so it would seem. </w:t>
      </w:r>
      <w:r w:rsidRPr="00656B2B">
        <w:t xml:space="preserve">Their actual reality is disparaged </w:t>
      </w:r>
      <w:r>
        <w:t xml:space="preserve">or ignored </w:t>
      </w:r>
      <w:r w:rsidRPr="00656B2B">
        <w:t>by the culture.</w:t>
      </w:r>
    </w:p>
    <w:p w14:paraId="57928C17" w14:textId="77777777" w:rsidR="00B10FA3" w:rsidRPr="00656B2B" w:rsidRDefault="00B10FA3" w:rsidP="0061591A">
      <w:pPr>
        <w:spacing w:line="480" w:lineRule="auto"/>
      </w:pPr>
      <w:r w:rsidRPr="00656B2B">
        <w:t xml:space="preserve">     The term ‘middle</w:t>
      </w:r>
      <w:r>
        <w:t>-</w:t>
      </w:r>
      <w:r w:rsidRPr="00656B2B">
        <w:t>class’ is a bit of a misnomer; from middle managers to prominent lawyers, many professions and incomes can present themselves as middle class. In much of the 20</w:t>
      </w:r>
      <w:r w:rsidRPr="00656B2B">
        <w:rPr>
          <w:vertAlign w:val="superscript"/>
        </w:rPr>
        <w:t>th</w:t>
      </w:r>
      <w:r w:rsidRPr="00656B2B">
        <w:t xml:space="preserve"> century, the primary distinctions between middle and working class work had to do with autonomy (hourly wage versu</w:t>
      </w:r>
      <w:r>
        <w:t>s salary</w:t>
      </w:r>
      <w:r w:rsidRPr="00656B2B">
        <w:t xml:space="preserve">), nature of work (analytical vs repetitive), </w:t>
      </w:r>
      <w:r>
        <w:t xml:space="preserve">freedom (supervisor vs autonomy of action) </w:t>
      </w:r>
      <w:r w:rsidRPr="00656B2B">
        <w:t xml:space="preserve">and work type (physical vs mental). </w:t>
      </w:r>
    </w:p>
    <w:p w14:paraId="2C152054" w14:textId="13B4D7C6" w:rsidR="00B10FA3" w:rsidRDefault="00B10FA3" w:rsidP="0061591A">
      <w:pPr>
        <w:spacing w:line="480" w:lineRule="auto"/>
      </w:pPr>
      <w:r w:rsidRPr="00656B2B">
        <w:t xml:space="preserve">     Over time, this definition of distinction between middle class and working class has blurred a bit, but it is still fair to say that salaried, analytical, professional work dominates any definition of middle-class status, while working class occupations are more typically constituted as “jobs,” with hourly wages, close supervision, limited benefits, repetitive work, and limited opportunities for significant advancement. It is also fair to assume that, among the expansive middle class in the US, there is little understanding of the nuances separating </w:t>
      </w:r>
      <w:r w:rsidR="00DF5A4E">
        <w:t>the working class</w:t>
      </w:r>
      <w:r w:rsidRPr="00656B2B">
        <w:t xml:space="preserve"> from other classes, save the most destitute. </w:t>
      </w:r>
    </w:p>
    <w:p w14:paraId="4186056A" w14:textId="77777777" w:rsidR="00B10FA3" w:rsidRDefault="00B10FA3" w:rsidP="0061591A">
      <w:pPr>
        <w:spacing w:line="480" w:lineRule="auto"/>
        <w:rPr>
          <w:b/>
          <w:bCs/>
          <w:i/>
          <w:iCs/>
          <w:sz w:val="28"/>
          <w:szCs w:val="28"/>
        </w:rPr>
      </w:pPr>
    </w:p>
    <w:p w14:paraId="4D8A979D" w14:textId="77777777" w:rsidR="00B10FA3" w:rsidRDefault="00B10FA3" w:rsidP="0061591A">
      <w:pPr>
        <w:spacing w:line="480" w:lineRule="auto"/>
        <w:rPr>
          <w:b/>
          <w:bCs/>
          <w:i/>
          <w:iCs/>
          <w:sz w:val="28"/>
          <w:szCs w:val="28"/>
        </w:rPr>
      </w:pPr>
    </w:p>
    <w:p w14:paraId="2A2A243F" w14:textId="77777777" w:rsidR="00DF5A4E" w:rsidRDefault="00DF5A4E" w:rsidP="0061591A">
      <w:pPr>
        <w:spacing w:line="480" w:lineRule="auto"/>
        <w:rPr>
          <w:b/>
          <w:bCs/>
          <w:i/>
          <w:iCs/>
          <w:sz w:val="28"/>
          <w:szCs w:val="28"/>
        </w:rPr>
      </w:pPr>
    </w:p>
    <w:p w14:paraId="514A40E2" w14:textId="77777777" w:rsidR="00DF5A4E" w:rsidRDefault="00DF5A4E" w:rsidP="0061591A">
      <w:pPr>
        <w:spacing w:line="480" w:lineRule="auto"/>
        <w:rPr>
          <w:b/>
          <w:bCs/>
          <w:i/>
          <w:iCs/>
          <w:sz w:val="28"/>
          <w:szCs w:val="28"/>
        </w:rPr>
      </w:pPr>
    </w:p>
    <w:p w14:paraId="58E72F49" w14:textId="2DBD469A" w:rsidR="00B10FA3" w:rsidRPr="001F10B1" w:rsidRDefault="00B10FA3" w:rsidP="0061591A">
      <w:pPr>
        <w:spacing w:line="480" w:lineRule="auto"/>
        <w:rPr>
          <w:b/>
          <w:bCs/>
          <w:i/>
          <w:iCs/>
          <w:sz w:val="28"/>
          <w:szCs w:val="28"/>
        </w:rPr>
      </w:pPr>
      <w:r>
        <w:rPr>
          <w:b/>
          <w:bCs/>
          <w:i/>
          <w:iCs/>
          <w:sz w:val="28"/>
          <w:szCs w:val="28"/>
        </w:rPr>
        <w:t>Co-opting the Workers Since WWII</w:t>
      </w:r>
    </w:p>
    <w:p w14:paraId="380DE7C6" w14:textId="17ED7E0B" w:rsidR="00B10FA3" w:rsidRDefault="00B10FA3" w:rsidP="0061591A">
      <w:pPr>
        <w:spacing w:line="480" w:lineRule="auto"/>
      </w:pPr>
      <w:r w:rsidRPr="00656B2B">
        <w:t xml:space="preserve">     The </w:t>
      </w:r>
      <w:r>
        <w:t xml:space="preserve">1950s </w:t>
      </w:r>
      <w:r w:rsidRPr="00656B2B">
        <w:t>Cold War hysteria about the Soviet Union, Marxism, and International Communism put a huge dent in the American labor movement, and helped to discredit labor-based political and social movements in the US.  Labor was tainted with the “fifth column” of leftist discredit, as a mere prop for the Communist party. Over time, the Democratic Party changed course, choosing to prioritize other issues over organized labor</w:t>
      </w:r>
      <w:r w:rsidR="003D11FE">
        <w:t>;</w:t>
      </w:r>
      <w:r w:rsidRPr="00656B2B">
        <w:t xml:space="preserve"> nascent social causes, such as feminism, the anti</w:t>
      </w:r>
      <w:r w:rsidR="00D235CA">
        <w:t>-</w:t>
      </w:r>
      <w:r w:rsidRPr="00656B2B">
        <w:t>Vietnam movement</w:t>
      </w:r>
      <w:r>
        <w:t xml:space="preserve"> (eventually),</w:t>
      </w:r>
      <w:r w:rsidRPr="00656B2B">
        <w:t xml:space="preserve"> civil rights</w:t>
      </w:r>
      <w:r>
        <w:t xml:space="preserve"> – and more recently LGTBQ.</w:t>
      </w:r>
    </w:p>
    <w:p w14:paraId="0881721F" w14:textId="77777777" w:rsidR="00B10FA3" w:rsidRPr="00656B2B" w:rsidRDefault="00B10FA3" w:rsidP="00A962E2">
      <w:pPr>
        <w:spacing w:line="480" w:lineRule="auto"/>
        <w:ind w:left="-74" w:right="-510" w:hanging="720"/>
      </w:pPr>
      <w:r w:rsidRPr="00656B2B">
        <w:t xml:space="preserve">                    At present, it is worrisome that such a significant portion of the American work force is, essentially, invisible. It seems that, on an economic level, that neither the Democrats nor the Republicans have much interest in working class Americans. Well, let’s temper that. Both parties have an interest in aspects of the working-class experience. Democrats, until recently, were, by and large pro-union. Today, union membership and influence in the US is so sparce that it hardly pays to adopt such a platform, outside of, say, Michigan or West Virginia.</w:t>
      </w:r>
    </w:p>
    <w:p w14:paraId="6903C4E8" w14:textId="77777777" w:rsidR="00B10FA3" w:rsidRPr="00656B2B" w:rsidRDefault="00B10FA3" w:rsidP="0061591A">
      <w:pPr>
        <w:spacing w:line="480" w:lineRule="auto"/>
      </w:pPr>
      <w:r w:rsidRPr="00656B2B">
        <w:t xml:space="preserve">     Republicans have a keen interest in the working class, but it is hardly an interest of fealty, or common cause. Donald Trump was never more honest when he claimed that he “loved un-educated people.” Indeed</w:t>
      </w:r>
      <w:r>
        <w:t>,</w:t>
      </w:r>
      <w:r w:rsidRPr="00656B2B">
        <w:t xml:space="preserve"> he does. High school educated, white, rural, unskilled or lower </w:t>
      </w:r>
      <w:r w:rsidRPr="00656B2B">
        <w:lastRenderedPageBreak/>
        <w:t>skille</w:t>
      </w:r>
      <w:r>
        <w:t>d</w:t>
      </w:r>
      <w:r w:rsidRPr="00656B2B">
        <w:t xml:space="preserve"> workers are among the most vulnerable of Americans in the New Economy. Factory jobs are gone, towns have collapsed, and whatever skill sets that they might have possessed a generation ago are of no use now.  This fits wonderfully into modern Republican strategizing.</w:t>
      </w:r>
    </w:p>
    <w:p w14:paraId="50A5FA95" w14:textId="77777777" w:rsidR="00B10FA3" w:rsidRDefault="00B10FA3" w:rsidP="0061591A">
      <w:pPr>
        <w:spacing w:line="480" w:lineRule="auto"/>
      </w:pPr>
      <w:r w:rsidRPr="00656B2B">
        <w:t xml:space="preserve">     But wait; aren’t Republicans the party of the well to do? Well, sort of. The well</w:t>
      </w:r>
      <w:r>
        <w:t>-</w:t>
      </w:r>
      <w:r w:rsidRPr="00656B2B">
        <w:t>to</w:t>
      </w:r>
      <w:r>
        <w:t>-</w:t>
      </w:r>
      <w:r w:rsidRPr="00656B2B">
        <w:t>do need their henchmen, too. And in this tried</w:t>
      </w:r>
      <w:r>
        <w:t>-</w:t>
      </w:r>
      <w:r w:rsidRPr="00656B2B">
        <w:t>and</w:t>
      </w:r>
      <w:r>
        <w:t>-</w:t>
      </w:r>
      <w:r w:rsidRPr="00656B2B">
        <w:t xml:space="preserve">true scheme, political stooges push the buttons and stoke the insecurities of the white working class. In a modern economy in which opportunities for economic and social gain are all but fictions, working class people have enormous deposits of despair, fear, angst, resentment and, of course, anger. This is where the stiff shirt Republicans waltz in. Though they offer exactly zilch to help their working-class supporters, they offer them something more, something irresistible, if invisible, to a struggling person, family or community. </w:t>
      </w:r>
    </w:p>
    <w:p w14:paraId="0A8AFB1A" w14:textId="77777777" w:rsidR="00B10FA3" w:rsidRPr="00656B2B" w:rsidRDefault="00B10FA3" w:rsidP="0061591A">
      <w:pPr>
        <w:spacing w:line="480" w:lineRule="auto"/>
      </w:pPr>
      <w:r>
        <w:t xml:space="preserve">     Most importantly, they </w:t>
      </w:r>
      <w:r w:rsidRPr="00656B2B">
        <w:t xml:space="preserve">offer </w:t>
      </w:r>
      <w:r w:rsidRPr="00656B2B">
        <w:rPr>
          <w:i/>
          <w:iCs/>
        </w:rPr>
        <w:t>meaning and membership.</w:t>
      </w:r>
      <w:r w:rsidRPr="00656B2B">
        <w:t xml:space="preserve"> They explain that, outside of any personal, social or other responsibility, that one’s poor circumstances are the result of a force </w:t>
      </w:r>
      <w:r w:rsidRPr="000B0E38">
        <w:rPr>
          <w:i/>
          <w:iCs/>
        </w:rPr>
        <w:t>outside of themselves</w:t>
      </w:r>
      <w:r w:rsidRPr="00656B2B">
        <w:t xml:space="preserve">. Now, depending on circumstances, this “other” force can be of many forms: racial, gender, sexual preference, nationality, ethnic group, religion or other. The whole point, after all, is </w:t>
      </w:r>
      <w:r w:rsidRPr="00656B2B">
        <w:rPr>
          <w:i/>
          <w:iCs/>
        </w:rPr>
        <w:t xml:space="preserve">otherness. </w:t>
      </w:r>
      <w:r w:rsidRPr="00656B2B">
        <w:t>If one accepts this construct, they gain access to an in-group that will continue to mirror their grievances.</w:t>
      </w:r>
      <w:r>
        <w:t xml:space="preserve"> Recent academic work has shown, somewhat ironically, that, within rural America, the more homogeneous the population, the stronger the reaction to perceived outside threats. This was also found to be true in the wake of the Brexit movement, when the UK left the European Union. British towns with the highest concentration of white, British residents tended to be the most anti-immigrant in their politics and voting.</w:t>
      </w:r>
    </w:p>
    <w:p w14:paraId="10CFC72D" w14:textId="607F3297" w:rsidR="00B10FA3" w:rsidRDefault="00B10FA3" w:rsidP="00E919E8">
      <w:pPr>
        <w:spacing w:line="480" w:lineRule="auto"/>
        <w:ind w:left="-74" w:right="-510" w:hanging="720"/>
      </w:pPr>
      <w:r w:rsidRPr="00656B2B">
        <w:lastRenderedPageBreak/>
        <w:t xml:space="preserve">                     In the end, the working class became a pawn for cynical politicians, who played on status insecurities, using racial, gender and social and sexual tropes to ensure that a threatened and vulnerable element of American culture remained permanently insecure and frightened. To put that in layman’s terms:</w:t>
      </w:r>
      <w:r w:rsidRPr="00D92BA2">
        <w:rPr>
          <w:b/>
          <w:bCs/>
        </w:rPr>
        <w:t xml:space="preserve"> Fact 1</w:t>
      </w:r>
      <w:r w:rsidRPr="00656B2B">
        <w:t xml:space="preserve">. Taxes help to pay for social services that are perceived as benefitting underclass groups. </w:t>
      </w:r>
      <w:r w:rsidRPr="00D92BA2">
        <w:rPr>
          <w:b/>
          <w:bCs/>
        </w:rPr>
        <w:t>Fact II.</w:t>
      </w:r>
      <w:r w:rsidRPr="00656B2B">
        <w:t xml:space="preserve"> The well to do wish to reduce their tax burden, but cannot marshal enough support among working and middle</w:t>
      </w:r>
      <w:r>
        <w:t>-</w:t>
      </w:r>
      <w:r w:rsidRPr="00656B2B">
        <w:t xml:space="preserve">class groups to achieve their goals. </w:t>
      </w:r>
      <w:r w:rsidRPr="00D92BA2">
        <w:rPr>
          <w:b/>
          <w:bCs/>
        </w:rPr>
        <w:t>Fact III</w:t>
      </w:r>
      <w:r w:rsidRPr="00656B2B">
        <w:t xml:space="preserve">. A tax reduction for the well to do can only be politically viable </w:t>
      </w:r>
      <w:r w:rsidR="00352718">
        <w:t>a</w:t>
      </w:r>
      <w:r w:rsidRPr="00656B2B">
        <w:t xml:space="preserve">s accompanied by a reduction of spending. </w:t>
      </w:r>
      <w:r w:rsidRPr="00D359B5">
        <w:rPr>
          <w:b/>
          <w:bCs/>
        </w:rPr>
        <w:t>Fact IV</w:t>
      </w:r>
      <w:r w:rsidRPr="00656B2B">
        <w:t xml:space="preserve">. The well to do know that economically insecure white groupings within the middle and working classes are generally pro-social services (such as WIC, food stamps and Medicaid and Medicare) but are also </w:t>
      </w:r>
      <w:r w:rsidRPr="00D359B5">
        <w:rPr>
          <w:i/>
          <w:iCs/>
        </w:rPr>
        <w:t>wary of being left behind</w:t>
      </w:r>
      <w:r w:rsidRPr="00656B2B">
        <w:t xml:space="preserve"> to other “less deserving” groups</w:t>
      </w:r>
      <w:r>
        <w:t xml:space="preserve">, who might scoop up all of their government benefits. </w:t>
      </w:r>
      <w:r w:rsidRPr="00656B2B">
        <w:t xml:space="preserve"> </w:t>
      </w:r>
      <w:r w:rsidRPr="00D359B5">
        <w:rPr>
          <w:b/>
          <w:bCs/>
        </w:rPr>
        <w:t>Strategy I</w:t>
      </w:r>
      <w:r w:rsidRPr="00656B2B">
        <w:t xml:space="preserve">: Cast the entire construct of social services as “wasteful” and “inefficient giveaways,” perhaps better eliminated or reformed along market lines. </w:t>
      </w:r>
      <w:r w:rsidRPr="00D359B5">
        <w:rPr>
          <w:b/>
          <w:bCs/>
        </w:rPr>
        <w:t>Strategy II:</w:t>
      </w:r>
      <w:r w:rsidRPr="00656B2B">
        <w:t xml:space="preserve"> Portray the beneficiaries of social services as “undeserving,” “lazy” and “manipulative,” knowing full well that one is conjuring up old </w:t>
      </w:r>
      <w:r w:rsidRPr="002E675A">
        <w:rPr>
          <w:i/>
          <w:iCs/>
        </w:rPr>
        <w:t>racial stereotypes</w:t>
      </w:r>
      <w:r w:rsidRPr="00656B2B">
        <w:t xml:space="preserve">, in the interest of scaring the white working classes into stampeding towards free market schemes of upward redistribution that will negatively impact those very whites who are corralled into to supporting it. </w:t>
      </w:r>
    </w:p>
    <w:p w14:paraId="0E18BBB4" w14:textId="77777777" w:rsidR="00B10FA3" w:rsidRPr="00656B2B" w:rsidRDefault="00B10FA3" w:rsidP="006C6BC7">
      <w:pPr>
        <w:spacing w:line="480" w:lineRule="auto"/>
        <w:ind w:left="-74" w:right="-510"/>
      </w:pPr>
      <w:r>
        <w:t xml:space="preserve">     </w:t>
      </w:r>
      <w:r w:rsidRPr="00656B2B">
        <w:t>Throw in a few thinly veiled anecdotes of ‘welfare queens’ and ‘irresponsible fathers’ and the circle is complete. This tactic has been used successfully, if successively more subtly by rightest forces in the US for decades, and continues, in varying forms, to bear fruit.</w:t>
      </w:r>
      <w:r w:rsidRPr="00656B2B">
        <w:rPr>
          <w:rStyle w:val="FootnoteReference"/>
        </w:rPr>
        <w:footnoteReference w:id="6"/>
      </w:r>
    </w:p>
    <w:p w14:paraId="65E59E43" w14:textId="77777777" w:rsidR="00B10FA3" w:rsidRPr="00656B2B" w:rsidRDefault="00B10FA3" w:rsidP="0061591A">
      <w:pPr>
        <w:spacing w:line="480" w:lineRule="auto"/>
      </w:pPr>
      <w:r w:rsidRPr="00656B2B">
        <w:rPr>
          <w:i/>
          <w:iCs/>
        </w:rPr>
        <w:lastRenderedPageBreak/>
        <w:t xml:space="preserve">    </w:t>
      </w:r>
      <w:r w:rsidRPr="00656B2B">
        <w:t xml:space="preserve">Nothing about this phenomenon is new in US, or for that matter, other countries political history. After all, one can vote </w:t>
      </w:r>
      <w:r w:rsidRPr="00656B2B">
        <w:rPr>
          <w:i/>
          <w:iCs/>
        </w:rPr>
        <w:t>for</w:t>
      </w:r>
      <w:r w:rsidRPr="00656B2B">
        <w:t xml:space="preserve"> someone, but one can just as easily vote </w:t>
      </w:r>
      <w:r w:rsidRPr="00656B2B">
        <w:rPr>
          <w:i/>
          <w:iCs/>
        </w:rPr>
        <w:t>against</w:t>
      </w:r>
      <w:r w:rsidRPr="00656B2B">
        <w:t xml:space="preserve"> someone; these are two sides of the same political game. More about that later.</w:t>
      </w:r>
    </w:p>
    <w:p w14:paraId="7EF2BD6C" w14:textId="77777777" w:rsidR="00B10FA3" w:rsidRPr="00D92BA2" w:rsidRDefault="00B10FA3" w:rsidP="0061591A">
      <w:pPr>
        <w:spacing w:line="480" w:lineRule="auto"/>
        <w:rPr>
          <w:b/>
          <w:bCs/>
          <w:i/>
          <w:iCs/>
          <w:sz w:val="28"/>
          <w:szCs w:val="28"/>
        </w:rPr>
      </w:pPr>
      <w:r w:rsidRPr="00D92BA2">
        <w:rPr>
          <w:b/>
          <w:bCs/>
          <w:i/>
          <w:iCs/>
          <w:sz w:val="28"/>
          <w:szCs w:val="28"/>
        </w:rPr>
        <w:t>Race</w:t>
      </w:r>
    </w:p>
    <w:p w14:paraId="4159CCC0" w14:textId="77777777" w:rsidR="00B10FA3" w:rsidRPr="00656B2B" w:rsidRDefault="00B10FA3" w:rsidP="0061591A">
      <w:pPr>
        <w:spacing w:line="480" w:lineRule="auto"/>
      </w:pPr>
      <w:r w:rsidRPr="00656B2B">
        <w:t xml:space="preserve">     A good friend of mine, from Liberty</w:t>
      </w:r>
      <w:r>
        <w:t>,</w:t>
      </w:r>
      <w:r w:rsidRPr="00656B2B">
        <w:t xml:space="preserve"> Mississippi, once explained race relations in </w:t>
      </w:r>
      <w:r>
        <w:t>America</w:t>
      </w:r>
      <w:r w:rsidRPr="00656B2B">
        <w:t xml:space="preserve"> to me, saying that “Northerners like black people as a group, but not as individuals. Most of them probably don’t even know a black person. </w:t>
      </w:r>
      <w:r>
        <w:t xml:space="preserve">Conversely, </w:t>
      </w:r>
      <w:r w:rsidRPr="00656B2B">
        <w:t xml:space="preserve">Southerners like black people as individuals, </w:t>
      </w:r>
      <w:r>
        <w:t xml:space="preserve">as they live close to them, </w:t>
      </w:r>
      <w:r w:rsidRPr="00BC0FFB">
        <w:rPr>
          <w:i/>
          <w:iCs/>
        </w:rPr>
        <w:t>but not as a group</w:t>
      </w:r>
      <w:r w:rsidRPr="00656B2B">
        <w:t>.</w:t>
      </w:r>
      <w:r>
        <w:t>”</w:t>
      </w:r>
      <w:r w:rsidRPr="00656B2B">
        <w:t xml:space="preserve"> </w:t>
      </w:r>
      <w:r w:rsidRPr="00656B2B">
        <w:rPr>
          <w:i/>
          <w:iCs/>
        </w:rPr>
        <w:t xml:space="preserve"> </w:t>
      </w:r>
      <w:r>
        <w:t>Southerners</w:t>
      </w:r>
      <w:r w:rsidRPr="00656B2B">
        <w:t xml:space="preserve"> typically have several black friends, having grown up in closer proximity than northerners would typically experience</w:t>
      </w:r>
      <w:r>
        <w:t>.</w:t>
      </w:r>
      <w:r w:rsidRPr="00656B2B">
        <w:t xml:space="preserve"> (It is helpful to remember that MLK once described Chicago as the most racist place that he had ever visited in America</w:t>
      </w:r>
      <w:r>
        <w:t>.</w:t>
      </w:r>
      <w:r w:rsidRPr="00656B2B">
        <w:t xml:space="preserve">) But </w:t>
      </w:r>
      <w:r>
        <w:t>Southerners</w:t>
      </w:r>
      <w:r w:rsidRPr="00656B2B">
        <w:t xml:space="preserve"> remember the cultural tumult from the 1960s, the deeper scars from the 19</w:t>
      </w:r>
      <w:r w:rsidRPr="00656B2B">
        <w:rPr>
          <w:vertAlign w:val="superscript"/>
        </w:rPr>
        <w:t>th</w:t>
      </w:r>
      <w:r w:rsidRPr="00656B2B">
        <w:t xml:space="preserve"> century</w:t>
      </w:r>
      <w:r>
        <w:t>, and the cultural humiliation of loss and of having been dominated and forcefully molded by what they considered to be an outside, foreign power.</w:t>
      </w:r>
    </w:p>
    <w:p w14:paraId="2D10A69C" w14:textId="77777777" w:rsidR="00B10FA3" w:rsidRPr="00656B2B" w:rsidRDefault="00B10FA3" w:rsidP="0061591A">
      <w:pPr>
        <w:spacing w:line="480" w:lineRule="auto"/>
      </w:pPr>
      <w:r w:rsidRPr="00656B2B">
        <w:t xml:space="preserve">    Both racism and racialism exist in all cultures, and the US is no exception. What is curious about American cultural race consciousness, perhaps, is the definitional confusion that often arises between </w:t>
      </w:r>
      <w:r w:rsidRPr="00656B2B">
        <w:rPr>
          <w:i/>
          <w:iCs/>
        </w:rPr>
        <w:t>race</w:t>
      </w:r>
      <w:r w:rsidRPr="00656B2B">
        <w:t xml:space="preserve"> and </w:t>
      </w:r>
      <w:r w:rsidRPr="00656B2B">
        <w:rPr>
          <w:i/>
          <w:iCs/>
        </w:rPr>
        <w:t>class</w:t>
      </w:r>
      <w:r w:rsidRPr="00656B2B">
        <w:t xml:space="preserve">. Imbedded deep in the American white psyche are two </w:t>
      </w:r>
      <w:r>
        <w:t xml:space="preserve">negative </w:t>
      </w:r>
      <w:r w:rsidRPr="00656B2B">
        <w:t xml:space="preserve">myths about race: First, black people are either lazy or dangerous. Second, black people </w:t>
      </w:r>
      <w:r w:rsidRPr="00656B2B">
        <w:rPr>
          <w:i/>
          <w:iCs/>
        </w:rPr>
        <w:t>are, by definition,</w:t>
      </w:r>
      <w:r w:rsidRPr="00656B2B">
        <w:t xml:space="preserve"> poor or needy.</w:t>
      </w:r>
    </w:p>
    <w:p w14:paraId="72D485BC" w14:textId="624A39F7" w:rsidR="00B10FA3" w:rsidRDefault="00B10FA3" w:rsidP="0061591A">
      <w:pPr>
        <w:spacing w:line="480" w:lineRule="auto"/>
      </w:pPr>
      <w:r w:rsidRPr="00656B2B">
        <w:lastRenderedPageBreak/>
        <w:t xml:space="preserve">    The fact that </w:t>
      </w:r>
      <w:r>
        <w:t xml:space="preserve">nearly </w:t>
      </w:r>
      <w:r w:rsidRPr="00656B2B">
        <w:t xml:space="preserve">half of the prisoners in the US are black only furthers </w:t>
      </w:r>
      <w:r w:rsidR="00727E27">
        <w:t xml:space="preserve">and reinforces </w:t>
      </w:r>
      <w:r w:rsidRPr="00656B2B">
        <w:t xml:space="preserve">such beliefs, as does the disproportionate government assistance meted out to families of color. Black Americans are typically portrayed in the media </w:t>
      </w:r>
      <w:r w:rsidRPr="00656B2B">
        <w:rPr>
          <w:i/>
          <w:iCs/>
        </w:rPr>
        <w:t>only</w:t>
      </w:r>
      <w:r w:rsidRPr="00656B2B">
        <w:t xml:space="preserve"> as a racial group. In a society without a modern race-based slave history – say, Slovakia</w:t>
      </w:r>
      <w:r w:rsidR="00156A2E">
        <w:t xml:space="preserve"> or Denmark</w:t>
      </w:r>
      <w:r w:rsidRPr="00656B2B">
        <w:t>, such an argument might make some sense. But given the deep ties between race, slavery, economics</w:t>
      </w:r>
      <w:r>
        <w:t>, prejudice</w:t>
      </w:r>
      <w:r w:rsidRPr="00656B2B">
        <w:t xml:space="preserve"> and politics in the US, the issue is, at best more muddled.</w:t>
      </w:r>
    </w:p>
    <w:p w14:paraId="5E1B800C" w14:textId="77777777" w:rsidR="00B10FA3" w:rsidRPr="00656B2B" w:rsidRDefault="00B10FA3" w:rsidP="0061591A">
      <w:pPr>
        <w:spacing w:line="480" w:lineRule="auto"/>
      </w:pPr>
    </w:p>
    <w:p w14:paraId="600C24D9" w14:textId="77777777" w:rsidR="00B10FA3" w:rsidRPr="00D92BA2" w:rsidRDefault="00B10FA3" w:rsidP="0061591A">
      <w:pPr>
        <w:spacing w:line="480" w:lineRule="auto"/>
        <w:rPr>
          <w:b/>
          <w:bCs/>
          <w:i/>
          <w:iCs/>
          <w:sz w:val="28"/>
          <w:szCs w:val="28"/>
        </w:rPr>
      </w:pPr>
      <w:r w:rsidRPr="00D92BA2">
        <w:rPr>
          <w:b/>
          <w:bCs/>
          <w:i/>
          <w:iCs/>
          <w:sz w:val="28"/>
          <w:szCs w:val="28"/>
        </w:rPr>
        <w:t>Gender</w:t>
      </w:r>
    </w:p>
    <w:p w14:paraId="4CEE8687" w14:textId="77777777" w:rsidR="00B10FA3" w:rsidRDefault="00B10FA3" w:rsidP="0061591A">
      <w:pPr>
        <w:spacing w:line="480" w:lineRule="auto"/>
      </w:pPr>
      <w:r w:rsidRPr="00656B2B">
        <w:t xml:space="preserve">     Far be it from me to wander into the</w:t>
      </w:r>
      <w:r>
        <w:t xml:space="preserve"> maelstrom</w:t>
      </w:r>
      <w:r w:rsidRPr="00656B2B">
        <w:t xml:space="preserve"> of feminism, circa 202</w:t>
      </w:r>
      <w:r>
        <w:t>5</w:t>
      </w:r>
      <w:r w:rsidRPr="00656B2B">
        <w:t>. After all, I left the US in 1997, and, though I was a full</w:t>
      </w:r>
      <w:r>
        <w:t>-</w:t>
      </w:r>
      <w:r w:rsidRPr="00656B2B">
        <w:t>throated supporter of women</w:t>
      </w:r>
      <w:r>
        <w:t>’s</w:t>
      </w:r>
      <w:r w:rsidRPr="00656B2B">
        <w:t xml:space="preserve"> </w:t>
      </w:r>
      <w:r>
        <w:t>equality since I was a kid</w:t>
      </w:r>
      <w:r w:rsidRPr="00656B2B">
        <w:t xml:space="preserve">, I recall the </w:t>
      </w:r>
      <w:r>
        <w:t xml:space="preserve">multifarious, often arcane, </w:t>
      </w:r>
      <w:r w:rsidRPr="00656B2B">
        <w:t>o</w:t>
      </w:r>
      <w:r>
        <w:t>ccasionally</w:t>
      </w:r>
      <w:r w:rsidRPr="00656B2B">
        <w:t xml:space="preserve"> dark, adversarial theoretical tableaus of the anti-male variety</w:t>
      </w:r>
      <w:r>
        <w:t xml:space="preserve"> that had carved out space in feminist circles.</w:t>
      </w:r>
      <w:r w:rsidRPr="00656B2B">
        <w:t xml:space="preserve"> Having been brought up with the pioneering feminism of Betty Friedan, Gloria Steinem (the sister of my childhood neighbor) and Bela Abzug, I always had a very positive conception of the merit of enhancing women’s rights universally.</w:t>
      </w:r>
    </w:p>
    <w:p w14:paraId="75ABBFE2" w14:textId="77777777" w:rsidR="00B10FA3" w:rsidRPr="00656B2B" w:rsidRDefault="00B10FA3" w:rsidP="0061591A">
      <w:pPr>
        <w:spacing w:line="480" w:lineRule="auto"/>
      </w:pPr>
      <w:r>
        <w:t xml:space="preserve">     </w:t>
      </w:r>
      <w:r w:rsidRPr="00656B2B">
        <w:t xml:space="preserve"> I’ve lived in Europe since the</w:t>
      </w:r>
      <w:r>
        <w:t xml:space="preserve"> early</w:t>
      </w:r>
      <w:r w:rsidRPr="00656B2B">
        <w:t xml:space="preserve"> 90s, and, to be honest – regardless of where one looks in Europe – with the possible exception of Britain – cultural antagonism between genders is not readily visible, except perhaps in certain more militant circles. </w:t>
      </w:r>
    </w:p>
    <w:p w14:paraId="58ED2EF2" w14:textId="699D83CB" w:rsidR="00B10FA3" w:rsidRPr="00656B2B" w:rsidRDefault="00B10FA3" w:rsidP="0061591A">
      <w:pPr>
        <w:spacing w:line="480" w:lineRule="auto"/>
      </w:pPr>
      <w:r w:rsidRPr="00656B2B">
        <w:t xml:space="preserve">     That isn’t to say that there aren’t issues – some of the most radical feminist theory from Simon de Beauvoir to the present has come from France – but ideological obsession, moralism, </w:t>
      </w:r>
      <w:r>
        <w:t>and rigid adherence to an anti-male agenda</w:t>
      </w:r>
      <w:r w:rsidRPr="00656B2B">
        <w:t xml:space="preserve"> is not, typically</w:t>
      </w:r>
      <w:r>
        <w:t xml:space="preserve"> a default category of feminism </w:t>
      </w:r>
      <w:r w:rsidRPr="00656B2B">
        <w:t xml:space="preserve">in Europe.  The Dutch are illustrative: by and large, Dutch women simply assume </w:t>
      </w:r>
      <w:r w:rsidRPr="00656B2B">
        <w:lastRenderedPageBreak/>
        <w:t xml:space="preserve">equality with men, and carry themselves as such. To treat them otherwise is not so much a matter for the </w:t>
      </w:r>
      <w:r>
        <w:t>PC</w:t>
      </w:r>
      <w:r w:rsidRPr="00656B2B">
        <w:t xml:space="preserve"> police, but, rather, a social faux pas. It just isn’t done. </w:t>
      </w:r>
      <w:r>
        <w:t>Czech women are similar. A man may act as a sexist, but he isn’t getting anywhere with a nation of women who essentially grew up supporting the economic backbone of the country, especially after the Soviet invasion of 1968</w:t>
      </w:r>
      <w:r w:rsidR="00E96A5A">
        <w:t>, when much of the male population simply checked out.</w:t>
      </w:r>
      <w:r>
        <w:t xml:space="preserve"> No one needs to tell them about their rights. They assume them, and aren’t backing down for anyone. European women are, by and large, realistic, pragmatic and tough.</w:t>
      </w:r>
    </w:p>
    <w:p w14:paraId="1E2EDED8" w14:textId="0982D785" w:rsidR="00B10FA3" w:rsidRPr="00656B2B" w:rsidRDefault="00B10FA3" w:rsidP="0061591A">
      <w:pPr>
        <w:spacing w:line="480" w:lineRule="auto"/>
      </w:pPr>
      <w:r w:rsidRPr="00656B2B">
        <w:t xml:space="preserve">     I would say two things about gender relations in contemporary America, two things that relate to the main themes of this book.  One is that, for over </w:t>
      </w:r>
      <w:r>
        <w:t>four</w:t>
      </w:r>
      <w:r w:rsidRPr="00656B2B">
        <w:t xml:space="preserve"> decades, the culture has been celebrating the rise of the woman with empowering laws, parades, social media, celebrity fanfare and well</w:t>
      </w:r>
      <w:r w:rsidR="003B5B6F">
        <w:t xml:space="preserve"> </w:t>
      </w:r>
      <w:r>
        <w:t>-</w:t>
      </w:r>
      <w:r w:rsidRPr="00656B2B">
        <w:t xml:space="preserve"> connected celebrity.  The issues of abortion, birth control, equality of wage, sexual harassment and assault, child care, and many others have played a prominent role in our social and political culture. And they have been for good purposes, make no mistake of it. But it has come at a price, one that, until somewhat recently, was scarcely visible.</w:t>
      </w:r>
      <w:r>
        <w:t xml:space="preserve"> Why? Read on.</w:t>
      </w:r>
    </w:p>
    <w:p w14:paraId="0727D1A6" w14:textId="77777777" w:rsidR="00B10FA3" w:rsidRDefault="00B10FA3" w:rsidP="0061591A">
      <w:pPr>
        <w:spacing w:line="480" w:lineRule="auto"/>
        <w:rPr>
          <w:b/>
          <w:bCs/>
        </w:rPr>
      </w:pPr>
    </w:p>
    <w:p w14:paraId="1DA2843B" w14:textId="77777777" w:rsidR="00B10FA3" w:rsidRPr="00EB65EC" w:rsidRDefault="00B10FA3" w:rsidP="0061591A">
      <w:pPr>
        <w:spacing w:line="480" w:lineRule="auto"/>
        <w:rPr>
          <w:b/>
          <w:bCs/>
          <w:sz w:val="28"/>
          <w:szCs w:val="28"/>
        </w:rPr>
      </w:pPr>
      <w:r w:rsidRPr="00EB65EC">
        <w:rPr>
          <w:b/>
          <w:bCs/>
          <w:sz w:val="28"/>
          <w:szCs w:val="28"/>
        </w:rPr>
        <w:t>Backlash</w:t>
      </w:r>
    </w:p>
    <w:p w14:paraId="7EB78460" w14:textId="676EBDB9" w:rsidR="00B10FA3" w:rsidRDefault="00B10FA3" w:rsidP="0061591A">
      <w:pPr>
        <w:spacing w:line="480" w:lineRule="auto"/>
      </w:pPr>
      <w:r w:rsidRPr="00656B2B">
        <w:t xml:space="preserve">     Rush Limbaugh. Tucker Carlson. Steve Bannon. Ste</w:t>
      </w:r>
      <w:r w:rsidR="00E96A5A">
        <w:t>ph</w:t>
      </w:r>
      <w:r w:rsidRPr="00656B2B">
        <w:t xml:space="preserve">en Miller. Alex Jones. </w:t>
      </w:r>
      <w:r>
        <w:t xml:space="preserve">Sebastian Gorka. </w:t>
      </w:r>
      <w:r w:rsidRPr="00656B2B">
        <w:t xml:space="preserve">These, and many, many more, are the poster children for white male backlash. Think about it; </w:t>
      </w:r>
      <w:r>
        <w:t xml:space="preserve">from the perspective of the American white male, in recent years </w:t>
      </w:r>
      <w:r w:rsidRPr="00656B2B">
        <w:t>black men had their “Million Man March,” women, both black and white, have Oprah</w:t>
      </w:r>
      <w:r>
        <w:t>, Hillary, Michelle Obama</w:t>
      </w:r>
      <w:r w:rsidRPr="00656B2B">
        <w:t xml:space="preserve"> and endless ‘celebratory’ media events. The</w:t>
      </w:r>
      <w:r>
        <w:t xml:space="preserve">re was the </w:t>
      </w:r>
      <w:r w:rsidRPr="00656B2B">
        <w:t xml:space="preserve">MeToo movement. Harvey Weinstein. </w:t>
      </w:r>
      <w:r>
        <w:t xml:space="preserve">Jeffrey Epstein. </w:t>
      </w:r>
      <w:r w:rsidRPr="00656B2B">
        <w:t xml:space="preserve">Black Lives Matter. LGBQT. Bill Cosby. Kevin Spacey. Kamela Harris. </w:t>
      </w:r>
      <w:r w:rsidRPr="00656B2B">
        <w:lastRenderedPageBreak/>
        <w:t xml:space="preserve">What’s missing from the focus of all of this excitement? </w:t>
      </w:r>
      <w:r>
        <w:t xml:space="preserve">Well, amidst all of the furor, there isn’t much celebration, much less acknowledgement of, </w:t>
      </w:r>
      <w:r w:rsidRPr="00E710A1">
        <w:rPr>
          <w:i/>
          <w:iCs/>
        </w:rPr>
        <w:t>white men</w:t>
      </w:r>
      <w:r>
        <w:t>.</w:t>
      </w:r>
      <w:r w:rsidRPr="00656B2B">
        <w:t xml:space="preserve">  </w:t>
      </w:r>
    </w:p>
    <w:p w14:paraId="615E58E0" w14:textId="77777777" w:rsidR="00B10FA3" w:rsidRDefault="00B10FA3" w:rsidP="0061591A">
      <w:pPr>
        <w:spacing w:line="480" w:lineRule="auto"/>
      </w:pPr>
      <w:r>
        <w:t xml:space="preserve">     In fact, </w:t>
      </w:r>
      <w:r w:rsidRPr="00656B2B">
        <w:t>white men are the focus</w:t>
      </w:r>
      <w:r>
        <w:t xml:space="preserve"> of contemporary events</w:t>
      </w:r>
      <w:r w:rsidRPr="00656B2B">
        <w:t xml:space="preserve">, in a sense; they represent the protagonists - the perpetrators of many of the wrongs fought by these movements. </w:t>
      </w:r>
      <w:r>
        <w:t xml:space="preserve">They are the racists, the sexists, the Patriarchy, the LGBTQ intolerant, the violent. The problem. </w:t>
      </w:r>
      <w:r w:rsidRPr="00656B2B">
        <w:t xml:space="preserve">White men – as a specifically identified cohort, are not invited to the celebratory party. And they know it. </w:t>
      </w:r>
    </w:p>
    <w:p w14:paraId="7B8468E8" w14:textId="77777777" w:rsidR="00B10FA3" w:rsidRDefault="00B10FA3" w:rsidP="0061591A">
      <w:pPr>
        <w:spacing w:line="480" w:lineRule="auto"/>
      </w:pPr>
      <w:r>
        <w:t xml:space="preserve">     </w:t>
      </w:r>
      <w:r w:rsidRPr="00656B2B">
        <w:t>Some of them - typically the economically comfortable and secure</w:t>
      </w:r>
      <w:r>
        <w:t xml:space="preserve"> whites -</w:t>
      </w:r>
      <w:r w:rsidRPr="00656B2B">
        <w:t xml:space="preserve"> </w:t>
      </w:r>
      <w:r>
        <w:t xml:space="preserve">the gated community - </w:t>
      </w:r>
      <w:r w:rsidRPr="00656B2B">
        <w:t xml:space="preserve">revel in the successes of other gender and racial groups, but many ‘ordinary white working stiffs’ see nothing but social and economic </w:t>
      </w:r>
      <w:r>
        <w:t>stagnation, along with a sense that new competitors have entered into the marketplace, prioritized by a new set of rules. T</w:t>
      </w:r>
      <w:r w:rsidRPr="00656B2B">
        <w:t>hey see ‘line jumpers’ from within and without of the US</w:t>
      </w:r>
      <w:r>
        <w:t>; they perceive</w:t>
      </w:r>
      <w:r w:rsidRPr="00656B2B">
        <w:t xml:space="preserve"> T</w:t>
      </w:r>
      <w:r>
        <w:t>he</w:t>
      </w:r>
      <w:r w:rsidRPr="00656B2B">
        <w:t xml:space="preserve"> O</w:t>
      </w:r>
      <w:r>
        <w:t>ther</w:t>
      </w:r>
      <w:r w:rsidRPr="00656B2B">
        <w:t xml:space="preserve">, writ large. Even </w:t>
      </w:r>
      <w:r>
        <w:t xml:space="preserve">some traditionally minded </w:t>
      </w:r>
      <w:r w:rsidRPr="00656B2B">
        <w:t xml:space="preserve">white women identify with white male status loss, insofar as it affects their sense of </w:t>
      </w:r>
      <w:r>
        <w:t xml:space="preserve">historic </w:t>
      </w:r>
      <w:r w:rsidRPr="00656B2B">
        <w:t>gender roles and obligations.</w:t>
      </w:r>
    </w:p>
    <w:p w14:paraId="1678DAD9" w14:textId="77777777" w:rsidR="00A61909" w:rsidRDefault="00A61909" w:rsidP="0061591A">
      <w:pPr>
        <w:spacing w:line="480" w:lineRule="auto"/>
      </w:pPr>
    </w:p>
    <w:p w14:paraId="0248B2D4" w14:textId="77777777" w:rsidR="00B10FA3" w:rsidRDefault="00B10FA3" w:rsidP="0061591A">
      <w:pPr>
        <w:spacing w:line="480" w:lineRule="auto"/>
        <w:rPr>
          <w:b/>
          <w:bCs/>
          <w:i/>
          <w:iCs/>
          <w:sz w:val="28"/>
          <w:szCs w:val="28"/>
        </w:rPr>
      </w:pPr>
      <w:r w:rsidRPr="00E919E8">
        <w:rPr>
          <w:b/>
          <w:bCs/>
          <w:i/>
          <w:iCs/>
          <w:sz w:val="28"/>
          <w:szCs w:val="28"/>
        </w:rPr>
        <w:t>Changing Demographics</w:t>
      </w:r>
    </w:p>
    <w:p w14:paraId="3A01336D" w14:textId="77777777" w:rsidR="00B10FA3" w:rsidRDefault="00B10FA3" w:rsidP="0061591A">
      <w:pPr>
        <w:spacing w:line="480" w:lineRule="auto"/>
      </w:pPr>
      <w:r>
        <w:t xml:space="preserve">     So, what is driving the discontent, the radicalization – particularly from the right – in the United States? Let’s take a look at demographic data between 1980 and 2022 to see if it can shed some light on the issue. (1980, incidentally, is not a particularly significant starting point, as many festering resentments based on demographic data far precede 1980. But we will use it as a starting point.)</w:t>
      </w:r>
    </w:p>
    <w:p w14:paraId="5B1EB038" w14:textId="77777777" w:rsidR="00B10FA3" w:rsidRDefault="00B10FA3" w:rsidP="0061591A">
      <w:pPr>
        <w:spacing w:line="480" w:lineRule="auto"/>
      </w:pPr>
      <w:r>
        <w:lastRenderedPageBreak/>
        <w:t xml:space="preserve">     In 1980, the population of the US was approximately 227 million people. By 2022, the population had grown to over 333 million. During that time, the greatest migration of people within the US headed to the Southwest, particularly Texas, while the greatest loss of population happened in West Virginia.</w:t>
      </w:r>
      <w:r>
        <w:rPr>
          <w:rStyle w:val="FootnoteReference"/>
        </w:rPr>
        <w:footnoteReference w:id="7"/>
      </w:r>
    </w:p>
    <w:p w14:paraId="435B3A19" w14:textId="77777777" w:rsidR="00B10FA3" w:rsidRDefault="00B10FA3" w:rsidP="0061591A">
      <w:pPr>
        <w:spacing w:line="480" w:lineRule="auto"/>
      </w:pPr>
      <w:r>
        <w:t xml:space="preserve">     Who lives in the US? In 1980, whites comprised nearly 86 percent of the population. African Americans made up 11.8% and other minority groups accounted for less than 3%. By 2022, African Americans made up 13.6% of the general population, and other minorities, such as Hispanic and Asians comprised 11.3%.</w:t>
      </w:r>
      <w:r>
        <w:rPr>
          <w:rStyle w:val="FootnoteReference"/>
        </w:rPr>
        <w:footnoteReference w:id="8"/>
      </w:r>
    </w:p>
    <w:p w14:paraId="1DD09E30" w14:textId="69767BAE" w:rsidR="00B10FA3" w:rsidRPr="00AD5449" w:rsidRDefault="00E96A5A" w:rsidP="00E96A5A">
      <w:pPr>
        <w:pStyle w:val="FootnoteText"/>
        <w:spacing w:line="480" w:lineRule="auto"/>
        <w:ind w:left="0"/>
        <w:rPr>
          <w:sz w:val="24"/>
          <w:szCs w:val="24"/>
        </w:rPr>
      </w:pPr>
      <w:r>
        <w:rPr>
          <w:sz w:val="24"/>
          <w:szCs w:val="24"/>
        </w:rPr>
        <w:t xml:space="preserve">     </w:t>
      </w:r>
      <w:r w:rsidR="00B10FA3" w:rsidRPr="00AD5449">
        <w:rPr>
          <w:sz w:val="24"/>
          <w:szCs w:val="24"/>
        </w:rPr>
        <w:t xml:space="preserve"> The population has also grown older. Those people over the age of 65 have increased by nearly 125% since 1980, as a portion of the population – the largest gain of any age group. By contrast, the numbers of people age 0-4 has grown by only 12.7%, the smallest growth of any</w:t>
      </w:r>
      <w:r w:rsidR="00B10FA3" w:rsidRPr="00AD5449">
        <w:rPr>
          <w:rStyle w:val="FootnoteReference"/>
          <w:sz w:val="24"/>
          <w:szCs w:val="24"/>
        </w:rPr>
        <w:t xml:space="preserve"> </w:t>
      </w:r>
      <w:r w:rsidR="00B10FA3" w:rsidRPr="00AD5449">
        <w:rPr>
          <w:sz w:val="24"/>
          <w:szCs w:val="24"/>
        </w:rPr>
        <w:t>age category.</w:t>
      </w:r>
      <w:r w:rsidR="00B10FA3" w:rsidRPr="00AD5449">
        <w:rPr>
          <w:rStyle w:val="FootnoteReference"/>
          <w:sz w:val="24"/>
          <w:szCs w:val="24"/>
        </w:rPr>
        <w:footnoteReference w:id="9"/>
      </w:r>
      <w:r w:rsidR="00B10FA3" w:rsidRPr="00AD5449">
        <w:rPr>
          <w:sz w:val="24"/>
          <w:szCs w:val="24"/>
        </w:rPr>
        <w:t xml:space="preserve"> Speaking of interesting age statistics, in 2022 nearly 16% of young adults between 18-25 lived at home, a trend that has on the increase for decades.</w:t>
      </w:r>
      <w:r w:rsidR="00B10FA3" w:rsidRPr="00AD5449">
        <w:rPr>
          <w:rStyle w:val="FootnoteReference"/>
          <w:sz w:val="24"/>
          <w:szCs w:val="24"/>
        </w:rPr>
        <w:footnoteReference w:id="10"/>
      </w:r>
      <w:r w:rsidR="00B10FA3" w:rsidRPr="00AD5449">
        <w:rPr>
          <w:sz w:val="24"/>
          <w:szCs w:val="24"/>
        </w:rPr>
        <w:t xml:space="preserve"> </w:t>
      </w:r>
    </w:p>
    <w:p w14:paraId="67514764" w14:textId="12AB1721" w:rsidR="00B10FA3" w:rsidRDefault="00B10FA3" w:rsidP="009416FC">
      <w:pPr>
        <w:pStyle w:val="FootnoteText"/>
        <w:spacing w:line="480" w:lineRule="auto"/>
        <w:rPr>
          <w:sz w:val="24"/>
          <w:szCs w:val="24"/>
        </w:rPr>
      </w:pPr>
      <w:r w:rsidRPr="00AD5449">
        <w:rPr>
          <w:sz w:val="24"/>
          <w:szCs w:val="24"/>
        </w:rPr>
        <w:t xml:space="preserve">     Gender relations in the economy have also changed profoundly in recent decades. Aside from sexual harassment protections in the workplace enacted in recent years, the increase in women in the workplace since 1950 is 256.8%; as they comprised 29% of the work force in 1950, as of 2000 they comprised 46.6% and that number has increased by .7% since that time, and continues to. This has been reflected at all levels of the work force. Women attend</w:t>
      </w:r>
      <w:r w:rsidR="009025B0">
        <w:rPr>
          <w:sz w:val="24"/>
          <w:szCs w:val="24"/>
        </w:rPr>
        <w:t>ed</w:t>
      </w:r>
      <w:r w:rsidRPr="00AD5449">
        <w:rPr>
          <w:sz w:val="24"/>
          <w:szCs w:val="24"/>
        </w:rPr>
        <w:t xml:space="preserve"> college and law school at a </w:t>
      </w:r>
      <w:r w:rsidRPr="00AD5449">
        <w:rPr>
          <w:sz w:val="24"/>
          <w:szCs w:val="24"/>
        </w:rPr>
        <w:lastRenderedPageBreak/>
        <w:t>higher rate than men in 2023. In Congress, women represented 12% of all members in 1999; in 2023, they represent 25% - still a huge underrepresentation, based on their (majority) population status, but a significant improvement nonetheless over 25 years.</w:t>
      </w:r>
      <w:r w:rsidRPr="00AD5449">
        <w:rPr>
          <w:rStyle w:val="FootnoteReference"/>
          <w:sz w:val="24"/>
          <w:szCs w:val="24"/>
        </w:rPr>
        <w:footnoteReference w:id="11"/>
      </w:r>
    </w:p>
    <w:p w14:paraId="359F7F61" w14:textId="77777777" w:rsidR="00A61909" w:rsidRPr="00AD5449" w:rsidRDefault="00A61909" w:rsidP="009416FC">
      <w:pPr>
        <w:pStyle w:val="FootnoteText"/>
        <w:spacing w:line="480" w:lineRule="auto"/>
        <w:rPr>
          <w:sz w:val="24"/>
          <w:szCs w:val="24"/>
        </w:rPr>
      </w:pPr>
    </w:p>
    <w:p w14:paraId="40E7DF09" w14:textId="77777777" w:rsidR="00B10FA3" w:rsidRPr="00896296" w:rsidRDefault="00B10FA3" w:rsidP="00513C96">
      <w:pPr>
        <w:spacing w:line="480" w:lineRule="auto"/>
        <w:rPr>
          <w:b/>
          <w:bCs/>
          <w:i/>
          <w:iCs/>
          <w:sz w:val="28"/>
          <w:szCs w:val="28"/>
        </w:rPr>
      </w:pPr>
      <w:r w:rsidRPr="00896296">
        <w:rPr>
          <w:b/>
          <w:bCs/>
          <w:i/>
          <w:iCs/>
          <w:sz w:val="28"/>
          <w:szCs w:val="28"/>
        </w:rPr>
        <w:t xml:space="preserve"> </w:t>
      </w:r>
      <w:r>
        <w:rPr>
          <w:b/>
          <w:bCs/>
          <w:i/>
          <w:iCs/>
          <w:sz w:val="28"/>
          <w:szCs w:val="28"/>
        </w:rPr>
        <w:t>Response to Modernity</w:t>
      </w:r>
    </w:p>
    <w:p w14:paraId="1A6431D7" w14:textId="576CE7DF" w:rsidR="00B10FA3" w:rsidRDefault="00B10FA3" w:rsidP="0061591A">
      <w:pPr>
        <w:spacing w:line="480" w:lineRule="auto"/>
      </w:pPr>
      <w:r>
        <w:t xml:space="preserve">     An entirely different book could be written on the emerging symptoms of demographic and social change in the US; here, I wish to simply list some of the more egregious statements, events and actions that have bubbled up in the past few years, suggesting an animus against women, liberals, foreigners, and minorities generally. Following are a small sampling of some conspiratorial claims, policies and events that transpired during the </w:t>
      </w:r>
      <w:r w:rsidR="00BE4549">
        <w:t xml:space="preserve">initial </w:t>
      </w:r>
      <w:r>
        <w:t>Trump years</w:t>
      </w:r>
      <w:r w:rsidR="00E96A5A">
        <w:t>.</w:t>
      </w:r>
    </w:p>
    <w:p w14:paraId="7259BE2A" w14:textId="77777777" w:rsidR="00E96A5A" w:rsidRDefault="00E96A5A" w:rsidP="0061591A">
      <w:pPr>
        <w:spacing w:line="480" w:lineRule="auto"/>
      </w:pPr>
    </w:p>
    <w:p w14:paraId="67AC2117" w14:textId="77777777" w:rsidR="00B10FA3" w:rsidRPr="008217A3" w:rsidRDefault="00B10FA3" w:rsidP="0061591A">
      <w:pPr>
        <w:spacing w:line="480" w:lineRule="auto"/>
        <w:rPr>
          <w:sz w:val="28"/>
          <w:szCs w:val="28"/>
        </w:rPr>
      </w:pPr>
      <w:r w:rsidRPr="008217A3">
        <w:rPr>
          <w:b/>
          <w:bCs/>
          <w:sz w:val="28"/>
          <w:szCs w:val="28"/>
        </w:rPr>
        <w:t>Conspiracies</w:t>
      </w:r>
      <w:r w:rsidRPr="008217A3">
        <w:rPr>
          <w:sz w:val="28"/>
          <w:szCs w:val="28"/>
        </w:rPr>
        <w:t>:</w:t>
      </w:r>
    </w:p>
    <w:p w14:paraId="517E4E97" w14:textId="77777777" w:rsidR="00B10FA3" w:rsidRDefault="00B10FA3" w:rsidP="00B10FA3">
      <w:pPr>
        <w:pStyle w:val="ListParagraph"/>
        <w:numPr>
          <w:ilvl w:val="0"/>
          <w:numId w:val="2"/>
        </w:numPr>
        <w:spacing w:line="480" w:lineRule="auto"/>
      </w:pPr>
      <w:r>
        <w:t>A wildfire in California was claimed to have been started by a laser beamed from space and controlled by a prominent Jewish banking family with connections to powerful Democrats</w:t>
      </w:r>
    </w:p>
    <w:p w14:paraId="7599CB86" w14:textId="77777777" w:rsidR="00B10FA3" w:rsidRDefault="00B10FA3" w:rsidP="00B10FA3">
      <w:pPr>
        <w:pStyle w:val="ListParagraph"/>
        <w:numPr>
          <w:ilvl w:val="0"/>
          <w:numId w:val="2"/>
        </w:numPr>
        <w:spacing w:line="480" w:lineRule="auto"/>
      </w:pPr>
      <w:r>
        <w:t>Bill and Hillary Clinton were accused of having had John F. Kennedy Jr. killed because he was a political rival</w:t>
      </w:r>
    </w:p>
    <w:p w14:paraId="2821B743" w14:textId="77777777" w:rsidR="00B10FA3" w:rsidRDefault="00B10FA3" w:rsidP="00B10FA3">
      <w:pPr>
        <w:pStyle w:val="ListParagraph"/>
        <w:numPr>
          <w:ilvl w:val="0"/>
          <w:numId w:val="2"/>
        </w:numPr>
        <w:spacing w:line="480" w:lineRule="auto"/>
      </w:pPr>
      <w:r>
        <w:t>A plane probably didn't crash into the Pentagon on September 11, 2001.</w:t>
      </w:r>
    </w:p>
    <w:p w14:paraId="30804841" w14:textId="77777777" w:rsidR="00B10FA3" w:rsidRDefault="00B10FA3" w:rsidP="00B10FA3">
      <w:pPr>
        <w:pStyle w:val="ListParagraph"/>
        <w:numPr>
          <w:ilvl w:val="0"/>
          <w:numId w:val="2"/>
        </w:numPr>
        <w:spacing w:line="480" w:lineRule="auto"/>
      </w:pPr>
      <w:r>
        <w:t xml:space="preserve"> Former President Obama is a secret Muslim and is not a US citizen</w:t>
      </w:r>
    </w:p>
    <w:p w14:paraId="4460A0F5" w14:textId="77777777" w:rsidR="00B10FA3" w:rsidRDefault="00B10FA3" w:rsidP="00B10FA3">
      <w:pPr>
        <w:pStyle w:val="ListParagraph"/>
        <w:numPr>
          <w:ilvl w:val="0"/>
          <w:numId w:val="2"/>
        </w:numPr>
        <w:spacing w:line="480" w:lineRule="auto"/>
      </w:pPr>
      <w:r>
        <w:lastRenderedPageBreak/>
        <w:t>The election of two Muslim women to Congress amounts to a "takeover."</w:t>
      </w:r>
    </w:p>
    <w:p w14:paraId="4A0BAB73" w14:textId="77777777" w:rsidR="00B10FA3" w:rsidRDefault="00B10FA3" w:rsidP="00B10FA3">
      <w:pPr>
        <w:pStyle w:val="ListParagraph"/>
        <w:numPr>
          <w:ilvl w:val="0"/>
          <w:numId w:val="2"/>
        </w:numPr>
        <w:spacing w:line="480" w:lineRule="auto"/>
      </w:pPr>
      <w:r>
        <w:t>Hillary Clinton and Democrats are said to have run a pedophile ring</w:t>
      </w:r>
    </w:p>
    <w:p w14:paraId="31CA047A" w14:textId="50C109A9" w:rsidR="00B10FA3" w:rsidRPr="00154CA4" w:rsidRDefault="00B10FA3" w:rsidP="00154CA4">
      <w:pPr>
        <w:spacing w:line="480" w:lineRule="auto"/>
        <w:rPr>
          <w:sz w:val="28"/>
          <w:szCs w:val="28"/>
        </w:rPr>
      </w:pPr>
      <w:r w:rsidRPr="00154CA4">
        <w:rPr>
          <w:b/>
          <w:bCs/>
          <w:sz w:val="28"/>
          <w:szCs w:val="28"/>
        </w:rPr>
        <w:t>Events</w:t>
      </w:r>
      <w:r w:rsidRPr="00154CA4">
        <w:rPr>
          <w:sz w:val="28"/>
          <w:szCs w:val="28"/>
        </w:rPr>
        <w:t xml:space="preserve">: </w:t>
      </w:r>
    </w:p>
    <w:p w14:paraId="2E1A7BB6" w14:textId="77777777" w:rsidR="00B10FA3" w:rsidRDefault="00B10FA3" w:rsidP="00B10FA3">
      <w:pPr>
        <w:pStyle w:val="ListParagraph"/>
        <w:numPr>
          <w:ilvl w:val="0"/>
          <w:numId w:val="2"/>
        </w:numPr>
        <w:spacing w:before="100" w:beforeAutospacing="1" w:after="100" w:afterAutospacing="1" w:line="480" w:lineRule="auto"/>
        <w:ind w:left="714" w:hanging="357"/>
      </w:pPr>
      <w:r>
        <w:t>Hardline immigration policies that intentionally separated thousands of children from their parents</w:t>
      </w:r>
    </w:p>
    <w:p w14:paraId="4908C238" w14:textId="77777777" w:rsidR="00B10FA3" w:rsidRDefault="00B10FA3" w:rsidP="00B10FA3">
      <w:pPr>
        <w:pStyle w:val="ListParagraph"/>
        <w:numPr>
          <w:ilvl w:val="0"/>
          <w:numId w:val="2"/>
        </w:numPr>
        <w:spacing w:before="100" w:beforeAutospacing="1" w:after="100" w:afterAutospacing="1" w:line="240" w:lineRule="auto"/>
        <w:ind w:left="714" w:hanging="357"/>
      </w:pPr>
      <w:r>
        <w:t>The October 27, 2018, Pittsburgh synagogue shooting by Robert Bowers. Bowers posted a comment on his Gab account referencing the Hebrew Immigrant Aid Society (HIAS): “HIAS likes to bring invaders in that kill our people.</w:t>
      </w:r>
    </w:p>
    <w:p w14:paraId="700FB4A9" w14:textId="77777777" w:rsidR="00B10FA3" w:rsidRDefault="00B10FA3" w:rsidP="00F61341">
      <w:pPr>
        <w:pStyle w:val="ListParagraph"/>
        <w:spacing w:before="100" w:beforeAutospacing="1" w:after="100" w:afterAutospacing="1" w:line="240" w:lineRule="auto"/>
        <w:ind w:left="714"/>
      </w:pPr>
    </w:p>
    <w:p w14:paraId="25929AD4" w14:textId="77777777" w:rsidR="00B10FA3" w:rsidRDefault="00B10FA3" w:rsidP="00B10FA3">
      <w:pPr>
        <w:pStyle w:val="ListParagraph"/>
        <w:numPr>
          <w:ilvl w:val="0"/>
          <w:numId w:val="2"/>
        </w:numPr>
        <w:spacing w:before="100" w:beforeAutospacing="1" w:after="100" w:afterAutospacing="1" w:line="240" w:lineRule="auto"/>
        <w:ind w:left="714" w:hanging="357"/>
      </w:pPr>
      <w:r>
        <w:t>The arrest of Cesar Sayoc who sent pipe bombs to prominent Democrats. “He was very angry and angry at the world,” one of his former bosses remarked, “at blacks, Jews, and gays.</w:t>
      </w:r>
    </w:p>
    <w:p w14:paraId="044A6BFE" w14:textId="77777777" w:rsidR="00B10FA3" w:rsidRDefault="00B10FA3" w:rsidP="00F61341">
      <w:pPr>
        <w:pStyle w:val="ListParagraph"/>
      </w:pPr>
    </w:p>
    <w:p w14:paraId="361DB2DC" w14:textId="77777777" w:rsidR="00B10FA3" w:rsidRDefault="00B10FA3" w:rsidP="00F61341">
      <w:pPr>
        <w:pStyle w:val="ListParagraph"/>
        <w:spacing w:before="100" w:beforeAutospacing="1" w:after="100" w:afterAutospacing="1" w:line="240" w:lineRule="auto"/>
        <w:ind w:left="714"/>
      </w:pPr>
    </w:p>
    <w:p w14:paraId="2C63759E" w14:textId="77777777" w:rsidR="00B10FA3" w:rsidRDefault="00B10FA3" w:rsidP="00B10FA3">
      <w:pPr>
        <w:pStyle w:val="ListParagraph"/>
        <w:numPr>
          <w:ilvl w:val="0"/>
          <w:numId w:val="2"/>
        </w:numPr>
        <w:spacing w:before="100" w:beforeAutospacing="1" w:after="100" w:afterAutospacing="1" w:line="480" w:lineRule="auto"/>
        <w:ind w:left="714" w:hanging="357"/>
      </w:pPr>
      <w:r>
        <w:t>The planned kidnapping of the (Democrat/female) Governor of Michigan by a right-wing group</w:t>
      </w:r>
    </w:p>
    <w:p w14:paraId="7EA4041D" w14:textId="77777777" w:rsidR="00B10FA3" w:rsidRDefault="00B10FA3" w:rsidP="00B10FA3">
      <w:pPr>
        <w:pStyle w:val="ListParagraph"/>
        <w:numPr>
          <w:ilvl w:val="0"/>
          <w:numId w:val="2"/>
        </w:numPr>
        <w:spacing w:before="100" w:beforeAutospacing="1" w:after="100" w:afterAutospacing="1" w:line="240" w:lineRule="auto"/>
        <w:ind w:left="714" w:hanging="357"/>
      </w:pPr>
      <w:r>
        <w:t>Right wing domestic terrorist attacks increased. Between 2007 and 2011, the number of such attacks was five or less per year. They then rose to 14 in 2012; continued at a similar level between 2012 and 2016, with a mean of 11 attacks and a median of 13 attacks; and then jumped to 31 in 2017, and has continued to rise precipitously</w:t>
      </w:r>
      <w:r>
        <w:rPr>
          <w:rStyle w:val="FootnoteReference"/>
        </w:rPr>
        <w:footnoteReference w:id="12"/>
      </w:r>
    </w:p>
    <w:p w14:paraId="753EC4F1" w14:textId="77777777" w:rsidR="00B10FA3" w:rsidRDefault="00B10FA3" w:rsidP="00F61341">
      <w:pPr>
        <w:pStyle w:val="ListParagraph"/>
        <w:spacing w:before="100" w:beforeAutospacing="1" w:after="100" w:afterAutospacing="1" w:line="240" w:lineRule="auto"/>
        <w:ind w:left="714"/>
      </w:pPr>
    </w:p>
    <w:p w14:paraId="04164DDC" w14:textId="77777777" w:rsidR="00B10FA3" w:rsidRDefault="00B10FA3" w:rsidP="00B10FA3">
      <w:pPr>
        <w:pStyle w:val="ListParagraph"/>
        <w:numPr>
          <w:ilvl w:val="0"/>
          <w:numId w:val="2"/>
        </w:numPr>
        <w:spacing w:before="100" w:beforeAutospacing="1" w:after="100" w:afterAutospacing="1" w:line="240" w:lineRule="auto"/>
        <w:ind w:left="714" w:hanging="357"/>
      </w:pPr>
      <w:r>
        <w:t>In June 2015, Dylan Roof opened fire with a Glock .45 caliber pistol on parishioners at Emanuel Africa Methodist Episcopal Church in Charleston, South Carolina, killing nine people.</w:t>
      </w:r>
    </w:p>
    <w:p w14:paraId="66B5B195" w14:textId="77777777" w:rsidR="00B10FA3" w:rsidRDefault="00B10FA3" w:rsidP="00F61341">
      <w:pPr>
        <w:pStyle w:val="ListParagraph"/>
      </w:pPr>
    </w:p>
    <w:p w14:paraId="636A97F7" w14:textId="77777777" w:rsidR="00B10FA3" w:rsidRDefault="00B10FA3" w:rsidP="00F61341">
      <w:pPr>
        <w:pStyle w:val="ListParagraph"/>
        <w:spacing w:before="100" w:beforeAutospacing="1" w:after="100" w:afterAutospacing="1" w:line="240" w:lineRule="auto"/>
        <w:ind w:left="714"/>
      </w:pPr>
    </w:p>
    <w:p w14:paraId="0B54BBB8" w14:textId="77777777" w:rsidR="00B10FA3" w:rsidRDefault="00B10FA3" w:rsidP="00B10FA3">
      <w:pPr>
        <w:pStyle w:val="ListParagraph"/>
        <w:numPr>
          <w:ilvl w:val="0"/>
          <w:numId w:val="2"/>
        </w:numPr>
        <w:spacing w:before="100" w:beforeAutospacing="1" w:after="100" w:afterAutospacing="1" w:line="259" w:lineRule="auto"/>
      </w:pPr>
      <w:r>
        <w:t>The forcing of asylum seekers in the U.S. to wait in Mexico under squalid conditions</w:t>
      </w:r>
    </w:p>
    <w:p w14:paraId="4CB24547" w14:textId="77777777" w:rsidR="00B10FA3" w:rsidRDefault="00B10FA3" w:rsidP="006006D6">
      <w:pPr>
        <w:pStyle w:val="ListParagraph"/>
      </w:pPr>
    </w:p>
    <w:p w14:paraId="6E18A0E9" w14:textId="77777777" w:rsidR="00B10FA3" w:rsidRDefault="00B10FA3" w:rsidP="00B10FA3">
      <w:pPr>
        <w:pStyle w:val="ListParagraph"/>
        <w:numPr>
          <w:ilvl w:val="0"/>
          <w:numId w:val="2"/>
        </w:numPr>
        <w:spacing w:before="100" w:beforeAutospacing="1" w:after="100" w:afterAutospacing="1" w:line="259" w:lineRule="auto"/>
      </w:pPr>
      <w:r>
        <w:t xml:space="preserve">The institution of a Muslim immigration ban and poured money from the military into a border wall with Mexico </w:t>
      </w:r>
    </w:p>
    <w:p w14:paraId="41E20EF8" w14:textId="77777777" w:rsidR="00B10FA3" w:rsidRDefault="00B10FA3" w:rsidP="00F61341">
      <w:pPr>
        <w:pStyle w:val="ListParagraph"/>
      </w:pPr>
    </w:p>
    <w:p w14:paraId="1865118B" w14:textId="77777777" w:rsidR="00B10FA3" w:rsidRDefault="00B10FA3" w:rsidP="00B10FA3">
      <w:pPr>
        <w:pStyle w:val="ListParagraph"/>
        <w:numPr>
          <w:ilvl w:val="0"/>
          <w:numId w:val="2"/>
        </w:numPr>
        <w:spacing w:before="100" w:beforeAutospacing="1" w:after="100" w:afterAutospacing="1" w:line="259" w:lineRule="auto"/>
      </w:pPr>
      <w:r>
        <w:t xml:space="preserve">The appointment of three hard right conservative judges to the Supreme Court, resulting in the overthrow of </w:t>
      </w:r>
      <w:r>
        <w:rPr>
          <w:i/>
          <w:iCs/>
        </w:rPr>
        <w:t>Roe vs. Wade</w:t>
      </w:r>
      <w:r>
        <w:t>, and leading to the prohibition of abortion in many states.</w:t>
      </w:r>
    </w:p>
    <w:p w14:paraId="785EC5FA" w14:textId="77777777" w:rsidR="00B10FA3" w:rsidRDefault="00B10FA3" w:rsidP="006006D6">
      <w:pPr>
        <w:pStyle w:val="ListParagraph"/>
      </w:pPr>
    </w:p>
    <w:p w14:paraId="66DE08C5" w14:textId="77777777" w:rsidR="00B10FA3" w:rsidRDefault="00B10FA3" w:rsidP="00B10FA3">
      <w:pPr>
        <w:pStyle w:val="ListParagraph"/>
        <w:numPr>
          <w:ilvl w:val="0"/>
          <w:numId w:val="2"/>
        </w:numPr>
        <w:spacing w:before="100" w:beforeAutospacing="1" w:after="100" w:afterAutospacing="1" w:line="259" w:lineRule="auto"/>
      </w:pPr>
      <w:r>
        <w:t>Promotion of white nationalist ideologies and of white genocide. Rallies, such as the one in Charlottesville, VA received tacit support from the White House.</w:t>
      </w:r>
    </w:p>
    <w:p w14:paraId="6F035EA1" w14:textId="77777777" w:rsidR="00B10FA3" w:rsidRDefault="00B10FA3" w:rsidP="0044580A">
      <w:pPr>
        <w:pStyle w:val="ListParagraph"/>
      </w:pPr>
    </w:p>
    <w:p w14:paraId="6F524A5C" w14:textId="77777777" w:rsidR="00B10FA3" w:rsidRDefault="00B10FA3" w:rsidP="00B10FA3">
      <w:pPr>
        <w:pStyle w:val="ListParagraph"/>
        <w:numPr>
          <w:ilvl w:val="0"/>
          <w:numId w:val="2"/>
        </w:numPr>
        <w:spacing w:before="100" w:beforeAutospacing="1" w:after="100" w:afterAutospacing="1" w:line="259" w:lineRule="auto"/>
      </w:pPr>
      <w:r>
        <w:t>The removal of the US from the World Health Organization during the midst of the Covid-19 epidemic.</w:t>
      </w:r>
    </w:p>
    <w:p w14:paraId="42FB9FA3" w14:textId="77777777" w:rsidR="00B10FA3" w:rsidRDefault="00B10FA3" w:rsidP="00D6427E">
      <w:pPr>
        <w:pStyle w:val="ListParagraph"/>
      </w:pPr>
    </w:p>
    <w:p w14:paraId="4A27FF90" w14:textId="77777777" w:rsidR="00B10FA3" w:rsidRDefault="00B10FA3" w:rsidP="00D6427E">
      <w:pPr>
        <w:spacing w:before="100" w:beforeAutospacing="1" w:after="100" w:afterAutospacing="1"/>
        <w:rPr>
          <w:b/>
          <w:bCs/>
          <w:sz w:val="28"/>
          <w:szCs w:val="28"/>
        </w:rPr>
      </w:pPr>
    </w:p>
    <w:p w14:paraId="7B841EDC" w14:textId="77777777" w:rsidR="00B10FA3" w:rsidRPr="008217A3" w:rsidRDefault="00B10FA3" w:rsidP="00D6427E">
      <w:pPr>
        <w:spacing w:before="100" w:beforeAutospacing="1" w:after="100" w:afterAutospacing="1"/>
        <w:rPr>
          <w:sz w:val="28"/>
          <w:szCs w:val="28"/>
        </w:rPr>
      </w:pPr>
      <w:r w:rsidRPr="008217A3">
        <w:rPr>
          <w:b/>
          <w:bCs/>
          <w:sz w:val="28"/>
          <w:szCs w:val="28"/>
        </w:rPr>
        <w:t>Some notable quotes</w:t>
      </w:r>
      <w:r w:rsidRPr="008217A3">
        <w:rPr>
          <w:sz w:val="28"/>
          <w:szCs w:val="28"/>
        </w:rPr>
        <w:t xml:space="preserve">: </w:t>
      </w:r>
    </w:p>
    <w:p w14:paraId="16A0DF2D" w14:textId="77777777" w:rsidR="00B10FA3" w:rsidRDefault="00B10FA3" w:rsidP="00B10FA3">
      <w:pPr>
        <w:pStyle w:val="ListParagraph"/>
        <w:numPr>
          <w:ilvl w:val="0"/>
          <w:numId w:val="2"/>
        </w:numPr>
        <w:spacing w:after="0" w:line="240" w:lineRule="auto"/>
        <w:rPr>
          <w:rFonts w:eastAsia="Times New Roman"/>
          <w:lang w:eastAsia="en-CA"/>
        </w:rPr>
      </w:pPr>
      <w:r>
        <w:rPr>
          <w:rFonts w:eastAsia="Times New Roman"/>
          <w:lang w:eastAsia="en-CA"/>
        </w:rPr>
        <w:t>“</w:t>
      </w:r>
      <w:r w:rsidRPr="00D6427E">
        <w:rPr>
          <w:rFonts w:eastAsia="Times New Roman"/>
          <w:lang w:eastAsia="en-CA"/>
        </w:rPr>
        <w:t>Economic nationalism is what this country was built on. The American system.</w:t>
      </w:r>
      <w:r>
        <w:rPr>
          <w:rFonts w:eastAsia="Times New Roman"/>
          <w:lang w:eastAsia="en-CA"/>
        </w:rPr>
        <w:t>” S. Bannon.</w:t>
      </w:r>
    </w:p>
    <w:p w14:paraId="349E8190" w14:textId="77777777" w:rsidR="00B10FA3" w:rsidRDefault="00B10FA3" w:rsidP="00126806">
      <w:pPr>
        <w:pStyle w:val="ListParagraph"/>
        <w:spacing w:after="0" w:line="240" w:lineRule="auto"/>
        <w:rPr>
          <w:rFonts w:eastAsia="Times New Roman"/>
          <w:lang w:eastAsia="en-CA"/>
        </w:rPr>
      </w:pPr>
    </w:p>
    <w:p w14:paraId="3FDD3E57" w14:textId="77777777" w:rsidR="00B10FA3" w:rsidRDefault="00B10FA3" w:rsidP="00B10FA3">
      <w:pPr>
        <w:pStyle w:val="ListParagraph"/>
        <w:numPr>
          <w:ilvl w:val="0"/>
          <w:numId w:val="2"/>
        </w:numPr>
        <w:spacing w:after="0" w:line="240" w:lineRule="auto"/>
        <w:rPr>
          <w:rFonts w:eastAsia="Times New Roman"/>
          <w:lang w:eastAsia="en-CA"/>
        </w:rPr>
      </w:pPr>
      <w:r>
        <w:rPr>
          <w:rFonts w:eastAsia="Times New Roman"/>
          <w:lang w:eastAsia="en-CA"/>
        </w:rPr>
        <w:t>“The Democratic Party has a simple choice. Choose to fight for America’s working class or promote illegal immigration. You can’t do both.” Stephen Miller</w:t>
      </w:r>
    </w:p>
    <w:p w14:paraId="25AD5EF5" w14:textId="77777777" w:rsidR="00B10FA3" w:rsidRPr="00D6427E" w:rsidRDefault="00B10FA3" w:rsidP="00D6427E">
      <w:pPr>
        <w:pStyle w:val="ListParagraph"/>
        <w:rPr>
          <w:rFonts w:eastAsia="Times New Roman"/>
          <w:lang w:eastAsia="en-CA"/>
        </w:rPr>
      </w:pPr>
    </w:p>
    <w:p w14:paraId="07209E32" w14:textId="77777777" w:rsidR="00B10FA3" w:rsidRDefault="00B10FA3" w:rsidP="00B10FA3">
      <w:pPr>
        <w:pStyle w:val="ListParagraph"/>
        <w:numPr>
          <w:ilvl w:val="0"/>
          <w:numId w:val="2"/>
        </w:numPr>
        <w:spacing w:after="0" w:line="240" w:lineRule="auto"/>
        <w:rPr>
          <w:rFonts w:eastAsia="Times New Roman"/>
          <w:lang w:eastAsia="en-CA"/>
        </w:rPr>
      </w:pPr>
      <w:r>
        <w:rPr>
          <w:rFonts w:eastAsia="Times New Roman"/>
          <w:lang w:eastAsia="en-CA"/>
        </w:rPr>
        <w:t>“</w:t>
      </w:r>
      <w:r w:rsidRPr="00D6427E">
        <w:rPr>
          <w:rFonts w:eastAsia="Times New Roman"/>
          <w:lang w:eastAsia="en-CA"/>
        </w:rPr>
        <w:t>Birth control makes women unattractive and crazy.</w:t>
      </w:r>
      <w:r>
        <w:rPr>
          <w:rFonts w:eastAsia="Times New Roman"/>
          <w:lang w:eastAsia="en-CA"/>
        </w:rPr>
        <w:t>” S. Bannon</w:t>
      </w:r>
    </w:p>
    <w:p w14:paraId="096198B1" w14:textId="77777777" w:rsidR="00B10FA3" w:rsidRPr="00D6427E" w:rsidRDefault="00B10FA3" w:rsidP="00D6427E">
      <w:pPr>
        <w:pStyle w:val="ListParagraph"/>
        <w:rPr>
          <w:rFonts w:eastAsia="Times New Roman"/>
          <w:lang w:eastAsia="en-CA"/>
        </w:rPr>
      </w:pPr>
    </w:p>
    <w:p w14:paraId="002B7E72" w14:textId="77777777" w:rsidR="00B10FA3" w:rsidRPr="00D6427E" w:rsidRDefault="00B10FA3" w:rsidP="00B10FA3">
      <w:pPr>
        <w:pStyle w:val="ListParagraph"/>
        <w:numPr>
          <w:ilvl w:val="0"/>
          <w:numId w:val="2"/>
        </w:numPr>
        <w:spacing w:after="0" w:line="240" w:lineRule="auto"/>
        <w:rPr>
          <w:rFonts w:eastAsia="Times New Roman"/>
          <w:lang w:eastAsia="en-CA"/>
        </w:rPr>
      </w:pPr>
      <w:r>
        <w:t>“Our gays are more macho than their straights.” —Ann Coulter, commenting on Jeff Gannon, the conservative plant in the White House press corps who turned out to be a male escort.</w:t>
      </w:r>
    </w:p>
    <w:p w14:paraId="1F9E7B1C" w14:textId="77777777" w:rsidR="00B10FA3" w:rsidRPr="00D6427E" w:rsidRDefault="00B10FA3" w:rsidP="00D6427E">
      <w:pPr>
        <w:pStyle w:val="ListParagraph"/>
        <w:rPr>
          <w:rFonts w:eastAsia="Times New Roman"/>
          <w:lang w:eastAsia="en-CA"/>
        </w:rPr>
      </w:pPr>
    </w:p>
    <w:p w14:paraId="1DE5B4A5" w14:textId="77777777" w:rsidR="00B10FA3" w:rsidRPr="00D6427E" w:rsidRDefault="00B10FA3" w:rsidP="00B10FA3">
      <w:pPr>
        <w:pStyle w:val="ListParagraph"/>
        <w:numPr>
          <w:ilvl w:val="0"/>
          <w:numId w:val="2"/>
        </w:numPr>
        <w:spacing w:after="0" w:line="240" w:lineRule="auto"/>
        <w:rPr>
          <w:rFonts w:eastAsia="Times New Roman"/>
          <w:lang w:eastAsia="en-CA"/>
        </w:rPr>
      </w:pPr>
      <w:r>
        <w:t>“To those who say Ted Bundy should burn forever in eternity I would only say, so should I, so should all of us….” Focus on the Family head James Dobson.</w:t>
      </w:r>
    </w:p>
    <w:p w14:paraId="104FED25" w14:textId="77777777" w:rsidR="00B10FA3" w:rsidRPr="00D6427E" w:rsidRDefault="00B10FA3" w:rsidP="00D6427E">
      <w:pPr>
        <w:pStyle w:val="ListParagraph"/>
        <w:rPr>
          <w:rFonts w:eastAsia="Times New Roman"/>
          <w:lang w:eastAsia="en-CA"/>
        </w:rPr>
      </w:pPr>
    </w:p>
    <w:p w14:paraId="654957B1" w14:textId="77777777" w:rsidR="00B10FA3" w:rsidRPr="00F61341" w:rsidRDefault="00B10FA3" w:rsidP="00B10FA3">
      <w:pPr>
        <w:pStyle w:val="ListParagraph"/>
        <w:numPr>
          <w:ilvl w:val="0"/>
          <w:numId w:val="2"/>
        </w:numPr>
        <w:spacing w:after="0" w:line="240" w:lineRule="auto"/>
        <w:rPr>
          <w:rFonts w:eastAsia="Times New Roman"/>
          <w:lang w:eastAsia="en-CA"/>
        </w:rPr>
      </w:pPr>
      <w:r>
        <w:t xml:space="preserve">“As soon as Jesus sits on his throne he’s </w:t>
      </w:r>
      <w:proofErr w:type="spellStart"/>
      <w:r>
        <w:t>gonna</w:t>
      </w:r>
      <w:proofErr w:type="spellEnd"/>
      <w:r>
        <w:t xml:space="preserve"> rule the world with a rod of iron. That means he’s </w:t>
      </w:r>
      <w:proofErr w:type="spellStart"/>
      <w:r>
        <w:t>gonna</w:t>
      </w:r>
      <w:proofErr w:type="spellEnd"/>
      <w:r>
        <w:t xml:space="preserve"> make the ACLU do what he wants them to. That means you’re not </w:t>
      </w:r>
      <w:proofErr w:type="spellStart"/>
      <w:r>
        <w:t>gonna</w:t>
      </w:r>
      <w:proofErr w:type="spellEnd"/>
      <w:r>
        <w:t xml:space="preserve"> have to ask if you can pray in public school. We will live by the law of God and no other law.” —Cornerstone Church's Rev. John Hagee, who endorsed John McCain during the 2008 presidential race.</w:t>
      </w:r>
    </w:p>
    <w:p w14:paraId="49B6046E" w14:textId="77777777" w:rsidR="00B10FA3" w:rsidRPr="00F61341" w:rsidRDefault="00B10FA3" w:rsidP="00F61341">
      <w:pPr>
        <w:pStyle w:val="ListParagraph"/>
        <w:rPr>
          <w:rFonts w:eastAsia="Times New Roman"/>
          <w:lang w:eastAsia="en-CA"/>
        </w:rPr>
      </w:pPr>
    </w:p>
    <w:p w14:paraId="66D4D5B6" w14:textId="77777777" w:rsidR="00B10FA3" w:rsidRPr="0084389D" w:rsidRDefault="00B10FA3" w:rsidP="00B10FA3">
      <w:pPr>
        <w:pStyle w:val="ListParagraph"/>
        <w:numPr>
          <w:ilvl w:val="0"/>
          <w:numId w:val="2"/>
        </w:numPr>
        <w:spacing w:after="0" w:line="240" w:lineRule="auto"/>
        <w:rPr>
          <w:rFonts w:eastAsia="Times New Roman"/>
          <w:lang w:eastAsia="en-CA"/>
        </w:rPr>
      </w:pPr>
      <w:r>
        <w:t xml:space="preserve">"Continue to worship at the alter </w:t>
      </w:r>
      <w:r>
        <w:rPr>
          <w:rStyle w:val="Emphasis"/>
        </w:rPr>
        <w:t>[sic]</w:t>
      </w:r>
      <w:r>
        <w:t xml:space="preserve"> of multiculturalism and we may come to see that we are participating in the sacrifice of the one culture which binds us all." Stephen Miller</w:t>
      </w:r>
    </w:p>
    <w:p w14:paraId="0E179A96" w14:textId="77777777" w:rsidR="00B10FA3" w:rsidRPr="0084389D" w:rsidRDefault="00B10FA3" w:rsidP="0084389D">
      <w:pPr>
        <w:pStyle w:val="ListParagraph"/>
        <w:rPr>
          <w:rFonts w:eastAsia="Times New Roman"/>
          <w:lang w:eastAsia="en-CA"/>
        </w:rPr>
      </w:pPr>
    </w:p>
    <w:p w14:paraId="3A921C72" w14:textId="77777777" w:rsidR="00B10FA3" w:rsidRPr="00F61341" w:rsidRDefault="00B10FA3" w:rsidP="00B10FA3">
      <w:pPr>
        <w:pStyle w:val="ListParagraph"/>
        <w:numPr>
          <w:ilvl w:val="0"/>
          <w:numId w:val="2"/>
        </w:numPr>
        <w:spacing w:after="0" w:line="240" w:lineRule="auto"/>
        <w:rPr>
          <w:rFonts w:eastAsia="Times New Roman"/>
          <w:lang w:eastAsia="en-CA"/>
        </w:rPr>
      </w:pPr>
      <w:r>
        <w:t>At a November 2015 rally, for example, Donald Trump stated that he watched the Twin Towers come down in Jersey City, NJ, and that thousands of Muslims there cheered what was occurring: "There were people that were cheering on the other side of New Jersey, where you have large Arab populations”</w:t>
      </w:r>
    </w:p>
    <w:p w14:paraId="125A24D9" w14:textId="77777777" w:rsidR="00B10FA3" w:rsidRPr="00F61341" w:rsidRDefault="00B10FA3" w:rsidP="00F61341">
      <w:pPr>
        <w:pStyle w:val="ListParagraph"/>
        <w:rPr>
          <w:rFonts w:eastAsia="Times New Roman"/>
          <w:lang w:eastAsia="en-CA"/>
        </w:rPr>
      </w:pPr>
    </w:p>
    <w:p w14:paraId="27444DBC" w14:textId="77777777" w:rsidR="00B10FA3" w:rsidRDefault="00B10FA3" w:rsidP="00B10FA3">
      <w:pPr>
        <w:pStyle w:val="NormalWeb"/>
        <w:numPr>
          <w:ilvl w:val="0"/>
          <w:numId w:val="2"/>
        </w:numPr>
      </w:pPr>
      <w:r>
        <w:lastRenderedPageBreak/>
        <w:t>In February 2016, while delivering a victory speech following the Nevada caucuses, Donald Trump proclaimed his love for the various demographics that led him to victory.as part of that list, he exclaimed, "I love the poorly educated."</w:t>
      </w:r>
    </w:p>
    <w:p w14:paraId="0266E1EB" w14:textId="77777777" w:rsidR="00B10FA3" w:rsidRDefault="00B10FA3" w:rsidP="00F61341">
      <w:pPr>
        <w:pStyle w:val="ListParagraph"/>
      </w:pPr>
    </w:p>
    <w:p w14:paraId="3FF5A5D3" w14:textId="77777777" w:rsidR="00B10FA3" w:rsidRDefault="00B10FA3" w:rsidP="00B10FA3">
      <w:pPr>
        <w:pStyle w:val="NormalWeb"/>
        <w:numPr>
          <w:ilvl w:val="0"/>
          <w:numId w:val="2"/>
        </w:numPr>
      </w:pPr>
      <w:r>
        <w:t>“I believe there is a direct connection between being gay and being a pedophile” E.W. Jackson, Republican Candidate for Lt. Gov of Virginia</w:t>
      </w:r>
    </w:p>
    <w:p w14:paraId="4DE764FF" w14:textId="77777777" w:rsidR="00B10FA3" w:rsidRDefault="00B10FA3" w:rsidP="00DA7FB0">
      <w:pPr>
        <w:pStyle w:val="ListParagraph"/>
      </w:pPr>
    </w:p>
    <w:p w14:paraId="411A7735" w14:textId="77777777" w:rsidR="00B10FA3" w:rsidRDefault="00B10FA3" w:rsidP="00DA7FB0">
      <w:pPr>
        <w:pStyle w:val="NormalWeb"/>
        <w:spacing w:line="480" w:lineRule="auto"/>
      </w:pPr>
      <w:r>
        <w:t xml:space="preserve">     Although the above hardly constitutes a full reading of recent political history – and doesn’t intend to – it does give us a flavor for the rhetoric than has emanated from the American Right. Notice, first of all, the negative “othering” that many of the comments exhibit. Women, gays, Muslims, foreigners – even white men deemed to be inadequately macho. One group, the so-called ‘poorly educated’ (coded language for working class), are actually elevated in stature, because, after all, that is the target group for right wing appeals. </w:t>
      </w:r>
    </w:p>
    <w:p w14:paraId="2F5C0DA9" w14:textId="5177BEE3" w:rsidR="00B10FA3" w:rsidRDefault="00B10FA3" w:rsidP="00DA7FB0">
      <w:pPr>
        <w:pStyle w:val="NormalWeb"/>
        <w:spacing w:line="480" w:lineRule="auto"/>
      </w:pPr>
      <w:r>
        <w:t xml:space="preserve">     This comment is particularly interesting, because it has so much embedded within it; on the one hand, it is, on the surface, a slight to those with limited education. But, at a deeper level, it embraces their status, raising ignorance (or anti-intellectualism) to a higher place. Further, it reveals the strategy for appealing to these groups – sheer, unadulterated </w:t>
      </w:r>
      <w:r w:rsidRPr="006264A3">
        <w:rPr>
          <w:i/>
          <w:iCs/>
        </w:rPr>
        <w:t>emotionalism</w:t>
      </w:r>
      <w:r w:rsidR="00CF700F">
        <w:t xml:space="preserve">, </w:t>
      </w:r>
      <w:r w:rsidR="006430F8">
        <w:t>intended to affirm cultural difference.</w:t>
      </w:r>
      <w:r>
        <w:t xml:space="preserve"> Who needs to think when one can feel and act? A soldier is not asked to think, but to act and to sacrifice, and the implication of this comment is that, when the boss shows confidence in you, and then says jump, you only ask how high.</w:t>
      </w:r>
    </w:p>
    <w:p w14:paraId="7984EB53" w14:textId="77777777" w:rsidR="00B10FA3" w:rsidRDefault="00B10FA3" w:rsidP="00DA7FB0">
      <w:pPr>
        <w:pStyle w:val="NormalWeb"/>
        <w:spacing w:line="480" w:lineRule="auto"/>
      </w:pPr>
      <w:r>
        <w:t xml:space="preserve">     One tactic for creating The Other in the popular mind is to generalize a group. Mexicans, Peruvians, Columbians, Nicaraguans, all very different cultures – become amalgamated into a mass of “them.” Illegal immigrants from the South. This is very useful, as the massification of large groups also helps to dehumanize them. Captives taken by Hamas after events of October 7 in Israel receive considerably more press and attention that residents of the Gaza strip, </w:t>
      </w:r>
      <w:r>
        <w:lastRenderedPageBreak/>
        <w:t xml:space="preserve">because there are faces attached to the kidnapped, whereas the Gazans are a mere brutalized mass of 2.5 million. </w:t>
      </w:r>
    </w:p>
    <w:p w14:paraId="7B44D4AC" w14:textId="77777777" w:rsidR="00B10FA3" w:rsidRPr="00B5392A" w:rsidRDefault="00B10FA3" w:rsidP="0083407E">
      <w:pPr>
        <w:pStyle w:val="ListParagraph"/>
        <w:spacing w:after="0" w:line="480" w:lineRule="auto"/>
        <w:ind w:left="0" w:right="567"/>
        <w:rPr>
          <w:rFonts w:ascii="Times New Roman" w:eastAsia="Times New Roman" w:hAnsi="Times New Roman" w:cs="Times New Roman"/>
          <w:lang w:eastAsia="en-CA"/>
        </w:rPr>
      </w:pPr>
      <w:r w:rsidRPr="00B5392A">
        <w:rPr>
          <w:rFonts w:ascii="Times New Roman" w:eastAsia="Times New Roman" w:hAnsi="Times New Roman" w:cs="Times New Roman"/>
          <w:lang w:eastAsia="en-CA"/>
        </w:rPr>
        <w:t xml:space="preserve">But what leads to popular support for reactionary politics? I will argue that two factors are key. The first is the recognition of changing dynamics within a culture – race, gender, class, wealth, political balance, traditional norms and beliefs and sexual norms, to be sure, but </w:t>
      </w:r>
      <w:r w:rsidRPr="00B5392A">
        <w:rPr>
          <w:rFonts w:ascii="Times New Roman" w:eastAsia="Times New Roman" w:hAnsi="Times New Roman" w:cs="Times New Roman"/>
          <w:i/>
          <w:iCs/>
          <w:lang w:eastAsia="en-CA"/>
        </w:rPr>
        <w:t>primarily</w:t>
      </w:r>
      <w:r w:rsidRPr="00B5392A">
        <w:rPr>
          <w:rFonts w:ascii="Times New Roman" w:eastAsia="Times New Roman" w:hAnsi="Times New Roman" w:cs="Times New Roman"/>
          <w:lang w:eastAsia="en-CA"/>
        </w:rPr>
        <w:t xml:space="preserve"> what matters is how an individual </w:t>
      </w:r>
      <w:r w:rsidRPr="00B5392A">
        <w:rPr>
          <w:rFonts w:ascii="Times New Roman" w:eastAsia="Times New Roman" w:hAnsi="Times New Roman" w:cs="Times New Roman"/>
          <w:i/>
          <w:iCs/>
          <w:lang w:eastAsia="en-CA"/>
        </w:rPr>
        <w:t>sees themselves</w:t>
      </w:r>
      <w:r w:rsidRPr="00B5392A">
        <w:rPr>
          <w:rFonts w:ascii="Times New Roman" w:eastAsia="Times New Roman" w:hAnsi="Times New Roman" w:cs="Times New Roman"/>
          <w:lang w:eastAsia="en-CA"/>
        </w:rPr>
        <w:t xml:space="preserve"> within the changing dynamics, and how change has altered their status within the culture. The second factor is a political one; in a culture experiences profound changes, there will emerge opportunists who will endeavor to exploit fears and insecurities, will magnify and distort these changes, and will use the fear, anger and insecurity that they stoke for political ends. </w:t>
      </w:r>
    </w:p>
    <w:p w14:paraId="1A9FBEB3" w14:textId="77777777" w:rsidR="00B10FA3" w:rsidRPr="00B5392A" w:rsidRDefault="00B10FA3" w:rsidP="0083407E">
      <w:pPr>
        <w:pStyle w:val="ListParagraph"/>
        <w:spacing w:after="0" w:line="480" w:lineRule="auto"/>
        <w:ind w:left="0" w:right="567"/>
        <w:rPr>
          <w:rFonts w:ascii="Times New Roman" w:eastAsia="Times New Roman" w:hAnsi="Times New Roman" w:cs="Times New Roman"/>
          <w:lang w:eastAsia="en-CA"/>
        </w:rPr>
      </w:pPr>
      <w:r w:rsidRPr="00B5392A">
        <w:rPr>
          <w:rFonts w:ascii="Times New Roman" w:eastAsia="Times New Roman" w:hAnsi="Times New Roman" w:cs="Times New Roman"/>
          <w:lang w:eastAsia="en-CA"/>
        </w:rPr>
        <w:t xml:space="preserve">     This is precisely what is happening in the US today; real change is underway, and a diverse public is reacting to a new a different 21</w:t>
      </w:r>
      <w:r w:rsidRPr="00B5392A">
        <w:rPr>
          <w:rFonts w:ascii="Times New Roman" w:eastAsia="Times New Roman" w:hAnsi="Times New Roman" w:cs="Times New Roman"/>
          <w:vertAlign w:val="superscript"/>
          <w:lang w:eastAsia="en-CA"/>
        </w:rPr>
        <w:t>st</w:t>
      </w:r>
      <w:r w:rsidRPr="00B5392A">
        <w:rPr>
          <w:rFonts w:ascii="Times New Roman" w:eastAsia="Times New Roman" w:hAnsi="Times New Roman" w:cs="Times New Roman"/>
          <w:lang w:eastAsia="en-CA"/>
        </w:rPr>
        <w:t xml:space="preserve"> century America. Some don’t like what they see. But others are trying to fan the flames of discontent, creating conflict where there is none, conjuring up old racial and gender tropes, and even resorting to religion as a time-tested means of establishing legitimacy. But their goal is not to reign in change, nor is it to assist those who are being most strongly tested by it.  They are using millions of people through misdirection, as a means to shift influence, power and money towards themselves.</w:t>
      </w:r>
    </w:p>
    <w:p w14:paraId="7D63A85F" w14:textId="77777777" w:rsidR="00B10FA3" w:rsidRPr="00B5392A" w:rsidRDefault="00B10FA3" w:rsidP="0061591A">
      <w:pPr>
        <w:spacing w:line="480" w:lineRule="auto"/>
        <w:rPr>
          <w:rFonts w:ascii="Times New Roman" w:hAnsi="Times New Roman" w:cs="Times New Roman"/>
        </w:rPr>
      </w:pPr>
      <w:r w:rsidRPr="00B5392A">
        <w:rPr>
          <w:rFonts w:ascii="Times New Roman" w:hAnsi="Times New Roman" w:cs="Times New Roman"/>
          <w:i/>
          <w:iCs/>
        </w:rPr>
        <w:t xml:space="preserve">     The goals have always been there</w:t>
      </w:r>
      <w:r w:rsidRPr="00B5392A">
        <w:rPr>
          <w:rFonts w:ascii="Times New Roman" w:hAnsi="Times New Roman" w:cs="Times New Roman"/>
        </w:rPr>
        <w:t>; scare the working class by portraying a radical, dependent and dangerous class of poor people (with obvious race overtones) who mean to take away that which one has worked their life to achieve.  Stoke their anger, take their political support, but give them nothing tangible in return. Provide them with an emotional agenda, and keep them wound up, while you whistle your way to the bank. See below.</w:t>
      </w:r>
    </w:p>
    <w:p w14:paraId="733F526C" w14:textId="77777777" w:rsidR="00B10FA3" w:rsidRPr="00B5392A" w:rsidRDefault="00B10FA3" w:rsidP="0061591A">
      <w:pPr>
        <w:spacing w:line="480" w:lineRule="auto"/>
        <w:rPr>
          <w:rFonts w:ascii="Times New Roman" w:hAnsi="Times New Roman" w:cs="Times New Roman"/>
        </w:rPr>
      </w:pPr>
    </w:p>
    <w:p w14:paraId="5F49FAA2" w14:textId="77777777" w:rsidR="00B10FA3" w:rsidRPr="00B5392A" w:rsidRDefault="00B10FA3" w:rsidP="0061591A">
      <w:pPr>
        <w:spacing w:line="480" w:lineRule="auto"/>
        <w:rPr>
          <w:rFonts w:ascii="Times New Roman" w:hAnsi="Times New Roman" w:cs="Times New Roman"/>
          <w:b/>
          <w:bCs/>
          <w:i/>
          <w:iCs/>
          <w:sz w:val="28"/>
          <w:szCs w:val="28"/>
        </w:rPr>
      </w:pPr>
      <w:r w:rsidRPr="00B5392A">
        <w:rPr>
          <w:rFonts w:ascii="Times New Roman" w:hAnsi="Times New Roman" w:cs="Times New Roman"/>
          <w:b/>
          <w:bCs/>
          <w:i/>
          <w:iCs/>
          <w:sz w:val="28"/>
          <w:szCs w:val="28"/>
        </w:rPr>
        <w:lastRenderedPageBreak/>
        <w:t>Political Economy</w:t>
      </w:r>
    </w:p>
    <w:p w14:paraId="34210D5E" w14:textId="77777777" w:rsidR="00B10FA3" w:rsidRPr="00B5392A" w:rsidRDefault="00B10FA3" w:rsidP="0061591A">
      <w:pPr>
        <w:spacing w:line="480" w:lineRule="auto"/>
        <w:rPr>
          <w:rFonts w:ascii="Times New Roman" w:hAnsi="Times New Roman" w:cs="Times New Roman"/>
        </w:rPr>
      </w:pPr>
      <w:r w:rsidRPr="00B5392A">
        <w:rPr>
          <w:rFonts w:ascii="Times New Roman" w:hAnsi="Times New Roman" w:cs="Times New Roman"/>
        </w:rPr>
        <w:t xml:space="preserve">     The concept of political economy, more commonly used in the 19</w:t>
      </w:r>
      <w:r w:rsidRPr="00B5392A">
        <w:rPr>
          <w:rFonts w:ascii="Times New Roman" w:hAnsi="Times New Roman" w:cs="Times New Roman"/>
          <w:vertAlign w:val="superscript"/>
        </w:rPr>
        <w:t>th</w:t>
      </w:r>
      <w:r w:rsidRPr="00B5392A">
        <w:rPr>
          <w:rFonts w:ascii="Times New Roman" w:hAnsi="Times New Roman" w:cs="Times New Roman"/>
        </w:rPr>
        <w:t xml:space="preserve"> and early 20</w:t>
      </w:r>
      <w:r w:rsidRPr="00B5392A">
        <w:rPr>
          <w:rFonts w:ascii="Times New Roman" w:hAnsi="Times New Roman" w:cs="Times New Roman"/>
          <w:vertAlign w:val="superscript"/>
        </w:rPr>
        <w:t>th</w:t>
      </w:r>
      <w:r w:rsidRPr="00B5392A">
        <w:rPr>
          <w:rFonts w:ascii="Times New Roman" w:hAnsi="Times New Roman" w:cs="Times New Roman"/>
        </w:rPr>
        <w:t xml:space="preserve"> centuries, refers to means by which a given society utilizes their resources, taxes their inhabitants, and directs benefit to their constituent groups. In other words, it is a way to define how a given society prioritizes its choices; who gets what and who doesn’t. It is the basic, rubber hits the road, in the face demonstration of a societies priorities. </w:t>
      </w:r>
    </w:p>
    <w:p w14:paraId="730A93EE" w14:textId="01AEB578" w:rsidR="00B10FA3" w:rsidRDefault="00B10FA3" w:rsidP="0061591A">
      <w:pPr>
        <w:spacing w:line="480" w:lineRule="auto"/>
      </w:pPr>
      <w:r w:rsidRPr="00B5392A">
        <w:rPr>
          <w:rFonts w:ascii="Times New Roman" w:hAnsi="Times New Roman" w:cs="Times New Roman"/>
        </w:rPr>
        <w:t xml:space="preserve">     Oddly, Americans tend, regarding tax policy, to favor their betters. Whether this is to spite the “other” and the underclass, or to simply express an aspiration to upward mobility…..or perhaps just a withdrawal from the entire exercise is not entirely clear. What is clear is that Americans have, since the Reagan era, repeatedly </w:t>
      </w:r>
      <w:r w:rsidR="00A36874" w:rsidRPr="00B5392A">
        <w:rPr>
          <w:rFonts w:ascii="Times New Roman" w:hAnsi="Times New Roman" w:cs="Times New Roman"/>
        </w:rPr>
        <w:t xml:space="preserve">acquiesced to </w:t>
      </w:r>
      <w:r w:rsidRPr="00B5392A">
        <w:rPr>
          <w:rFonts w:ascii="Times New Roman" w:hAnsi="Times New Roman" w:cs="Times New Roman"/>
        </w:rPr>
        <w:t>tax legislation that disproportionately helps the well to do. One might ask why is this so, and below is some data that may provide a small hint as  how elite politics on the right functions in the United States.</w:t>
      </w:r>
    </w:p>
    <w:p w14:paraId="77DA07EB" w14:textId="77777777" w:rsidR="00B10FA3" w:rsidRDefault="00B10FA3" w:rsidP="0061591A">
      <w:pPr>
        <w:spacing w:line="480" w:lineRule="auto"/>
        <w:rPr>
          <w:b/>
          <w:bCs/>
          <w:i/>
          <w:iCs/>
        </w:rPr>
      </w:pPr>
    </w:p>
    <w:p w14:paraId="026EC952" w14:textId="77777777" w:rsidR="00B10FA3" w:rsidRPr="008217A3" w:rsidRDefault="00B10FA3" w:rsidP="0061591A">
      <w:pPr>
        <w:spacing w:line="480" w:lineRule="auto"/>
        <w:rPr>
          <w:b/>
          <w:bCs/>
          <w:i/>
          <w:iCs/>
          <w:sz w:val="28"/>
          <w:szCs w:val="28"/>
        </w:rPr>
      </w:pPr>
      <w:r w:rsidRPr="008217A3">
        <w:rPr>
          <w:b/>
          <w:bCs/>
          <w:i/>
          <w:iCs/>
          <w:sz w:val="28"/>
          <w:szCs w:val="28"/>
        </w:rPr>
        <w:t>The Koch Brothers</w:t>
      </w:r>
    </w:p>
    <w:p w14:paraId="6F2E0782" w14:textId="65A1F4FF" w:rsidR="00B10FA3" w:rsidRDefault="00B10FA3" w:rsidP="003C478D">
      <w:pPr>
        <w:pStyle w:val="dcr-1kas69x"/>
        <w:spacing w:line="480" w:lineRule="auto"/>
        <w:ind w:left="454" w:right="454"/>
      </w:pPr>
      <w:r>
        <w:t xml:space="preserve">     In the </w:t>
      </w:r>
      <w:r w:rsidR="008B765F">
        <w:t xml:space="preserve">early hours </w:t>
      </w:r>
      <w:r>
        <w:t xml:space="preserve">of February 2011, </w:t>
      </w:r>
      <w:r w:rsidR="008B765F">
        <w:t xml:space="preserve">there </w:t>
      </w:r>
      <w:r>
        <w:t>was an unprecedented push by Wisconsin Republicans, led by the state’s newly elected Republican governor, Scott Walker, to slash the union rights held by most public workers. Walker argued that budget woes in the state necessitated the shift, and barrelled forward to eliminate the rights of virtually all public-sector workers to collectively bargain with government and to allow government employees to opt out of paying dues to their unions.</w:t>
      </w:r>
    </w:p>
    <w:p w14:paraId="53E2F353" w14:textId="77777777" w:rsidR="00B10FA3" w:rsidRDefault="00B10FA3" w:rsidP="003C478D">
      <w:pPr>
        <w:pStyle w:val="dcr-1kas69x"/>
        <w:spacing w:line="480" w:lineRule="auto"/>
        <w:ind w:left="454" w:right="454"/>
      </w:pPr>
      <w:r>
        <w:t xml:space="preserve">     At first blush this might seem like a years-old local issue in a US state that rarely lights up the international headlines. Yet events in Wisconsin are crucial to understanding how a little-known, billionaire-funded organization, called Americans </w:t>
      </w:r>
      <w:r>
        <w:lastRenderedPageBreak/>
        <w:t>for Prosperity (AFP), has tilted American politics to the right. It is intertwined with, and rivals in size, the Republican party itself.</w:t>
      </w:r>
    </w:p>
    <w:p w14:paraId="449D93B0" w14:textId="77777777" w:rsidR="00B10FA3" w:rsidRDefault="00B10FA3" w:rsidP="003C478D">
      <w:pPr>
        <w:pStyle w:val="dcr-1kas69x"/>
        <w:spacing w:line="480" w:lineRule="auto"/>
        <w:ind w:left="454" w:right="454"/>
      </w:pPr>
      <w:r>
        <w:t xml:space="preserve">     Where did Walker’s ultra-conservative labor agenda come from? As a candidate, Walker barely mentioned collective bargaining or union busting. And we now know, this plan did not come from voters. Before the legislation popped up on the agenda, Wisconsinites generally supported collective bargaining. Nationally, only about 40% of American adults favor curbs to public sector bargaining rights, and in Wisconsin, this minority level of support was about the same.</w:t>
      </w:r>
    </w:p>
    <w:p w14:paraId="6C37AD4A" w14:textId="77777777" w:rsidR="00B10FA3" w:rsidRDefault="00B10FA3" w:rsidP="003C478D">
      <w:pPr>
        <w:pStyle w:val="dcr-1kas69x"/>
        <w:spacing w:line="480" w:lineRule="auto"/>
        <w:ind w:left="454" w:right="454"/>
      </w:pPr>
      <w:r>
        <w:t xml:space="preserve">     Instead, to understand what happened in Wisconsin – and what is happening in states across the country – we need to look to the underappreciated organization that is at the center of the political network created and directed by the billionaire conservative industrialists, Charles and David Koch.</w:t>
      </w:r>
    </w:p>
    <w:p w14:paraId="2EFFCE5E" w14:textId="77777777" w:rsidR="00B10FA3" w:rsidRDefault="00B10FA3" w:rsidP="003C478D">
      <w:pPr>
        <w:pStyle w:val="dcr-1kas69x"/>
        <w:spacing w:line="480" w:lineRule="auto"/>
        <w:ind w:left="454" w:right="454"/>
      </w:pPr>
      <w:r>
        <w:t xml:space="preserve">     The members of AFP who helped brainstorm Walker’s efforts knew that the legislation would impact union membership – and go far beyond it. Since the passage of the anti-union bill, public union membership rates in Wisconsin have plummeted by more than half, falling from around 50% in 2011 to around 19% by 2017. With fewer members and revenue, the political clout of the labor unions has fallen sharply. Campaign contributions by teachers’ unions to state and local races have fallen by nearly 70%.</w:t>
      </w:r>
    </w:p>
    <w:p w14:paraId="269CC7F0" w14:textId="6FBA26AD" w:rsidR="00B10FA3" w:rsidRDefault="00B10FA3" w:rsidP="003C478D">
      <w:pPr>
        <w:pStyle w:val="dcr-1kas69x"/>
        <w:spacing w:line="480" w:lineRule="auto"/>
        <w:ind w:left="454" w:right="454"/>
      </w:pPr>
      <w:r>
        <w:t>It is not just union policy where Walker and the state Republicans have worked hand-in-glove with AFP. Ongoing research we are conducting on AFP-WI indicates that much of the Wisconsin Republican party’s agenda reflects AFP priorities.</w:t>
      </w:r>
      <w:r>
        <w:rPr>
          <w:rStyle w:val="Strong"/>
        </w:rPr>
        <w:t xml:space="preserve"> </w:t>
      </w:r>
      <w:r>
        <w:t xml:space="preserve">Take welfare reform: Walker developed and signed into law </w:t>
      </w:r>
      <w:r w:rsidR="008B765F">
        <w:t xml:space="preserve">a plan </w:t>
      </w:r>
      <w:r>
        <w:t xml:space="preserve">that hewed closely to </w:t>
      </w:r>
      <w:r>
        <w:lastRenderedPageBreak/>
        <w:t>AFP priorities, like instituting work requirements for food support and public housing benefits and creating health savings accounts for Medicaid recipients.</w:t>
      </w:r>
      <w:r>
        <w:rPr>
          <w:rStyle w:val="FootnoteReference"/>
          <w:rFonts w:eastAsiaTheme="majorEastAsia"/>
        </w:rPr>
        <w:footnoteReference w:id="13"/>
      </w:r>
    </w:p>
    <w:p w14:paraId="67AF0938" w14:textId="77777777" w:rsidR="00B10FA3" w:rsidRPr="00F8653E" w:rsidRDefault="00B10FA3" w:rsidP="003C478D">
      <w:pPr>
        <w:spacing w:line="480" w:lineRule="auto"/>
        <w:ind w:left="454" w:firstLine="300"/>
        <w:rPr>
          <w:rFonts w:ascii="Times New Roman" w:hAnsi="Times New Roman" w:cs="Times New Roman"/>
        </w:rPr>
      </w:pPr>
      <w:r w:rsidRPr="00F8653E">
        <w:rPr>
          <w:rFonts w:ascii="Times New Roman" w:hAnsi="Times New Roman" w:cs="Times New Roman"/>
        </w:rPr>
        <w:t>Another analysis of the Koch network reveals the connection between elite, free market ideology and the election of right-wing American politicians from working class districts:</w:t>
      </w:r>
    </w:p>
    <w:p w14:paraId="41018AAD" w14:textId="77777777" w:rsidR="00B10FA3" w:rsidRDefault="00B10FA3" w:rsidP="00A721B9">
      <w:pPr>
        <w:pStyle w:val="dcr-1kas69x"/>
        <w:spacing w:line="240" w:lineRule="exact"/>
        <w:ind w:left="454" w:right="454"/>
      </w:pPr>
      <w:r>
        <w:t>But what kind of force? Explicitly or implicitly, the Koch network is usually treated as a corporate dark money "front group" shoveling funds through dozens of conduits and conservative groups into national elections. A typical portrayal is the "Maze of Money" chart created by Open Secrets to display a spider-like web of some $400 million in 2012 election funding said to be directly or indirectly connected to the Kochs. In the post Citizens United era, political donations are often routed through secret channels, so charts like this one necessarily miss a great deal. But, ironically, they also lead observers to see "Kochtopus" tentacles in almost every conservative group or cause, ranging from longstanding mainstays like the U.S. Chamber of Commerce, the National Rifle Association, and Christian right groups, to temporary fronts….</w:t>
      </w:r>
      <w:r>
        <w:rPr>
          <w:rStyle w:val="FootnoteReference"/>
          <w:rFonts w:eastAsiaTheme="majorEastAsia"/>
        </w:rPr>
        <w:footnoteReference w:id="14"/>
      </w:r>
    </w:p>
    <w:p w14:paraId="7331E6D0" w14:textId="77777777" w:rsidR="00B10FA3" w:rsidRDefault="00B10FA3" w:rsidP="00A721B9">
      <w:pPr>
        <w:pStyle w:val="dcr-1kas69x"/>
        <w:spacing w:line="240" w:lineRule="exact"/>
        <w:ind w:left="454" w:right="454"/>
      </w:pPr>
    </w:p>
    <w:p w14:paraId="5C709CD7" w14:textId="77777777" w:rsidR="00B10FA3" w:rsidRDefault="00B10FA3" w:rsidP="003C478D">
      <w:pPr>
        <w:pStyle w:val="dcr-1kas69x"/>
        <w:spacing w:line="240" w:lineRule="exact"/>
        <w:ind w:left="454" w:right="454"/>
      </w:pPr>
      <w:r>
        <w:t>As we have learned from career histories and news coverage, many AFP leaders (as well as grassroots supporters) are Christian conservatives opposed to abortion and gay marriage, and quite a few activists involved with AFP want to restrict immigration. But these "social issues" are not core AFP concerns. As an organization, AFP does not take stands on most hot-button social issues or give much, if any, public attention to them. Especially in conservative states, AFP definitely cooperates in elections and issue campaigns with gun-rights groups, Christian right groups, and even immigration restriction groups. On an ad hoc basis, AFP joins typical conservative alliances.</w:t>
      </w:r>
      <w:r>
        <w:rPr>
          <w:rStyle w:val="FootnoteReference"/>
          <w:rFonts w:eastAsiaTheme="majorEastAsia"/>
        </w:rPr>
        <w:footnoteReference w:id="15"/>
      </w:r>
    </w:p>
    <w:p w14:paraId="673DD7DE" w14:textId="77777777" w:rsidR="00B10FA3" w:rsidRDefault="00B10FA3" w:rsidP="005F5CC9">
      <w:pPr>
        <w:pStyle w:val="dcr-1kas69x"/>
        <w:ind w:left="454" w:right="454"/>
      </w:pPr>
    </w:p>
    <w:p w14:paraId="4A8F51D7" w14:textId="77777777" w:rsidR="00B10FA3" w:rsidRDefault="00B10FA3" w:rsidP="00AD7DD2">
      <w:pPr>
        <w:spacing w:line="240" w:lineRule="auto"/>
        <w:ind w:left="340" w:right="340"/>
      </w:pPr>
    </w:p>
    <w:p w14:paraId="7743780C" w14:textId="4656281D" w:rsidR="00B10FA3" w:rsidRPr="00F8653E" w:rsidRDefault="00F8653E" w:rsidP="0061591A">
      <w:pPr>
        <w:spacing w:line="480" w:lineRule="auto"/>
        <w:rPr>
          <w:rFonts w:ascii="Times New Roman" w:hAnsi="Times New Roman" w:cs="Times New Roman"/>
        </w:rPr>
      </w:pPr>
      <w:r>
        <w:rPr>
          <w:rFonts w:ascii="Times New Roman" w:hAnsi="Times New Roman" w:cs="Times New Roman"/>
        </w:rPr>
        <w:t xml:space="preserve">      </w:t>
      </w:r>
      <w:r w:rsidR="00B10FA3" w:rsidRPr="00F8653E">
        <w:rPr>
          <w:rFonts w:ascii="Times New Roman" w:hAnsi="Times New Roman" w:cs="Times New Roman"/>
        </w:rPr>
        <w:t>Another analysis of the Koch network reveals the connection between elite, free market ideology and the election of right-wing American politicians from working class districts:</w:t>
      </w:r>
    </w:p>
    <w:p w14:paraId="2FBAB37D" w14:textId="46C9C470" w:rsidR="00B10FA3" w:rsidRPr="00F8653E" w:rsidRDefault="00B10FA3" w:rsidP="001070D8">
      <w:pPr>
        <w:spacing w:line="480" w:lineRule="auto"/>
        <w:ind w:left="113" w:right="113"/>
        <w:rPr>
          <w:rFonts w:ascii="Times New Roman" w:hAnsi="Times New Roman" w:cs="Times New Roman"/>
        </w:rPr>
      </w:pPr>
      <w:r w:rsidRPr="00F8653E">
        <w:rPr>
          <w:rFonts w:ascii="Times New Roman" w:hAnsi="Times New Roman" w:cs="Times New Roman"/>
        </w:rPr>
        <w:lastRenderedPageBreak/>
        <w:t xml:space="preserve"> Arguably, Koch network pressures and inducements have so effectively influenced GOP politicians that many of them end up vulnerable to populist defections from voters</w:t>
      </w:r>
      <w:r w:rsidR="00FB4929">
        <w:rPr>
          <w:rFonts w:ascii="Times New Roman" w:hAnsi="Times New Roman" w:cs="Times New Roman"/>
        </w:rPr>
        <w:t xml:space="preserve"> </w:t>
      </w:r>
      <w:r w:rsidRPr="00F8653E">
        <w:rPr>
          <w:rFonts w:ascii="Times New Roman" w:hAnsi="Times New Roman" w:cs="Times New Roman"/>
        </w:rPr>
        <w:t>who dissent from or don't care about ultra-free-market orthodoxies on trade or immigration or slashing elderly entitlements. In the 2016 Republican primaries, Donald Trump was able to maneuver successfully the yaw</w:t>
      </w:r>
      <w:r w:rsidR="00BE4549">
        <w:rPr>
          <w:rFonts w:ascii="Times New Roman" w:hAnsi="Times New Roman" w:cs="Times New Roman"/>
        </w:rPr>
        <w:t>n</w:t>
      </w:r>
      <w:r w:rsidRPr="00F8653E">
        <w:rPr>
          <w:rFonts w:ascii="Times New Roman" w:hAnsi="Times New Roman" w:cs="Times New Roman"/>
        </w:rPr>
        <w:t>ing gap between the priorities of most voters (including many Republicans and Independents) and the Koch economic</w:t>
      </w:r>
      <w:r w:rsidR="001610FE">
        <w:rPr>
          <w:rFonts w:ascii="Times New Roman" w:hAnsi="Times New Roman" w:cs="Times New Roman"/>
        </w:rPr>
        <w:t xml:space="preserve"> </w:t>
      </w:r>
      <w:r w:rsidRPr="00F8653E">
        <w:rPr>
          <w:rFonts w:ascii="Times New Roman" w:hAnsi="Times New Roman" w:cs="Times New Roman"/>
        </w:rPr>
        <w:t>orthodoxies embraced by the GOP establishment.</w:t>
      </w:r>
      <w:r w:rsidRPr="00F8653E">
        <w:rPr>
          <w:rStyle w:val="FootnoteReference"/>
          <w:rFonts w:ascii="Times New Roman" w:hAnsi="Times New Roman" w:cs="Times New Roman"/>
        </w:rPr>
        <w:footnoteReference w:id="16"/>
      </w:r>
    </w:p>
    <w:p w14:paraId="28849DF9" w14:textId="77777777" w:rsidR="00B10FA3" w:rsidRPr="00F8653E" w:rsidRDefault="00B10FA3" w:rsidP="001070D8">
      <w:pPr>
        <w:spacing w:line="480" w:lineRule="auto"/>
        <w:ind w:left="113" w:right="113"/>
        <w:rPr>
          <w:rFonts w:ascii="Times New Roman" w:hAnsi="Times New Roman" w:cs="Times New Roman"/>
        </w:rPr>
      </w:pPr>
      <w:r w:rsidRPr="00F8653E">
        <w:rPr>
          <w:rFonts w:ascii="Times New Roman" w:hAnsi="Times New Roman" w:cs="Times New Roman"/>
        </w:rPr>
        <w:t>-----</w:t>
      </w:r>
    </w:p>
    <w:p w14:paraId="02AD31F4" w14:textId="22B68D3A" w:rsidR="00B10FA3" w:rsidRPr="00F8653E" w:rsidRDefault="008B2BE8" w:rsidP="001070D8">
      <w:pPr>
        <w:spacing w:line="480" w:lineRule="auto"/>
        <w:ind w:left="113" w:right="113"/>
        <w:rPr>
          <w:rFonts w:ascii="Times New Roman" w:hAnsi="Times New Roman" w:cs="Times New Roman"/>
        </w:rPr>
      </w:pPr>
      <w:r>
        <w:rPr>
          <w:rFonts w:ascii="Times New Roman" w:hAnsi="Times New Roman" w:cs="Times New Roman"/>
        </w:rPr>
        <w:t xml:space="preserve">     </w:t>
      </w:r>
      <w:r w:rsidR="00B10FA3" w:rsidRPr="00F8653E">
        <w:rPr>
          <w:rFonts w:ascii="Times New Roman" w:hAnsi="Times New Roman" w:cs="Times New Roman"/>
        </w:rPr>
        <w:t xml:space="preserve">Put simply, when Koch organizations, the national Chamber of Commerce, and an array of other ideological and corporate groups call in one loud voice for government cutbacks, upward-tilted tax reductions, and anti-union measures, virtually all of today's Republicans do their bidding despite what most </w:t>
      </w:r>
      <w:r w:rsidR="00B0387C">
        <w:rPr>
          <w:rFonts w:ascii="Times New Roman" w:hAnsi="Times New Roman" w:cs="Times New Roman"/>
        </w:rPr>
        <w:t xml:space="preserve">(working and middle class) </w:t>
      </w:r>
      <w:r w:rsidR="00B10FA3" w:rsidRPr="00F8653E">
        <w:rPr>
          <w:rFonts w:ascii="Times New Roman" w:hAnsi="Times New Roman" w:cs="Times New Roman"/>
        </w:rPr>
        <w:t>Americans say they prefer.</w:t>
      </w:r>
      <w:r w:rsidR="00B10FA3" w:rsidRPr="00F8653E">
        <w:rPr>
          <w:rStyle w:val="FootnoteReference"/>
          <w:rFonts w:ascii="Times New Roman" w:hAnsi="Times New Roman" w:cs="Times New Roman"/>
        </w:rPr>
        <w:footnoteReference w:id="17"/>
      </w:r>
    </w:p>
    <w:p w14:paraId="4961FE9C" w14:textId="77777777" w:rsidR="00B10FA3" w:rsidRDefault="00B10FA3" w:rsidP="0061591A">
      <w:pPr>
        <w:spacing w:line="480" w:lineRule="auto"/>
      </w:pPr>
    </w:p>
    <w:p w14:paraId="4F717D84" w14:textId="77777777" w:rsidR="00B10FA3" w:rsidRPr="00656B2B" w:rsidRDefault="00B10FA3" w:rsidP="005F5CC9">
      <w:pPr>
        <w:spacing w:line="240" w:lineRule="auto"/>
        <w:ind w:left="454" w:right="454"/>
      </w:pPr>
    </w:p>
    <w:p w14:paraId="4FE90F70" w14:textId="77777777" w:rsidR="00B10FA3" w:rsidRPr="00A21870" w:rsidRDefault="00B10FA3" w:rsidP="0061591A">
      <w:pPr>
        <w:spacing w:line="480" w:lineRule="auto"/>
        <w:rPr>
          <w:color w:val="FF0000"/>
        </w:rPr>
      </w:pPr>
    </w:p>
    <w:p w14:paraId="3B021766" w14:textId="77777777" w:rsidR="00B10FA3" w:rsidRPr="00656B2B" w:rsidRDefault="00B10FA3" w:rsidP="0061591A">
      <w:pPr>
        <w:spacing w:line="480" w:lineRule="auto"/>
      </w:pPr>
    </w:p>
    <w:p w14:paraId="5A488A7B" w14:textId="77777777" w:rsidR="00B10FA3" w:rsidRPr="00656B2B" w:rsidRDefault="00B10FA3" w:rsidP="0061591A">
      <w:pPr>
        <w:spacing w:line="480" w:lineRule="auto"/>
      </w:pPr>
    </w:p>
    <w:p w14:paraId="2BF57623" w14:textId="77777777" w:rsidR="00B10FA3" w:rsidRPr="00656B2B" w:rsidRDefault="00B10FA3" w:rsidP="0061591A">
      <w:pPr>
        <w:spacing w:line="480" w:lineRule="auto"/>
      </w:pPr>
    </w:p>
    <w:p w14:paraId="1BA08643" w14:textId="77777777" w:rsidR="00B10FA3" w:rsidRDefault="00B10FA3">
      <w:pPr>
        <w:rPr>
          <w:rFonts w:ascii="Times New Roman" w:hAnsi="Times New Roman" w:cs="Times New Roman"/>
          <w:sz w:val="28"/>
          <w:szCs w:val="28"/>
        </w:rPr>
      </w:pPr>
      <w:r>
        <w:tab/>
      </w:r>
      <w:r>
        <w:tab/>
      </w:r>
      <w:r>
        <w:tab/>
      </w:r>
      <w:r>
        <w:tab/>
      </w:r>
      <w:r>
        <w:tab/>
      </w:r>
    </w:p>
    <w:p w14:paraId="784B7029" w14:textId="77777777" w:rsidR="00B10FA3" w:rsidRDefault="00B10FA3">
      <w:pPr>
        <w:rPr>
          <w:rFonts w:ascii="Times New Roman" w:hAnsi="Times New Roman" w:cs="Times New Roman"/>
          <w:sz w:val="28"/>
          <w:szCs w:val="28"/>
        </w:rPr>
      </w:pPr>
    </w:p>
    <w:p w14:paraId="011ABB1A" w14:textId="77777777" w:rsidR="00B10FA3" w:rsidRDefault="00B10FA3">
      <w:pPr>
        <w:rPr>
          <w:rFonts w:ascii="Times New Roman" w:hAnsi="Times New Roman" w:cs="Times New Roman"/>
          <w:sz w:val="28"/>
          <w:szCs w:val="28"/>
        </w:rPr>
      </w:pPr>
    </w:p>
    <w:p w14:paraId="79887EA0" w14:textId="77777777" w:rsidR="00B10FA3" w:rsidRDefault="00B10FA3">
      <w:pPr>
        <w:rPr>
          <w:rFonts w:ascii="Times New Roman" w:hAnsi="Times New Roman" w:cs="Times New Roman"/>
          <w:sz w:val="28"/>
          <w:szCs w:val="28"/>
        </w:rPr>
      </w:pPr>
    </w:p>
    <w:p w14:paraId="2E9FC5BA" w14:textId="77777777" w:rsidR="00B5392A" w:rsidRDefault="00B5392A">
      <w:pPr>
        <w:rPr>
          <w:rFonts w:ascii="Times New Roman" w:hAnsi="Times New Roman" w:cs="Times New Roman"/>
          <w:sz w:val="28"/>
          <w:szCs w:val="28"/>
        </w:rPr>
      </w:pPr>
    </w:p>
    <w:p w14:paraId="0CB9ACEB" w14:textId="77777777" w:rsidR="00B5392A" w:rsidRDefault="00B5392A">
      <w:pPr>
        <w:rPr>
          <w:rFonts w:ascii="Times New Roman" w:hAnsi="Times New Roman" w:cs="Times New Roman"/>
          <w:sz w:val="28"/>
          <w:szCs w:val="28"/>
        </w:rPr>
      </w:pPr>
    </w:p>
    <w:p w14:paraId="7EFE3A06" w14:textId="77777777" w:rsidR="00B5392A" w:rsidRDefault="00B5392A">
      <w:pPr>
        <w:rPr>
          <w:rFonts w:ascii="Times New Roman" w:hAnsi="Times New Roman" w:cs="Times New Roman"/>
          <w:sz w:val="28"/>
          <w:szCs w:val="28"/>
        </w:rPr>
      </w:pPr>
    </w:p>
    <w:p w14:paraId="2D60266A" w14:textId="77777777" w:rsidR="00B5392A" w:rsidRDefault="00B5392A">
      <w:pPr>
        <w:rPr>
          <w:rFonts w:ascii="Times New Roman" w:hAnsi="Times New Roman" w:cs="Times New Roman"/>
          <w:sz w:val="28"/>
          <w:szCs w:val="28"/>
        </w:rPr>
      </w:pPr>
    </w:p>
    <w:p w14:paraId="2C7A66F9" w14:textId="77777777" w:rsidR="00B5392A" w:rsidRDefault="00B5392A">
      <w:pPr>
        <w:rPr>
          <w:rFonts w:ascii="Times New Roman" w:hAnsi="Times New Roman" w:cs="Times New Roman"/>
          <w:sz w:val="28"/>
          <w:szCs w:val="28"/>
        </w:rPr>
      </w:pPr>
    </w:p>
    <w:p w14:paraId="524049EB" w14:textId="77777777" w:rsidR="00B5392A" w:rsidRDefault="00B5392A">
      <w:pPr>
        <w:rPr>
          <w:rFonts w:ascii="Times New Roman" w:hAnsi="Times New Roman" w:cs="Times New Roman"/>
          <w:sz w:val="28"/>
          <w:szCs w:val="28"/>
        </w:rPr>
      </w:pPr>
    </w:p>
    <w:p w14:paraId="046ECA73" w14:textId="77777777" w:rsidR="00B10FA3" w:rsidRDefault="00B10FA3">
      <w:pPr>
        <w:rPr>
          <w:rFonts w:ascii="Times New Roman" w:hAnsi="Times New Roman" w:cs="Times New Roman"/>
          <w:sz w:val="28"/>
          <w:szCs w:val="28"/>
        </w:rPr>
      </w:pPr>
    </w:p>
    <w:p w14:paraId="29594245" w14:textId="77777777" w:rsidR="00B10FA3" w:rsidRDefault="00B10FA3">
      <w:pPr>
        <w:rPr>
          <w:rFonts w:ascii="Times New Roman" w:hAnsi="Times New Roman" w:cs="Times New Roman"/>
          <w:sz w:val="28"/>
          <w:szCs w:val="28"/>
        </w:rPr>
      </w:pPr>
    </w:p>
    <w:p w14:paraId="60501626" w14:textId="7D2D4959" w:rsidR="00B10FA3" w:rsidRPr="002E69D4" w:rsidRDefault="00B10FA3">
      <w:pPr>
        <w:rPr>
          <w:rFonts w:ascii="Times New Roman" w:hAnsi="Times New Roman" w:cs="Times New Roman"/>
          <w:b/>
          <w:bCs/>
          <w:i/>
          <w:iCs/>
          <w:sz w:val="28"/>
          <w:szCs w:val="28"/>
        </w:rPr>
      </w:pPr>
      <w:r>
        <w:rPr>
          <w:rFonts w:ascii="Times New Roman" w:hAnsi="Times New Roman" w:cs="Times New Roman"/>
          <w:sz w:val="28"/>
          <w:szCs w:val="28"/>
        </w:rPr>
        <w:tab/>
      </w:r>
      <w:r w:rsidR="00990133">
        <w:rPr>
          <w:rFonts w:ascii="Times New Roman" w:hAnsi="Times New Roman" w:cs="Times New Roman"/>
          <w:sz w:val="28"/>
          <w:szCs w:val="28"/>
        </w:rPr>
        <w:t xml:space="preserve">                                  </w:t>
      </w:r>
      <w:r>
        <w:rPr>
          <w:rFonts w:ascii="Times New Roman" w:hAnsi="Times New Roman" w:cs="Times New Roman"/>
          <w:sz w:val="28"/>
          <w:szCs w:val="28"/>
        </w:rPr>
        <w:t xml:space="preserve">    </w:t>
      </w:r>
      <w:r w:rsidR="00AB00BF">
        <w:rPr>
          <w:rFonts w:ascii="Times New Roman" w:hAnsi="Times New Roman" w:cs="Times New Roman"/>
          <w:sz w:val="28"/>
          <w:szCs w:val="28"/>
        </w:rPr>
        <w:t xml:space="preserve">  </w:t>
      </w:r>
      <w:r>
        <w:rPr>
          <w:rFonts w:ascii="Times New Roman" w:hAnsi="Times New Roman" w:cs="Times New Roman"/>
          <w:b/>
          <w:bCs/>
          <w:i/>
          <w:iCs/>
          <w:sz w:val="28"/>
          <w:szCs w:val="28"/>
        </w:rPr>
        <w:t>Chapter 2</w:t>
      </w:r>
    </w:p>
    <w:p w14:paraId="7B6E9BC6" w14:textId="77777777" w:rsidR="00B10FA3" w:rsidRDefault="00B10FA3"/>
    <w:p w14:paraId="5D5AF151" w14:textId="77777777" w:rsidR="00B10FA3" w:rsidRPr="00A84274" w:rsidRDefault="00B10FA3">
      <w:pPr>
        <w:rPr>
          <w:sz w:val="32"/>
          <w:szCs w:val="32"/>
        </w:rPr>
      </w:pPr>
    </w:p>
    <w:p w14:paraId="04E889F8" w14:textId="651909CD" w:rsidR="00B10FA3" w:rsidRPr="00232E4E" w:rsidRDefault="00B10FA3">
      <w:pPr>
        <w:rPr>
          <w:b/>
          <w:bCs/>
          <w:i/>
          <w:iCs/>
          <w:sz w:val="32"/>
          <w:szCs w:val="32"/>
        </w:rPr>
      </w:pPr>
      <w:r>
        <w:rPr>
          <w:sz w:val="32"/>
          <w:szCs w:val="32"/>
        </w:rPr>
        <w:t xml:space="preserve">                     </w:t>
      </w:r>
      <w:r w:rsidRPr="00A84274">
        <w:rPr>
          <w:sz w:val="32"/>
          <w:szCs w:val="32"/>
        </w:rPr>
        <w:tab/>
      </w:r>
      <w:r>
        <w:rPr>
          <w:sz w:val="32"/>
          <w:szCs w:val="32"/>
        </w:rPr>
        <w:t xml:space="preserve"> </w:t>
      </w:r>
      <w:r w:rsidR="00B0387C">
        <w:rPr>
          <w:sz w:val="32"/>
          <w:szCs w:val="32"/>
        </w:rPr>
        <w:t xml:space="preserve"> </w:t>
      </w:r>
      <w:r w:rsidRPr="00232E4E">
        <w:rPr>
          <w:i/>
          <w:iCs/>
          <w:sz w:val="32"/>
          <w:szCs w:val="32"/>
        </w:rPr>
        <w:t xml:space="preserve">   </w:t>
      </w:r>
      <w:r w:rsidRPr="00232E4E">
        <w:rPr>
          <w:b/>
          <w:bCs/>
          <w:i/>
          <w:iCs/>
          <w:sz w:val="32"/>
          <w:szCs w:val="32"/>
        </w:rPr>
        <w:t>American Political Culture</w:t>
      </w:r>
    </w:p>
    <w:p w14:paraId="6801A4E4" w14:textId="77777777" w:rsidR="00B10FA3" w:rsidRDefault="00B10FA3">
      <w:pPr>
        <w:rPr>
          <w:b/>
          <w:bCs/>
          <w:i/>
          <w:iCs/>
        </w:rPr>
      </w:pPr>
    </w:p>
    <w:p w14:paraId="221FA8B4" w14:textId="77777777" w:rsidR="00B10FA3" w:rsidRDefault="00B10FA3">
      <w:pPr>
        <w:rPr>
          <w:rFonts w:ascii="Times New Roman" w:hAnsi="Times New Roman" w:cs="Times New Roman"/>
          <w:b/>
          <w:bCs/>
          <w:i/>
          <w:iCs/>
        </w:rPr>
      </w:pPr>
    </w:p>
    <w:p w14:paraId="3397CE1E" w14:textId="77777777" w:rsidR="00B10FA3" w:rsidRDefault="00B10FA3">
      <w:pPr>
        <w:rPr>
          <w:rFonts w:ascii="Times New Roman" w:hAnsi="Times New Roman" w:cs="Times New Roman"/>
          <w:b/>
          <w:bCs/>
          <w:i/>
          <w:iCs/>
        </w:rPr>
      </w:pPr>
    </w:p>
    <w:p w14:paraId="61CB2EBC" w14:textId="77777777" w:rsidR="00B10FA3" w:rsidRDefault="00B10FA3">
      <w:pPr>
        <w:rPr>
          <w:rFonts w:ascii="Times New Roman" w:hAnsi="Times New Roman" w:cs="Times New Roman"/>
          <w:b/>
          <w:bCs/>
          <w:i/>
          <w:iCs/>
        </w:rPr>
      </w:pPr>
    </w:p>
    <w:p w14:paraId="4ACCDA55" w14:textId="77777777" w:rsidR="00B10FA3" w:rsidRPr="00883FDB" w:rsidRDefault="00B10FA3">
      <w:pPr>
        <w:rPr>
          <w:rFonts w:ascii="Times New Roman" w:hAnsi="Times New Roman" w:cs="Times New Roman"/>
          <w:b/>
          <w:bCs/>
          <w:i/>
          <w:iCs/>
        </w:rPr>
      </w:pPr>
    </w:p>
    <w:p w14:paraId="2FE0C845" w14:textId="77777777" w:rsidR="00B10FA3" w:rsidRPr="00883FDB" w:rsidRDefault="00B10FA3" w:rsidP="00FE4561">
      <w:pPr>
        <w:spacing w:line="240" w:lineRule="auto"/>
        <w:ind w:left="2155" w:right="2155"/>
        <w:rPr>
          <w:rFonts w:ascii="Times New Roman" w:hAnsi="Times New Roman" w:cs="Times New Roman"/>
          <w:i/>
          <w:iCs/>
        </w:rPr>
      </w:pPr>
      <w:r w:rsidRPr="00883FDB">
        <w:rPr>
          <w:rFonts w:ascii="Times New Roman" w:hAnsi="Times New Roman" w:cs="Times New Roman"/>
          <w:i/>
          <w:iCs/>
        </w:rPr>
        <w:t>In America, there are two political parties. The first is the Republican Party, which is the conservative party. The second is the Democratic Party, which is the other conservative party.</w:t>
      </w:r>
    </w:p>
    <w:p w14:paraId="5D6FCD4A" w14:textId="77777777" w:rsidR="00B10FA3" w:rsidRPr="00883FDB" w:rsidRDefault="00B10FA3" w:rsidP="00FE4561">
      <w:pPr>
        <w:spacing w:line="240" w:lineRule="auto"/>
        <w:ind w:left="2155" w:right="2155"/>
        <w:rPr>
          <w:rFonts w:ascii="Times New Roman" w:hAnsi="Times New Roman" w:cs="Times New Roman"/>
          <w:i/>
          <w:iCs/>
        </w:rPr>
      </w:pPr>
      <w:r w:rsidRPr="00883FDB">
        <w:rPr>
          <w:rFonts w:ascii="Times New Roman" w:hAnsi="Times New Roman" w:cs="Times New Roman"/>
          <w:i/>
          <w:iCs/>
        </w:rPr>
        <w:t>---Monty Python</w:t>
      </w:r>
    </w:p>
    <w:p w14:paraId="25238200" w14:textId="77777777" w:rsidR="00B10FA3" w:rsidRPr="00D113AF" w:rsidRDefault="00B10FA3" w:rsidP="000F3725">
      <w:pPr>
        <w:spacing w:line="480" w:lineRule="auto"/>
        <w:ind w:right="567"/>
        <w:rPr>
          <w:rFonts w:ascii="Times New Roman" w:hAnsi="Times New Roman" w:cs="Times New Roman"/>
          <w:color w:val="FF0000"/>
        </w:rPr>
      </w:pPr>
    </w:p>
    <w:p w14:paraId="5E3F05FA" w14:textId="77777777" w:rsidR="00B10FA3" w:rsidRDefault="00B10FA3" w:rsidP="006E0A5D">
      <w:pPr>
        <w:spacing w:line="480" w:lineRule="auto"/>
        <w:ind w:left="284" w:right="284"/>
        <w:rPr>
          <w:rFonts w:ascii="Times New Roman" w:hAnsi="Times New Roman" w:cs="Times New Roman"/>
        </w:rPr>
      </w:pPr>
    </w:p>
    <w:p w14:paraId="32D528B4" w14:textId="77777777" w:rsidR="00B10FA3" w:rsidRDefault="00B10FA3" w:rsidP="006E0A5D">
      <w:pPr>
        <w:spacing w:line="480" w:lineRule="auto"/>
        <w:ind w:left="284" w:right="284"/>
        <w:rPr>
          <w:rFonts w:ascii="Times New Roman" w:hAnsi="Times New Roman" w:cs="Times New Roman"/>
        </w:rPr>
      </w:pPr>
    </w:p>
    <w:p w14:paraId="368755E9" w14:textId="77777777" w:rsidR="00B10FA3" w:rsidRDefault="00B10FA3" w:rsidP="006E0A5D">
      <w:pPr>
        <w:spacing w:line="480" w:lineRule="auto"/>
        <w:ind w:left="284" w:right="284"/>
        <w:rPr>
          <w:rFonts w:ascii="Times New Roman" w:hAnsi="Times New Roman" w:cs="Times New Roman"/>
        </w:rPr>
      </w:pPr>
    </w:p>
    <w:p w14:paraId="00F7A14B" w14:textId="77777777" w:rsidR="00B10FA3" w:rsidRDefault="00B10FA3" w:rsidP="006E0A5D">
      <w:pPr>
        <w:spacing w:line="480" w:lineRule="auto"/>
        <w:ind w:left="284" w:right="284"/>
        <w:rPr>
          <w:rFonts w:ascii="Times New Roman" w:hAnsi="Times New Roman" w:cs="Times New Roman"/>
        </w:rPr>
      </w:pPr>
    </w:p>
    <w:p w14:paraId="36F35EF6" w14:textId="77777777" w:rsidR="00B10FA3" w:rsidRDefault="00B10FA3" w:rsidP="006E0A5D">
      <w:pPr>
        <w:spacing w:line="480" w:lineRule="auto"/>
        <w:ind w:left="284" w:right="284"/>
        <w:rPr>
          <w:rFonts w:ascii="Times New Roman" w:hAnsi="Times New Roman" w:cs="Times New Roman"/>
        </w:rPr>
      </w:pPr>
    </w:p>
    <w:p w14:paraId="318EDD5C" w14:textId="77777777" w:rsidR="00B10FA3" w:rsidRDefault="00B10FA3" w:rsidP="006E0A5D">
      <w:pPr>
        <w:spacing w:line="480" w:lineRule="auto"/>
        <w:ind w:left="284" w:right="284"/>
        <w:rPr>
          <w:rFonts w:ascii="Times New Roman" w:hAnsi="Times New Roman" w:cs="Times New Roman"/>
        </w:rPr>
      </w:pPr>
    </w:p>
    <w:p w14:paraId="7DA007AE" w14:textId="77777777" w:rsidR="00B0387C" w:rsidRDefault="00B10FA3" w:rsidP="006E0A5D">
      <w:pPr>
        <w:spacing w:line="480" w:lineRule="auto"/>
        <w:ind w:left="284" w:right="284"/>
        <w:rPr>
          <w:rFonts w:ascii="Times New Roman" w:hAnsi="Times New Roman" w:cs="Times New Roman"/>
        </w:rPr>
      </w:pPr>
      <w:r>
        <w:rPr>
          <w:rFonts w:ascii="Times New Roman" w:hAnsi="Times New Roman" w:cs="Times New Roman"/>
        </w:rPr>
        <w:t xml:space="preserve">  </w:t>
      </w:r>
    </w:p>
    <w:p w14:paraId="480AA225" w14:textId="77777777" w:rsidR="00B0387C" w:rsidRDefault="00B0387C" w:rsidP="006E0A5D">
      <w:pPr>
        <w:spacing w:line="480" w:lineRule="auto"/>
        <w:ind w:left="284" w:right="284"/>
        <w:rPr>
          <w:rFonts w:ascii="Times New Roman" w:hAnsi="Times New Roman" w:cs="Times New Roman"/>
        </w:rPr>
      </w:pPr>
    </w:p>
    <w:p w14:paraId="753E6D3D" w14:textId="77777777" w:rsidR="00B0387C" w:rsidRDefault="00B0387C" w:rsidP="006E0A5D">
      <w:pPr>
        <w:spacing w:line="480" w:lineRule="auto"/>
        <w:ind w:left="284" w:right="284"/>
        <w:rPr>
          <w:rFonts w:ascii="Times New Roman" w:hAnsi="Times New Roman" w:cs="Times New Roman"/>
        </w:rPr>
      </w:pPr>
    </w:p>
    <w:p w14:paraId="50CED721" w14:textId="2F6CBE39" w:rsidR="00B10FA3" w:rsidRDefault="00B10FA3" w:rsidP="006E0A5D">
      <w:pPr>
        <w:spacing w:line="480" w:lineRule="auto"/>
        <w:ind w:left="284" w:right="284"/>
        <w:rPr>
          <w:rFonts w:ascii="Times New Roman" w:hAnsi="Times New Roman" w:cs="Times New Roman"/>
        </w:rPr>
      </w:pPr>
      <w:r>
        <w:rPr>
          <w:rFonts w:ascii="Times New Roman" w:hAnsi="Times New Roman" w:cs="Times New Roman"/>
        </w:rPr>
        <w:t xml:space="preserve">    George Carlin once said that the world is a major </w:t>
      </w:r>
      <w:proofErr w:type="spellStart"/>
      <w:r>
        <w:rPr>
          <w:rFonts w:ascii="Times New Roman" w:hAnsi="Times New Roman" w:cs="Times New Roman"/>
        </w:rPr>
        <w:t>sh</w:t>
      </w:r>
      <w:proofErr w:type="spellEnd"/>
      <w:r>
        <w:rPr>
          <w:rFonts w:ascii="Times New Roman" w:hAnsi="Times New Roman" w:cs="Times New Roman"/>
        </w:rPr>
        <w:t>*t show and, in the United States you are entitled to a front row seat. I miss Carlin. One can only imagine how he would have assessed the January 6 insurrection – or the rise of Q-Anon, or, for that matter, the entire Trump-Covid-Insurrection Unreality exercise. As with the George W. Bush years, it has been a fertile time for comedians.</w:t>
      </w:r>
    </w:p>
    <w:p w14:paraId="2A1FFC7C" w14:textId="6704770C" w:rsidR="00B10FA3" w:rsidRDefault="00B10FA3" w:rsidP="006E0A5D">
      <w:pPr>
        <w:spacing w:line="480" w:lineRule="auto"/>
        <w:ind w:left="284" w:right="284"/>
        <w:rPr>
          <w:rFonts w:ascii="Times New Roman" w:hAnsi="Times New Roman" w:cs="Times New Roman"/>
        </w:rPr>
      </w:pPr>
      <w:r>
        <w:rPr>
          <w:rFonts w:ascii="Times New Roman" w:hAnsi="Times New Roman" w:cs="Times New Roman"/>
        </w:rPr>
        <w:t xml:space="preserve">     One can plausibly argue that the US possesses little anymore in the realm of social culture; the result of corporate assimilation, concentration, regimentation and standardization, but one would be loath to deny the existence of a vibrant, mysterious and resilient political culture. But be forewarned. An inquiry into American political culture is indeed a trip down the rabbit hole. Nothing is ever be as it seems.</w:t>
      </w:r>
    </w:p>
    <w:p w14:paraId="2825DF50" w14:textId="77777777" w:rsidR="00B10FA3" w:rsidRDefault="00B10FA3" w:rsidP="006E0A5D">
      <w:pPr>
        <w:spacing w:line="480" w:lineRule="auto"/>
        <w:ind w:left="284" w:right="284"/>
        <w:rPr>
          <w:rFonts w:ascii="Times New Roman" w:hAnsi="Times New Roman" w:cs="Times New Roman"/>
          <w:b/>
          <w:bCs/>
          <w:i/>
          <w:iCs/>
          <w:sz w:val="28"/>
          <w:szCs w:val="28"/>
        </w:rPr>
      </w:pPr>
    </w:p>
    <w:p w14:paraId="4FF4D7BA" w14:textId="77777777" w:rsidR="00B10FA3" w:rsidRPr="000A3352" w:rsidRDefault="00B10FA3" w:rsidP="006E0A5D">
      <w:pPr>
        <w:spacing w:line="480" w:lineRule="auto"/>
        <w:ind w:left="284" w:right="284"/>
        <w:rPr>
          <w:rFonts w:ascii="Times New Roman" w:hAnsi="Times New Roman" w:cs="Times New Roman"/>
          <w:sz w:val="28"/>
          <w:szCs w:val="28"/>
        </w:rPr>
      </w:pPr>
      <w:r>
        <w:rPr>
          <w:rFonts w:ascii="Times New Roman" w:hAnsi="Times New Roman" w:cs="Times New Roman"/>
          <w:b/>
          <w:bCs/>
          <w:i/>
          <w:iCs/>
          <w:sz w:val="28"/>
          <w:szCs w:val="28"/>
        </w:rPr>
        <w:t>The Scooby Doo Moment</w:t>
      </w:r>
    </w:p>
    <w:p w14:paraId="7F04E856" w14:textId="77777777" w:rsidR="00B10FA3" w:rsidRDefault="00B10FA3" w:rsidP="00542A2D">
      <w:pPr>
        <w:spacing w:line="480" w:lineRule="auto"/>
        <w:ind w:left="284" w:right="284"/>
        <w:rPr>
          <w:rFonts w:ascii="Times New Roman" w:hAnsi="Times New Roman" w:cs="Times New Roman"/>
        </w:rPr>
      </w:pPr>
      <w:r>
        <w:rPr>
          <w:rFonts w:ascii="Times New Roman" w:hAnsi="Times New Roman" w:cs="Times New Roman"/>
        </w:rPr>
        <w:t xml:space="preserve">     The first insight into American political culture is a convolution of a basic American myth: the good guy always gets the girl in the end. Put another way, good ultimately triumphs over evil, justice is served, stories tie up into neat little knots, and Mom, Apple Pie, and the American Way is preserved. </w:t>
      </w:r>
    </w:p>
    <w:p w14:paraId="7A522F6A" w14:textId="01413556" w:rsidR="00B10FA3" w:rsidRDefault="00B10FA3" w:rsidP="006E0A5D">
      <w:pPr>
        <w:spacing w:line="480" w:lineRule="auto"/>
        <w:ind w:left="284" w:right="284"/>
        <w:rPr>
          <w:rFonts w:ascii="Times New Roman" w:hAnsi="Times New Roman" w:cs="Times New Roman"/>
        </w:rPr>
      </w:pPr>
      <w:r>
        <w:rPr>
          <w:rFonts w:ascii="Times New Roman" w:hAnsi="Times New Roman" w:cs="Times New Roman"/>
        </w:rPr>
        <w:lastRenderedPageBreak/>
        <w:t xml:space="preserve">     The 1970s cartoon character, Scooby Doo, exemplified the </w:t>
      </w:r>
      <w:r w:rsidR="00E42F6F">
        <w:rPr>
          <w:rFonts w:ascii="Times New Roman" w:hAnsi="Times New Roman" w:cs="Times New Roman"/>
        </w:rPr>
        <w:t xml:space="preserve">prevailing </w:t>
      </w:r>
      <w:r>
        <w:rPr>
          <w:rFonts w:ascii="Times New Roman" w:hAnsi="Times New Roman" w:cs="Times New Roman"/>
        </w:rPr>
        <w:t xml:space="preserve">American justice myth. Not only was </w:t>
      </w:r>
      <w:r w:rsidR="00B81802">
        <w:rPr>
          <w:rFonts w:ascii="Times New Roman" w:hAnsi="Times New Roman" w:cs="Times New Roman"/>
        </w:rPr>
        <w:t>fairness</w:t>
      </w:r>
      <w:r>
        <w:rPr>
          <w:rFonts w:ascii="Times New Roman" w:hAnsi="Times New Roman" w:cs="Times New Roman"/>
        </w:rPr>
        <w:t xml:space="preserve"> served in the end (authority/normalcy restored), but</w:t>
      </w:r>
      <w:r w:rsidRPr="002B259B">
        <w:rPr>
          <w:rFonts w:ascii="Times New Roman" w:hAnsi="Times New Roman" w:cs="Times New Roman"/>
          <w:i/>
          <w:iCs/>
        </w:rPr>
        <w:t xml:space="preserve"> the evildoers themselves acknowledged that they were on the wrong side of the law. </w:t>
      </w:r>
      <w:r>
        <w:rPr>
          <w:rFonts w:ascii="Times New Roman" w:hAnsi="Times New Roman" w:cs="Times New Roman"/>
        </w:rPr>
        <w:t>Recall, that whenever the evildoer was revealed in the 1970s animated show, the culprit was always disgruntled, frustrated at his being caught, and always extorted that “I would have gotten away with it, if not for these meddling kids!” The criminal always admitted and explained his crime, as well as his intent to hide from culpability. Everything is tied up neatly, the story ends, and we, the audience are left with a feeling of the satisfaction of a confessed truth, resolution, and moral certitude and vindication.</w:t>
      </w:r>
    </w:p>
    <w:p w14:paraId="3DF1DF3B" w14:textId="77777777" w:rsidR="00B10FA3" w:rsidRDefault="00B10FA3" w:rsidP="00F62B70">
      <w:pPr>
        <w:spacing w:line="480" w:lineRule="auto"/>
        <w:ind w:left="284" w:right="284"/>
        <w:rPr>
          <w:rFonts w:ascii="Times New Roman" w:hAnsi="Times New Roman" w:cs="Times New Roman"/>
        </w:rPr>
      </w:pPr>
      <w:r>
        <w:rPr>
          <w:rFonts w:ascii="Times New Roman" w:hAnsi="Times New Roman" w:cs="Times New Roman"/>
        </w:rPr>
        <w:t xml:space="preserve">     The problem is that, </w:t>
      </w:r>
      <w:r w:rsidRPr="00634479">
        <w:rPr>
          <w:rFonts w:ascii="Times New Roman" w:hAnsi="Times New Roman" w:cs="Times New Roman"/>
          <w:i/>
          <w:iCs/>
        </w:rPr>
        <w:t>in American politics, there is seldom, if ever a “Scooby Doo” moment.</w:t>
      </w:r>
      <w:r>
        <w:rPr>
          <w:rFonts w:ascii="Times New Roman" w:hAnsi="Times New Roman" w:cs="Times New Roman"/>
        </w:rPr>
        <w:t xml:space="preserve"> In the first place, the admission of guilt by a public figure has been out of vogue since at least the early 1970s. “Coming clean” publicly is a strategy that is not endorsed by the political class. R.M. Nixon took a hard stand of innocence on issues that have been proved clearly wrong over time; his V.P., Spiro Agnew, pleaded ‘no contest’ to overwhelming charges, for which he was clearly culpable. Still, no guilty plea.</w:t>
      </w:r>
    </w:p>
    <w:p w14:paraId="030DBFAA" w14:textId="06608957" w:rsidR="00B10FA3" w:rsidRDefault="00B10FA3" w:rsidP="006E0A5D">
      <w:pPr>
        <w:spacing w:line="480" w:lineRule="auto"/>
        <w:ind w:left="284" w:right="284"/>
        <w:rPr>
          <w:rFonts w:ascii="Times New Roman" w:hAnsi="Times New Roman" w:cs="Times New Roman"/>
        </w:rPr>
      </w:pPr>
      <w:r>
        <w:rPr>
          <w:rFonts w:ascii="Times New Roman" w:hAnsi="Times New Roman" w:cs="Times New Roman"/>
        </w:rPr>
        <w:t xml:space="preserve">      Wrongs are not admitted, even in the face of large fines and jail terms. Richard Nixon never admitted wrongdoing in the Watergate affair. George W. Bush has never admitted that the Iraq War was a catastrophe, and compulsive liar </w:t>
      </w:r>
      <w:r w:rsidR="00BB4438">
        <w:rPr>
          <w:rFonts w:ascii="Times New Roman" w:hAnsi="Times New Roman" w:cs="Times New Roman"/>
        </w:rPr>
        <w:t xml:space="preserve">former </w:t>
      </w:r>
      <w:r>
        <w:rPr>
          <w:rFonts w:ascii="Times New Roman" w:hAnsi="Times New Roman" w:cs="Times New Roman"/>
        </w:rPr>
        <w:t>Congressman George Santos seem</w:t>
      </w:r>
      <w:r w:rsidR="00BB4438">
        <w:rPr>
          <w:rFonts w:ascii="Times New Roman" w:hAnsi="Times New Roman" w:cs="Times New Roman"/>
        </w:rPr>
        <w:t>ed</w:t>
      </w:r>
      <w:r>
        <w:rPr>
          <w:rFonts w:ascii="Times New Roman" w:hAnsi="Times New Roman" w:cs="Times New Roman"/>
        </w:rPr>
        <w:t xml:space="preserve"> to embrace a world of fantasy, where nothing is admitted because </w:t>
      </w:r>
      <w:r>
        <w:rPr>
          <w:rFonts w:ascii="Times New Roman" w:hAnsi="Times New Roman" w:cs="Times New Roman"/>
          <w:i/>
          <w:iCs/>
        </w:rPr>
        <w:t>nothing</w:t>
      </w:r>
      <w:r>
        <w:rPr>
          <w:rFonts w:ascii="Times New Roman" w:hAnsi="Times New Roman" w:cs="Times New Roman"/>
        </w:rPr>
        <w:t xml:space="preserve"> </w:t>
      </w:r>
      <w:r w:rsidRPr="00B24799">
        <w:rPr>
          <w:rFonts w:ascii="Times New Roman" w:hAnsi="Times New Roman" w:cs="Times New Roman"/>
          <w:i/>
          <w:iCs/>
        </w:rPr>
        <w:t>is real</w:t>
      </w:r>
      <w:r>
        <w:rPr>
          <w:rFonts w:ascii="Times New Roman" w:hAnsi="Times New Roman" w:cs="Times New Roman"/>
        </w:rPr>
        <w:t xml:space="preserve">. Ever. </w:t>
      </w:r>
    </w:p>
    <w:p w14:paraId="417E9F72" w14:textId="22B376FC" w:rsidR="00B10FA3" w:rsidRDefault="00B10FA3" w:rsidP="00F62B70">
      <w:pPr>
        <w:spacing w:line="480" w:lineRule="auto"/>
        <w:ind w:left="284" w:right="284"/>
        <w:rPr>
          <w:rFonts w:ascii="Times New Roman" w:hAnsi="Times New Roman" w:cs="Times New Roman"/>
        </w:rPr>
      </w:pPr>
      <w:r>
        <w:rPr>
          <w:rFonts w:ascii="Times New Roman" w:hAnsi="Times New Roman" w:cs="Times New Roman"/>
        </w:rPr>
        <w:t xml:space="preserve">      </w:t>
      </w:r>
      <w:r w:rsidR="003D25AB">
        <w:rPr>
          <w:rFonts w:ascii="Times New Roman" w:hAnsi="Times New Roman" w:cs="Times New Roman"/>
        </w:rPr>
        <w:t xml:space="preserve">Oh yes - another </w:t>
      </w:r>
      <w:r>
        <w:rPr>
          <w:rFonts w:ascii="Times New Roman" w:hAnsi="Times New Roman" w:cs="Times New Roman"/>
        </w:rPr>
        <w:t>egregious case of public resistance to the Scooby Doo philosophy was Bill Clinton, who looked America in the eye and lied about his affair with Monika Lewinsky, without blinking.</w:t>
      </w:r>
    </w:p>
    <w:p w14:paraId="31B7A538" w14:textId="106CD2BF" w:rsidR="00B10FA3" w:rsidRDefault="00B10FA3" w:rsidP="00F62B70">
      <w:pPr>
        <w:spacing w:line="480" w:lineRule="auto"/>
        <w:ind w:left="284" w:right="284"/>
        <w:rPr>
          <w:rFonts w:ascii="Times New Roman" w:hAnsi="Times New Roman" w:cs="Times New Roman"/>
        </w:rPr>
      </w:pPr>
      <w:r>
        <w:rPr>
          <w:rFonts w:ascii="Times New Roman" w:hAnsi="Times New Roman" w:cs="Times New Roman"/>
        </w:rPr>
        <w:lastRenderedPageBreak/>
        <w:t xml:space="preserve">     By contrast, in an odd, but perhaps appropriate counterpoint, not long after Clinton’s affair, Englishman Hugh Grant, was caught with a prostitute in Los Angeles. While Clinton darted and dodged, Grant fessed up right away. I did it, he said. Sorry</w:t>
      </w:r>
      <w:r w:rsidR="003D25AB">
        <w:rPr>
          <w:rFonts w:ascii="Times New Roman" w:hAnsi="Times New Roman" w:cs="Times New Roman"/>
        </w:rPr>
        <w:t xml:space="preserve"> </w:t>
      </w:r>
      <w:r>
        <w:rPr>
          <w:rFonts w:ascii="Times New Roman" w:hAnsi="Times New Roman" w:cs="Times New Roman"/>
        </w:rPr>
        <w:t>(</w:t>
      </w:r>
      <w:r w:rsidR="003D25AB">
        <w:rPr>
          <w:rFonts w:ascii="Times New Roman" w:hAnsi="Times New Roman" w:cs="Times New Roman"/>
        </w:rPr>
        <w:t>s</w:t>
      </w:r>
      <w:r>
        <w:rPr>
          <w:rFonts w:ascii="Times New Roman" w:hAnsi="Times New Roman" w:cs="Times New Roman"/>
        </w:rPr>
        <w:t>mile – followed by charming, self-effacing wink)</w:t>
      </w:r>
      <w:r w:rsidR="003D25AB">
        <w:rPr>
          <w:rFonts w:ascii="Times New Roman" w:hAnsi="Times New Roman" w:cs="Times New Roman"/>
        </w:rPr>
        <w:t xml:space="preserve">. </w:t>
      </w:r>
      <w:r>
        <w:rPr>
          <w:rFonts w:ascii="Times New Roman" w:hAnsi="Times New Roman" w:cs="Times New Roman"/>
        </w:rPr>
        <w:t xml:space="preserve">Within a few weeks, all was forgiven and Grant was back on the talk circuit. </w:t>
      </w:r>
    </w:p>
    <w:p w14:paraId="6D4A26CA" w14:textId="7E00ADFC" w:rsidR="00B10FA3" w:rsidRDefault="00B10FA3" w:rsidP="00F62B70">
      <w:pPr>
        <w:spacing w:line="480" w:lineRule="auto"/>
        <w:ind w:left="284" w:right="284"/>
        <w:rPr>
          <w:rFonts w:ascii="Times New Roman" w:hAnsi="Times New Roman" w:cs="Times New Roman"/>
        </w:rPr>
      </w:pPr>
      <w:r>
        <w:rPr>
          <w:rFonts w:ascii="Times New Roman" w:hAnsi="Times New Roman" w:cs="Times New Roman"/>
        </w:rPr>
        <w:t xml:space="preserve">      Not so with Bill Clinton. “Slick Willie” lied and misrepresented himself until the end, at which point it just seemed pitiful. Now, whether an affair with a White House intern is cause for a national scandal is another matter. The point that I want to drive home is that American politicians (at least since Watergate) have, regardless of party, adopted a defense strategy of lie, misdirect, and lie further – until the lie can no longer be maintained – at which point they either find God, claim that the charges were political or petty in nature, or then, as their denouement, announce </w:t>
      </w:r>
      <w:r w:rsidR="003D25AB">
        <w:rPr>
          <w:rFonts w:ascii="Times New Roman" w:hAnsi="Times New Roman" w:cs="Times New Roman"/>
        </w:rPr>
        <w:t xml:space="preserve">in that tired expression </w:t>
      </w:r>
      <w:r>
        <w:rPr>
          <w:rFonts w:ascii="Times New Roman" w:hAnsi="Times New Roman" w:cs="Times New Roman"/>
        </w:rPr>
        <w:t xml:space="preserve">that </w:t>
      </w:r>
      <w:r w:rsidR="003D25AB">
        <w:rPr>
          <w:rFonts w:ascii="Times New Roman" w:hAnsi="Times New Roman" w:cs="Times New Roman"/>
        </w:rPr>
        <w:t>‘</w:t>
      </w:r>
      <w:r>
        <w:rPr>
          <w:rFonts w:ascii="Times New Roman" w:hAnsi="Times New Roman" w:cs="Times New Roman"/>
        </w:rPr>
        <w:t xml:space="preserve">it is time (for the country) to move on’. </w:t>
      </w:r>
    </w:p>
    <w:p w14:paraId="50BEFE3B" w14:textId="77777777" w:rsidR="00B10FA3" w:rsidRDefault="00B10FA3" w:rsidP="00F62B70">
      <w:pPr>
        <w:spacing w:line="480" w:lineRule="auto"/>
        <w:ind w:left="284" w:right="284"/>
        <w:rPr>
          <w:rFonts w:ascii="Times New Roman" w:hAnsi="Times New Roman" w:cs="Times New Roman"/>
        </w:rPr>
      </w:pPr>
      <w:r>
        <w:rPr>
          <w:rFonts w:ascii="Times New Roman" w:hAnsi="Times New Roman" w:cs="Times New Roman"/>
        </w:rPr>
        <w:t xml:space="preserve">     The point: in post 1970 contemporary Washington - by an unspoken but universally known rule - an elected official NEVER admits to guilt in a scandal. Nothing, it is surmised, can tarnish the veneer of officialdom of public office. At least, that is the contemporary stratagem, for now. </w:t>
      </w:r>
    </w:p>
    <w:p w14:paraId="4A2BF82C" w14:textId="3EF1970D" w:rsidR="00B10FA3" w:rsidRDefault="00B10FA3" w:rsidP="00232E4E">
      <w:pPr>
        <w:spacing w:line="480" w:lineRule="auto"/>
        <w:ind w:left="284" w:right="284"/>
        <w:rPr>
          <w:rFonts w:ascii="Times New Roman" w:hAnsi="Times New Roman" w:cs="Times New Roman"/>
        </w:rPr>
      </w:pPr>
      <w:r>
        <w:rPr>
          <w:rFonts w:ascii="Times New Roman" w:hAnsi="Times New Roman" w:cs="Times New Roman"/>
        </w:rPr>
        <w:t xml:space="preserve">            Failing to realize this basic composite truth of American politics – this timeless dictum of both abject ignorance and redemption through confession - countless bozos have ignored Hugh Grant’s humble wisdom, and have dragged themselves down. John Edwards. Bill Clinton. Dan Rostenkowski. All Democrats. And </w:t>
      </w:r>
      <w:r w:rsidR="003D25AB">
        <w:rPr>
          <w:rFonts w:ascii="Times New Roman" w:hAnsi="Times New Roman" w:cs="Times New Roman"/>
        </w:rPr>
        <w:t>recently, under Trump:</w:t>
      </w:r>
      <w:r>
        <w:rPr>
          <w:rFonts w:ascii="Times New Roman" w:hAnsi="Times New Roman" w:cs="Times New Roman"/>
        </w:rPr>
        <w:t xml:space="preserve"> Rudy Giuliani, John Eastman and Sidney Powell, among numerous others. All Republicans. The actual full list is impressive. </w:t>
      </w:r>
      <w:proofErr w:type="spellStart"/>
      <w:r>
        <w:rPr>
          <w:rFonts w:ascii="Times New Roman" w:hAnsi="Times New Roman" w:cs="Times New Roman"/>
        </w:rPr>
        <w:t>Scoobalicious</w:t>
      </w:r>
      <w:proofErr w:type="spellEnd"/>
      <w:r>
        <w:rPr>
          <w:rFonts w:ascii="Times New Roman" w:hAnsi="Times New Roman" w:cs="Times New Roman"/>
        </w:rPr>
        <w:t>.</w:t>
      </w:r>
    </w:p>
    <w:p w14:paraId="13DC888D" w14:textId="77777777" w:rsidR="00B10FA3" w:rsidRDefault="00B10FA3" w:rsidP="00232E4E">
      <w:pPr>
        <w:spacing w:line="480" w:lineRule="auto"/>
        <w:ind w:left="284" w:right="284"/>
        <w:rPr>
          <w:rFonts w:ascii="Times New Roman" w:hAnsi="Times New Roman" w:cs="Times New Roman"/>
        </w:rPr>
      </w:pPr>
      <w:r>
        <w:rPr>
          <w:rFonts w:ascii="Times New Roman" w:hAnsi="Times New Roman" w:cs="Times New Roman"/>
        </w:rPr>
        <w:lastRenderedPageBreak/>
        <w:t xml:space="preserve">          Somewhere along the line, there was a determination that “fessing up,” never an easy thing to do, was less politically expedient than playing the Wizard of Oz card, and hiding behind a mask of denial at all costs. Since at least the seventies, American politicians have been playing by this script, though it is unclear that it offers any real advantage. Nixon’s reputation was ruined, Clinton became a running joke (although he later recovered and thrived politically), and Donald Trump, while under increasing crushing legal pressure on many fronts, has been able to fundraise effectively from his denial of facts and creation of alternative reality narratives. </w:t>
      </w:r>
    </w:p>
    <w:p w14:paraId="0E6F5787" w14:textId="2288C078" w:rsidR="00B10FA3" w:rsidRDefault="00B10FA3" w:rsidP="00F62B70">
      <w:pPr>
        <w:spacing w:line="480" w:lineRule="auto"/>
        <w:ind w:left="284" w:right="284"/>
        <w:rPr>
          <w:rFonts w:ascii="Times New Roman" w:hAnsi="Times New Roman" w:cs="Times New Roman"/>
        </w:rPr>
      </w:pPr>
      <w:r>
        <w:rPr>
          <w:rFonts w:ascii="Times New Roman" w:hAnsi="Times New Roman" w:cs="Times New Roman"/>
        </w:rPr>
        <w:t xml:space="preserve">     And, truth be told – in the current political </w:t>
      </w:r>
      <w:r w:rsidR="003D25AB">
        <w:rPr>
          <w:rFonts w:ascii="Times New Roman" w:hAnsi="Times New Roman" w:cs="Times New Roman"/>
        </w:rPr>
        <w:t xml:space="preserve">and social media </w:t>
      </w:r>
      <w:r>
        <w:rPr>
          <w:rFonts w:ascii="Times New Roman" w:hAnsi="Times New Roman" w:cs="Times New Roman"/>
        </w:rPr>
        <w:t xml:space="preserve">environment in Washington, any admission of guilt </w:t>
      </w:r>
      <w:r w:rsidR="003D25AB">
        <w:rPr>
          <w:rFonts w:ascii="Times New Roman" w:hAnsi="Times New Roman" w:cs="Times New Roman"/>
        </w:rPr>
        <w:t xml:space="preserve">or error </w:t>
      </w:r>
      <w:r>
        <w:rPr>
          <w:rFonts w:ascii="Times New Roman" w:hAnsi="Times New Roman" w:cs="Times New Roman"/>
        </w:rPr>
        <w:t>– even the smallest openly admitted transgression – would be met with an avalanche of criticism, inflated rhetoric and incendiary claims. There is less motivation today th</w:t>
      </w:r>
      <w:r w:rsidR="00990133">
        <w:rPr>
          <w:rFonts w:ascii="Times New Roman" w:hAnsi="Times New Roman" w:cs="Times New Roman"/>
        </w:rPr>
        <w:t>a</w:t>
      </w:r>
      <w:r>
        <w:rPr>
          <w:rFonts w:ascii="Times New Roman" w:hAnsi="Times New Roman" w:cs="Times New Roman"/>
        </w:rPr>
        <w:t>n ever to come clean and tell it like it is.</w:t>
      </w:r>
    </w:p>
    <w:p w14:paraId="43F7EAD6" w14:textId="77777777" w:rsidR="00BB4438" w:rsidRDefault="00BB4438" w:rsidP="00F62B70">
      <w:pPr>
        <w:spacing w:line="480" w:lineRule="auto"/>
        <w:ind w:left="284" w:right="284"/>
        <w:rPr>
          <w:rFonts w:ascii="Times New Roman" w:hAnsi="Times New Roman" w:cs="Times New Roman"/>
        </w:rPr>
      </w:pPr>
    </w:p>
    <w:p w14:paraId="607D8266" w14:textId="77777777" w:rsidR="00B10FA3" w:rsidRPr="00232E4E" w:rsidRDefault="00B10FA3" w:rsidP="00F62B70">
      <w:pPr>
        <w:spacing w:line="480" w:lineRule="auto"/>
        <w:ind w:left="284" w:right="284"/>
        <w:rPr>
          <w:rFonts w:ascii="Times New Roman" w:hAnsi="Times New Roman" w:cs="Times New Roman"/>
          <w:b/>
          <w:bCs/>
          <w:i/>
          <w:iCs/>
          <w:sz w:val="28"/>
          <w:szCs w:val="28"/>
        </w:rPr>
      </w:pPr>
      <w:r>
        <w:rPr>
          <w:rFonts w:ascii="Times New Roman" w:hAnsi="Times New Roman" w:cs="Times New Roman"/>
          <w:b/>
          <w:bCs/>
          <w:i/>
          <w:iCs/>
          <w:sz w:val="28"/>
          <w:szCs w:val="28"/>
        </w:rPr>
        <w:t>The Great Unwashed</w:t>
      </w:r>
    </w:p>
    <w:p w14:paraId="4A007146" w14:textId="5839E30B" w:rsidR="00B10FA3" w:rsidRDefault="00B10FA3" w:rsidP="00F62B70">
      <w:pPr>
        <w:spacing w:line="480" w:lineRule="auto"/>
        <w:ind w:left="284" w:right="284"/>
        <w:rPr>
          <w:rFonts w:ascii="Times New Roman" w:hAnsi="Times New Roman" w:cs="Times New Roman"/>
        </w:rPr>
      </w:pPr>
      <w:r>
        <w:rPr>
          <w:rFonts w:ascii="Times New Roman" w:hAnsi="Times New Roman" w:cs="Times New Roman"/>
        </w:rPr>
        <w:t xml:space="preserve">     In Washington and beyond, there is also </w:t>
      </w:r>
      <w:r>
        <w:rPr>
          <w:rFonts w:ascii="Times New Roman" w:hAnsi="Times New Roman" w:cs="Times New Roman"/>
          <w:i/>
          <w:iCs/>
        </w:rPr>
        <w:t>that which is never uttered.</w:t>
      </w:r>
      <w:r>
        <w:rPr>
          <w:rFonts w:ascii="Times New Roman" w:hAnsi="Times New Roman" w:cs="Times New Roman"/>
        </w:rPr>
        <w:t xml:space="preserve">  The stratagem also makes certain assumptions – thoughts that are never discussed on the pages of the Washington Post or the New York Times. </w:t>
      </w:r>
      <w:r w:rsidR="003D25AB">
        <w:rPr>
          <w:rFonts w:ascii="Times New Roman" w:hAnsi="Times New Roman" w:cs="Times New Roman"/>
        </w:rPr>
        <w:t>These involve certain widely held t</w:t>
      </w:r>
      <w:r>
        <w:rPr>
          <w:rFonts w:ascii="Times New Roman" w:hAnsi="Times New Roman" w:cs="Times New Roman"/>
        </w:rPr>
        <w:t xml:space="preserve">houghts </w:t>
      </w:r>
      <w:r w:rsidR="007F2BE6">
        <w:rPr>
          <w:rFonts w:ascii="Times New Roman" w:hAnsi="Times New Roman" w:cs="Times New Roman"/>
        </w:rPr>
        <w:t xml:space="preserve">and statements </w:t>
      </w:r>
      <w:r w:rsidR="003D25AB">
        <w:rPr>
          <w:rFonts w:ascii="Times New Roman" w:hAnsi="Times New Roman" w:cs="Times New Roman"/>
        </w:rPr>
        <w:t xml:space="preserve">among the professional media </w:t>
      </w:r>
      <w:r>
        <w:rPr>
          <w:rFonts w:ascii="Times New Roman" w:hAnsi="Times New Roman" w:cs="Times New Roman"/>
        </w:rPr>
        <w:t xml:space="preserve">that could be economically </w:t>
      </w:r>
      <w:r w:rsidR="00C368AA">
        <w:rPr>
          <w:rFonts w:ascii="Times New Roman" w:hAnsi="Times New Roman" w:cs="Times New Roman"/>
        </w:rPr>
        <w:t xml:space="preserve">and, more importantly, politically </w:t>
      </w:r>
      <w:r>
        <w:rPr>
          <w:rFonts w:ascii="Times New Roman" w:hAnsi="Times New Roman" w:cs="Times New Roman"/>
        </w:rPr>
        <w:t xml:space="preserve">suicidal.  And that is that </w:t>
      </w:r>
      <w:r w:rsidRPr="00CD61B7">
        <w:rPr>
          <w:rFonts w:ascii="Times New Roman" w:hAnsi="Times New Roman" w:cs="Times New Roman"/>
          <w:i/>
          <w:iCs/>
        </w:rPr>
        <w:t>the public is considered stupid,</w:t>
      </w:r>
      <w:r>
        <w:rPr>
          <w:rFonts w:ascii="Times New Roman" w:hAnsi="Times New Roman" w:cs="Times New Roman"/>
        </w:rPr>
        <w:t xml:space="preserve"> </w:t>
      </w:r>
      <w:r w:rsidRPr="00634479">
        <w:rPr>
          <w:rFonts w:ascii="Times New Roman" w:hAnsi="Times New Roman" w:cs="Times New Roman"/>
          <w:i/>
          <w:iCs/>
        </w:rPr>
        <w:t>uninformed, lazy and passive</w:t>
      </w:r>
      <w:r>
        <w:rPr>
          <w:rFonts w:ascii="Times New Roman" w:hAnsi="Times New Roman" w:cs="Times New Roman"/>
        </w:rPr>
        <w:t xml:space="preserve">, or at least possessing a short attention span and limited knowledge by the better part of the political class. Full stop. The chattering class feels responsible for representing people who can’t represent themselves. </w:t>
      </w:r>
      <w:r w:rsidR="00E97385">
        <w:rPr>
          <w:rFonts w:ascii="Times New Roman" w:hAnsi="Times New Roman" w:cs="Times New Roman"/>
        </w:rPr>
        <w:t xml:space="preserve">I worked on Capitol Hill. </w:t>
      </w:r>
      <w:r w:rsidR="0077474B">
        <w:rPr>
          <w:rFonts w:ascii="Times New Roman" w:hAnsi="Times New Roman" w:cs="Times New Roman"/>
        </w:rPr>
        <w:t xml:space="preserve">This is boilerplate – but </w:t>
      </w:r>
      <w:r w:rsidR="003D25AB">
        <w:rPr>
          <w:rFonts w:ascii="Times New Roman" w:hAnsi="Times New Roman" w:cs="Times New Roman"/>
        </w:rPr>
        <w:t xml:space="preserve">it is </w:t>
      </w:r>
      <w:r w:rsidR="0077474B" w:rsidRPr="003D25AB">
        <w:rPr>
          <w:rFonts w:ascii="Times New Roman" w:hAnsi="Times New Roman" w:cs="Times New Roman"/>
          <w:i/>
          <w:iCs/>
        </w:rPr>
        <w:t>never</w:t>
      </w:r>
      <w:r w:rsidR="0077474B">
        <w:rPr>
          <w:rFonts w:ascii="Times New Roman" w:hAnsi="Times New Roman" w:cs="Times New Roman"/>
        </w:rPr>
        <w:t xml:space="preserve"> acknowledged.</w:t>
      </w:r>
    </w:p>
    <w:p w14:paraId="0E066BB1" w14:textId="6708E1C5" w:rsidR="00B10FA3" w:rsidRPr="008817B5" w:rsidRDefault="00B10FA3" w:rsidP="00D44351">
      <w:pPr>
        <w:spacing w:line="480" w:lineRule="auto"/>
        <w:ind w:left="284" w:right="284"/>
        <w:rPr>
          <w:rFonts w:ascii="Times New Roman" w:hAnsi="Times New Roman" w:cs="Times New Roman"/>
        </w:rPr>
      </w:pPr>
      <w:r>
        <w:rPr>
          <w:rFonts w:ascii="Times New Roman" w:hAnsi="Times New Roman" w:cs="Times New Roman"/>
        </w:rPr>
        <w:lastRenderedPageBreak/>
        <w:t xml:space="preserve">     There are variations of </w:t>
      </w:r>
      <w:r w:rsidR="00570BCB">
        <w:rPr>
          <w:rFonts w:ascii="Times New Roman" w:hAnsi="Times New Roman" w:cs="Times New Roman"/>
        </w:rPr>
        <w:t xml:space="preserve">misdirection and </w:t>
      </w:r>
      <w:r>
        <w:rPr>
          <w:rFonts w:ascii="Times New Roman" w:hAnsi="Times New Roman" w:cs="Times New Roman"/>
        </w:rPr>
        <w:t>stonewalling. Denial of wrongdoing is often accompanied by distraction; using irrelevant data to cloudy the issues surrounding crimes. Sometimes the distraction can be the employment of misdirection; other times it may involve an effort to deny the severity of charges. Take, for example, the G.W. Bush administrations justification for the horrific events at Abu Ghraib prison in Iraq. Officials referred to torture as a “one off” incident, that was not systemic to the facility. When torture was revealed to have been authorized at the highest levels of the administration over an extended period of time, officials moved the goal posts, claiming that the behavior did not constitute “torture,” but merely “enhanced interrogation.”</w:t>
      </w:r>
      <w:r>
        <w:rPr>
          <w:rStyle w:val="FootnoteReference"/>
          <w:rFonts w:ascii="Times New Roman" w:hAnsi="Times New Roman" w:cs="Times New Roman"/>
        </w:rPr>
        <w:footnoteReference w:id="18"/>
      </w:r>
    </w:p>
    <w:p w14:paraId="275E0FF0" w14:textId="77777777" w:rsidR="00B10FA3" w:rsidRDefault="00B10FA3" w:rsidP="006E0A5D">
      <w:pPr>
        <w:spacing w:line="480" w:lineRule="auto"/>
        <w:ind w:left="284" w:right="284"/>
        <w:rPr>
          <w:rFonts w:ascii="Times New Roman" w:hAnsi="Times New Roman" w:cs="Times New Roman"/>
        </w:rPr>
      </w:pPr>
      <w:r>
        <w:rPr>
          <w:rFonts w:ascii="Times New Roman" w:hAnsi="Times New Roman" w:cs="Times New Roman"/>
        </w:rPr>
        <w:t xml:space="preserve">     The point is that the “Scooby Doo” moment in American politics is about as common as a Dodo sighting. </w:t>
      </w:r>
      <w:r w:rsidRPr="00B65273">
        <w:rPr>
          <w:rFonts w:ascii="Times New Roman" w:hAnsi="Times New Roman" w:cs="Times New Roman"/>
          <w:i/>
          <w:iCs/>
        </w:rPr>
        <w:t>Denial</w:t>
      </w:r>
      <w:r>
        <w:rPr>
          <w:rFonts w:ascii="Times New Roman" w:hAnsi="Times New Roman" w:cs="Times New Roman"/>
        </w:rPr>
        <w:t xml:space="preserve"> is the name </w:t>
      </w:r>
      <w:r>
        <w:rPr>
          <w:rFonts w:ascii="Times New Roman" w:hAnsi="Times New Roman" w:cs="Times New Roman"/>
        </w:rPr>
        <w:softHyphen/>
        <w:t>of the game – and when that is no longer feasible, change the topic, or downplay charges, while admitting as little as possible. The funny thing is that biting the bullet and accepting responsibility might actually curry favor with a public far too accustomed to being lied to. Ask Hugh Grant.</w:t>
      </w:r>
    </w:p>
    <w:p w14:paraId="0C2E4A64" w14:textId="77777777" w:rsidR="00B5392A" w:rsidRDefault="00B5392A" w:rsidP="006E0A5D">
      <w:pPr>
        <w:spacing w:line="480" w:lineRule="auto"/>
        <w:ind w:left="284" w:right="284"/>
        <w:rPr>
          <w:rFonts w:ascii="Times New Roman" w:hAnsi="Times New Roman" w:cs="Times New Roman"/>
          <w:b/>
          <w:bCs/>
          <w:i/>
          <w:iCs/>
          <w:sz w:val="28"/>
          <w:szCs w:val="28"/>
        </w:rPr>
      </w:pPr>
    </w:p>
    <w:p w14:paraId="5E962B39" w14:textId="384362B3" w:rsidR="00B10FA3" w:rsidRPr="00232E4E" w:rsidRDefault="00B10FA3" w:rsidP="006E0A5D">
      <w:pPr>
        <w:spacing w:line="480" w:lineRule="auto"/>
        <w:ind w:left="284" w:right="284"/>
        <w:rPr>
          <w:rFonts w:ascii="Times New Roman" w:hAnsi="Times New Roman" w:cs="Times New Roman"/>
          <w:b/>
          <w:bCs/>
          <w:i/>
          <w:iCs/>
          <w:sz w:val="28"/>
          <w:szCs w:val="28"/>
        </w:rPr>
      </w:pPr>
      <w:r>
        <w:rPr>
          <w:rFonts w:ascii="Times New Roman" w:hAnsi="Times New Roman" w:cs="Times New Roman"/>
          <w:b/>
          <w:bCs/>
          <w:i/>
          <w:iCs/>
          <w:sz w:val="28"/>
          <w:szCs w:val="28"/>
        </w:rPr>
        <w:t>Men</w:t>
      </w:r>
    </w:p>
    <w:p w14:paraId="42051D06" w14:textId="3434A3EC" w:rsidR="00B10FA3" w:rsidRDefault="00B10FA3" w:rsidP="006E0A5D">
      <w:pPr>
        <w:spacing w:line="480" w:lineRule="auto"/>
        <w:ind w:left="284" w:right="284"/>
        <w:rPr>
          <w:rFonts w:ascii="Times New Roman" w:hAnsi="Times New Roman" w:cs="Times New Roman"/>
        </w:rPr>
      </w:pPr>
      <w:r>
        <w:rPr>
          <w:rFonts w:ascii="Times New Roman" w:hAnsi="Times New Roman" w:cs="Times New Roman"/>
        </w:rPr>
        <w:t xml:space="preserve">     Masculinity and interpretations of masculine values are tied in with the public behavior in the political realm, and with the ways in which one handles accusations of wrongdoing. A 3-year-old caught with her hand in the cookie jar will often claim innocence, even as the crumbs fall from her face. My own 8-year-old brother spent the entire morning playing </w:t>
      </w:r>
      <w:r w:rsidR="00FF1223">
        <w:rPr>
          <w:rFonts w:ascii="Times New Roman" w:hAnsi="Times New Roman" w:cs="Times New Roman"/>
        </w:rPr>
        <w:t xml:space="preserve">in our driveway </w:t>
      </w:r>
      <w:r>
        <w:rPr>
          <w:rFonts w:ascii="Times New Roman" w:hAnsi="Times New Roman" w:cs="Times New Roman"/>
        </w:rPr>
        <w:t xml:space="preserve">with water balloons, and then denied the 4 or 5 water bombs that soon after landed on our neighbor’s car. No one likes to get caught. </w:t>
      </w:r>
      <w:r>
        <w:rPr>
          <w:rFonts w:ascii="Times New Roman" w:hAnsi="Times New Roman" w:cs="Times New Roman"/>
        </w:rPr>
        <w:lastRenderedPageBreak/>
        <w:t>And lying is easy; in fact, it is the default mode that our brains turn to. Telling the truth, on the other hand, is hard. Admitting error is hard. But, after a period of confession and resolution an admission of guilt frees a person to move on psychologically, whereas a denial of guilt is like a noose that remains affixed – even if the subject is exonerated.</w:t>
      </w:r>
    </w:p>
    <w:p w14:paraId="5937378F" w14:textId="77777777" w:rsidR="00B10FA3" w:rsidRDefault="00B10FA3" w:rsidP="00542A2D">
      <w:pPr>
        <w:spacing w:line="480" w:lineRule="auto"/>
        <w:ind w:left="284" w:right="284"/>
        <w:rPr>
          <w:rFonts w:ascii="Times New Roman" w:hAnsi="Times New Roman" w:cs="Times New Roman"/>
        </w:rPr>
      </w:pPr>
      <w:r>
        <w:rPr>
          <w:rFonts w:ascii="Times New Roman" w:hAnsi="Times New Roman" w:cs="Times New Roman"/>
        </w:rPr>
        <w:t xml:space="preserve">     Traditional masculine ideals split in two over the issue of guilt acceptance. On the one hand is the ‘</w:t>
      </w:r>
      <w:r w:rsidRPr="009B1C08">
        <w:rPr>
          <w:rFonts w:ascii="Times New Roman" w:hAnsi="Times New Roman" w:cs="Times New Roman"/>
          <w:i/>
          <w:iCs/>
        </w:rPr>
        <w:t>perfect man’</w:t>
      </w:r>
      <w:r>
        <w:rPr>
          <w:rFonts w:ascii="Times New Roman" w:hAnsi="Times New Roman" w:cs="Times New Roman"/>
        </w:rPr>
        <w:t xml:space="preserve"> interpretation; the notion that real men engage in a kind of perfect behavior, drawn from inner strength, and that error is simply not possible. Further, this interpretation suggests that, in the event that a ‘perfect’ man owned up to an error, that all would be lost – the house of cards would collapse and he would be exposed as flawed and weak. This approach is clearly untenable, but is nevertheless attempted by leaders in Russia, North Korea and, lately, the US.</w:t>
      </w:r>
    </w:p>
    <w:p w14:paraId="365B549F" w14:textId="77777777" w:rsidR="00B10FA3" w:rsidRDefault="00B10FA3" w:rsidP="006E0A5D">
      <w:pPr>
        <w:spacing w:line="480" w:lineRule="auto"/>
        <w:ind w:left="284" w:right="284"/>
        <w:rPr>
          <w:rFonts w:ascii="Times New Roman" w:hAnsi="Times New Roman" w:cs="Times New Roman"/>
        </w:rPr>
      </w:pPr>
      <w:r>
        <w:rPr>
          <w:rFonts w:ascii="Times New Roman" w:hAnsi="Times New Roman" w:cs="Times New Roman"/>
        </w:rPr>
        <w:t xml:space="preserve">     The second interpretation </w:t>
      </w:r>
      <w:r w:rsidRPr="00A84274">
        <w:rPr>
          <w:rFonts w:ascii="Times New Roman" w:hAnsi="Times New Roman" w:cs="Times New Roman"/>
          <w:i/>
          <w:iCs/>
        </w:rPr>
        <w:t>assumes no perfection</w:t>
      </w:r>
      <w:r>
        <w:rPr>
          <w:rFonts w:ascii="Times New Roman" w:hAnsi="Times New Roman" w:cs="Times New Roman"/>
        </w:rPr>
        <w:t xml:space="preserve"> on the part of the world or of people. The world is an unknown, flawed and contradictory place. Even the best-intentioned persons make mistakes. Denying those mistakes is easy, but it implies a need of the person to hide from responsibility. Admitting an error exposes a person as flawed (like every other person) but also as brave and responsible. It is admitting chopping down the cherry tree, instead of having Toto pull back the curtain. It invites forgiveness, understanding, humility, redemption and – trust. A person who admits wrong </w:t>
      </w:r>
      <w:r>
        <w:rPr>
          <w:rFonts w:ascii="Times New Roman" w:hAnsi="Times New Roman" w:cs="Times New Roman"/>
          <w:i/>
          <w:iCs/>
        </w:rPr>
        <w:t>shows oneself</w:t>
      </w:r>
      <w:r>
        <w:rPr>
          <w:rFonts w:ascii="Times New Roman" w:hAnsi="Times New Roman" w:cs="Times New Roman"/>
        </w:rPr>
        <w:t xml:space="preserve"> as both genuine and brave, whereas </w:t>
      </w:r>
      <w:r w:rsidRPr="000662A9">
        <w:rPr>
          <w:rFonts w:ascii="Times New Roman" w:hAnsi="Times New Roman" w:cs="Times New Roman"/>
          <w:i/>
          <w:iCs/>
        </w:rPr>
        <w:t>a denier is always held as unknown,</w:t>
      </w:r>
      <w:r>
        <w:rPr>
          <w:rFonts w:ascii="Times New Roman" w:hAnsi="Times New Roman" w:cs="Times New Roman"/>
        </w:rPr>
        <w:t xml:space="preserve"> perhaps only following the path of least resistance. </w:t>
      </w:r>
    </w:p>
    <w:p w14:paraId="050B880B" w14:textId="77777777" w:rsidR="00B5392A" w:rsidRDefault="00B5392A" w:rsidP="006E0A5D">
      <w:pPr>
        <w:spacing w:line="480" w:lineRule="auto"/>
        <w:ind w:left="284" w:right="284"/>
        <w:rPr>
          <w:rFonts w:ascii="Times New Roman" w:hAnsi="Times New Roman" w:cs="Times New Roman"/>
        </w:rPr>
      </w:pPr>
    </w:p>
    <w:p w14:paraId="68CA3246" w14:textId="77777777" w:rsidR="00B10FA3" w:rsidRDefault="00B10FA3" w:rsidP="006E0A5D">
      <w:pPr>
        <w:spacing w:line="480" w:lineRule="auto"/>
        <w:ind w:left="284" w:right="284"/>
        <w:rPr>
          <w:rFonts w:ascii="Times New Roman" w:hAnsi="Times New Roman" w:cs="Times New Roman"/>
          <w:b/>
          <w:bCs/>
          <w:i/>
          <w:iCs/>
          <w:sz w:val="28"/>
          <w:szCs w:val="28"/>
        </w:rPr>
      </w:pPr>
      <w:r>
        <w:rPr>
          <w:rFonts w:ascii="Times New Roman" w:hAnsi="Times New Roman" w:cs="Times New Roman"/>
          <w:b/>
          <w:bCs/>
          <w:i/>
          <w:iCs/>
          <w:sz w:val="28"/>
          <w:szCs w:val="28"/>
        </w:rPr>
        <w:t>Intellectuals and Elitism</w:t>
      </w:r>
    </w:p>
    <w:p w14:paraId="2FF79174" w14:textId="0B7C3B7A" w:rsidR="00B10FA3" w:rsidRDefault="00B10FA3" w:rsidP="006E0A5D">
      <w:pPr>
        <w:spacing w:line="480" w:lineRule="auto"/>
        <w:ind w:left="284" w:right="284"/>
        <w:rPr>
          <w:rFonts w:ascii="Times New Roman" w:hAnsi="Times New Roman" w:cs="Times New Roman"/>
        </w:rPr>
      </w:pPr>
      <w:r w:rsidRPr="005D44AA">
        <w:rPr>
          <w:rFonts w:ascii="Times New Roman" w:hAnsi="Times New Roman" w:cs="Times New Roman"/>
        </w:rPr>
        <w:t xml:space="preserve">     American political </w:t>
      </w:r>
      <w:r>
        <w:rPr>
          <w:rFonts w:ascii="Times New Roman" w:hAnsi="Times New Roman" w:cs="Times New Roman"/>
        </w:rPr>
        <w:t xml:space="preserve">culture has its share of pundits and experts who contribute various media about events in the US and around the world. It’s probably safe to say that most </w:t>
      </w:r>
      <w:r>
        <w:rPr>
          <w:rFonts w:ascii="Times New Roman" w:hAnsi="Times New Roman" w:cs="Times New Roman"/>
        </w:rPr>
        <w:lastRenderedPageBreak/>
        <w:t xml:space="preserve">American do </w:t>
      </w:r>
      <w:r>
        <w:rPr>
          <w:rFonts w:ascii="Times New Roman" w:hAnsi="Times New Roman" w:cs="Times New Roman"/>
          <w:i/>
          <w:iCs/>
        </w:rPr>
        <w:t>not</w:t>
      </w:r>
      <w:r>
        <w:rPr>
          <w:rFonts w:ascii="Times New Roman" w:hAnsi="Times New Roman" w:cs="Times New Roman"/>
        </w:rPr>
        <w:t xml:space="preserve"> get the lion</w:t>
      </w:r>
      <w:r w:rsidR="00990133">
        <w:rPr>
          <w:rFonts w:ascii="Times New Roman" w:hAnsi="Times New Roman" w:cs="Times New Roman"/>
        </w:rPr>
        <w:t>’</w:t>
      </w:r>
      <w:r>
        <w:rPr>
          <w:rFonts w:ascii="Times New Roman" w:hAnsi="Times New Roman" w:cs="Times New Roman"/>
        </w:rPr>
        <w:t xml:space="preserve">s share of their news from these sources, but magazines like the </w:t>
      </w:r>
      <w:r>
        <w:rPr>
          <w:rFonts w:ascii="Times New Roman" w:hAnsi="Times New Roman" w:cs="Times New Roman"/>
          <w:i/>
          <w:iCs/>
        </w:rPr>
        <w:t xml:space="preserve">Economist, The New Republic, The Nation, The National Review, Mother Jones, </w:t>
      </w:r>
      <w:r>
        <w:rPr>
          <w:rFonts w:ascii="Times New Roman" w:hAnsi="Times New Roman" w:cs="Times New Roman"/>
        </w:rPr>
        <w:t xml:space="preserve">and newspapers such as the </w:t>
      </w:r>
      <w:r w:rsidRPr="00DF6171">
        <w:rPr>
          <w:rFonts w:ascii="Times New Roman" w:hAnsi="Times New Roman" w:cs="Times New Roman"/>
          <w:i/>
          <w:iCs/>
        </w:rPr>
        <w:t>New York Times</w:t>
      </w:r>
      <w:r>
        <w:rPr>
          <w:rFonts w:ascii="Times New Roman" w:hAnsi="Times New Roman" w:cs="Times New Roman"/>
        </w:rPr>
        <w:t xml:space="preserve"> and </w:t>
      </w:r>
      <w:r w:rsidRPr="00DF6171">
        <w:rPr>
          <w:rFonts w:ascii="Times New Roman" w:hAnsi="Times New Roman" w:cs="Times New Roman"/>
          <w:i/>
          <w:iCs/>
        </w:rPr>
        <w:t>Washington Post</w:t>
      </w:r>
      <w:r>
        <w:rPr>
          <w:rFonts w:ascii="Times New Roman" w:hAnsi="Times New Roman" w:cs="Times New Roman"/>
        </w:rPr>
        <w:t xml:space="preserve"> provide a spectrum of opinion covering much of the political canvass. However, these media are</w:t>
      </w:r>
      <w:r w:rsidR="000E5B5F">
        <w:rPr>
          <w:rFonts w:ascii="Times New Roman" w:hAnsi="Times New Roman" w:cs="Times New Roman"/>
        </w:rPr>
        <w:t>, in essence,</w:t>
      </w:r>
      <w:r>
        <w:rPr>
          <w:rFonts w:ascii="Times New Roman" w:hAnsi="Times New Roman" w:cs="Times New Roman"/>
        </w:rPr>
        <w:t xml:space="preserve"> structured for the consumption of the political and highly literate classes.</w:t>
      </w:r>
    </w:p>
    <w:p w14:paraId="4793E9CE" w14:textId="77777777" w:rsidR="00B10FA3" w:rsidRDefault="00B10FA3" w:rsidP="006E0A5D">
      <w:pPr>
        <w:spacing w:line="480" w:lineRule="auto"/>
        <w:ind w:left="284" w:right="284"/>
        <w:rPr>
          <w:rFonts w:ascii="Times New Roman" w:hAnsi="Times New Roman" w:cs="Times New Roman"/>
        </w:rPr>
      </w:pPr>
      <w:r>
        <w:rPr>
          <w:rFonts w:ascii="Times New Roman" w:hAnsi="Times New Roman" w:cs="Times New Roman"/>
        </w:rPr>
        <w:t xml:space="preserve">      The US Congress – particularly the Senate – is hardly demographically representative of the Unites States as a whole. Most members are college educated, and a considerable portion of those have earned advanced post graduate degrees, particularly in law.</w:t>
      </w:r>
      <w:r>
        <w:rPr>
          <w:rStyle w:val="FootnoteReference"/>
          <w:rFonts w:ascii="Times New Roman" w:hAnsi="Times New Roman" w:cs="Times New Roman"/>
        </w:rPr>
        <w:footnoteReference w:id="19"/>
      </w:r>
      <w:r>
        <w:rPr>
          <w:rFonts w:ascii="Times New Roman" w:hAnsi="Times New Roman" w:cs="Times New Roman"/>
        </w:rPr>
        <w:t xml:space="preserve"> The Congress is, indeed an elite club. But “elitism,” as it were, is a taboo topic in DC today. While traditional conceptions of elitism were hurled by Democrats at ‘country club Republicans,’ the GOP has fought back in recent years, accusing the Democrats of being out of touch with average voters, instead appealing to ‘Hollywood elites and the Liberal Media.’</w:t>
      </w:r>
    </w:p>
    <w:p w14:paraId="107D5570" w14:textId="6D06E9A1" w:rsidR="00B10FA3" w:rsidRDefault="00B10FA3" w:rsidP="006E0A5D">
      <w:pPr>
        <w:spacing w:line="480" w:lineRule="auto"/>
        <w:ind w:left="284" w:right="284"/>
        <w:rPr>
          <w:rFonts w:ascii="Times New Roman" w:hAnsi="Times New Roman" w:cs="Times New Roman"/>
        </w:rPr>
      </w:pPr>
      <w:r>
        <w:rPr>
          <w:rFonts w:ascii="Times New Roman" w:hAnsi="Times New Roman" w:cs="Times New Roman"/>
        </w:rPr>
        <w:t xml:space="preserve">     Charges of elitism are nothing new. The advent of mass politics in the early 19</w:t>
      </w:r>
      <w:r w:rsidRPr="00A45A9D">
        <w:rPr>
          <w:rFonts w:ascii="Times New Roman" w:hAnsi="Times New Roman" w:cs="Times New Roman"/>
          <w:vertAlign w:val="superscript"/>
        </w:rPr>
        <w:t>th</w:t>
      </w:r>
      <w:r>
        <w:rPr>
          <w:rFonts w:ascii="Times New Roman" w:hAnsi="Times New Roman" w:cs="Times New Roman"/>
        </w:rPr>
        <w:t xml:space="preserve"> century “Age of (Andrew) Jackson” couples with appeals to the everyman, and the use of such appeals has become an art form in recent decades, as the two major parties have fought over influence in white, working-class constituencies. And, as might be expected, as with today, criticisms of supposed elitism have been often coupled with disparaging digs at masculinity and femininity. Pols flex their muscles in public, threaten physical violence against opponents, “roll up their sleeves” to get to work, and </w:t>
      </w:r>
      <w:r>
        <w:rPr>
          <w:rFonts w:ascii="Times New Roman" w:hAnsi="Times New Roman" w:cs="Times New Roman"/>
        </w:rPr>
        <w:lastRenderedPageBreak/>
        <w:t xml:space="preserve">show up at pig roasts, shooting ranges, NASCAR events, and sometimes </w:t>
      </w:r>
      <w:r w:rsidR="00380F9C">
        <w:rPr>
          <w:rFonts w:ascii="Times New Roman" w:hAnsi="Times New Roman" w:cs="Times New Roman"/>
        </w:rPr>
        <w:t>w</w:t>
      </w:r>
      <w:r>
        <w:rPr>
          <w:rFonts w:ascii="Times New Roman" w:hAnsi="Times New Roman" w:cs="Times New Roman"/>
        </w:rPr>
        <w:t xml:space="preserve">hite </w:t>
      </w:r>
      <w:r w:rsidR="00380F9C">
        <w:rPr>
          <w:rFonts w:ascii="Times New Roman" w:hAnsi="Times New Roman" w:cs="Times New Roman"/>
        </w:rPr>
        <w:t>s</w:t>
      </w:r>
      <w:r>
        <w:rPr>
          <w:rFonts w:ascii="Times New Roman" w:hAnsi="Times New Roman" w:cs="Times New Roman"/>
        </w:rPr>
        <w:t>uprem</w:t>
      </w:r>
      <w:r w:rsidR="004B52EB">
        <w:rPr>
          <w:rFonts w:ascii="Times New Roman" w:hAnsi="Times New Roman" w:cs="Times New Roman"/>
        </w:rPr>
        <w:t>a</w:t>
      </w:r>
      <w:r>
        <w:rPr>
          <w:rFonts w:ascii="Times New Roman" w:hAnsi="Times New Roman" w:cs="Times New Roman"/>
        </w:rPr>
        <w:t xml:space="preserve">cist rallies to prove their </w:t>
      </w:r>
      <w:r w:rsidR="004B52EB">
        <w:rPr>
          <w:rFonts w:ascii="Times New Roman" w:hAnsi="Times New Roman" w:cs="Times New Roman"/>
        </w:rPr>
        <w:t>assumptions</w:t>
      </w:r>
      <w:r>
        <w:rPr>
          <w:rFonts w:ascii="Times New Roman" w:hAnsi="Times New Roman" w:cs="Times New Roman"/>
        </w:rPr>
        <w:t>.</w:t>
      </w:r>
    </w:p>
    <w:p w14:paraId="334355BF" w14:textId="77777777" w:rsidR="00B10FA3" w:rsidRDefault="00B10FA3" w:rsidP="006E0A5D">
      <w:pPr>
        <w:spacing w:line="480" w:lineRule="auto"/>
        <w:ind w:left="284" w:right="284"/>
        <w:rPr>
          <w:rFonts w:ascii="Times New Roman" w:hAnsi="Times New Roman" w:cs="Times New Roman"/>
          <w:b/>
          <w:bCs/>
          <w:i/>
          <w:iCs/>
        </w:rPr>
      </w:pPr>
    </w:p>
    <w:p w14:paraId="393D52BC" w14:textId="77777777" w:rsidR="00B10FA3" w:rsidRPr="00380F9C" w:rsidRDefault="00B10FA3" w:rsidP="006E0A5D">
      <w:pPr>
        <w:spacing w:line="480" w:lineRule="auto"/>
        <w:ind w:left="284" w:right="284"/>
        <w:rPr>
          <w:rFonts w:ascii="Times New Roman" w:hAnsi="Times New Roman" w:cs="Times New Roman"/>
          <w:sz w:val="28"/>
          <w:szCs w:val="28"/>
        </w:rPr>
      </w:pPr>
      <w:r w:rsidRPr="00380F9C">
        <w:rPr>
          <w:rFonts w:ascii="Times New Roman" w:hAnsi="Times New Roman" w:cs="Times New Roman"/>
          <w:b/>
          <w:bCs/>
          <w:i/>
          <w:iCs/>
          <w:sz w:val="28"/>
          <w:szCs w:val="28"/>
        </w:rPr>
        <w:t>Elites and Gendered Politics</w:t>
      </w:r>
      <w:r w:rsidRPr="00380F9C">
        <w:rPr>
          <w:rFonts w:ascii="Times New Roman" w:hAnsi="Times New Roman" w:cs="Times New Roman"/>
          <w:sz w:val="28"/>
          <w:szCs w:val="28"/>
        </w:rPr>
        <w:t xml:space="preserve">   </w:t>
      </w:r>
    </w:p>
    <w:p w14:paraId="009BC1AE" w14:textId="4D899FC4" w:rsidR="00B10FA3" w:rsidRDefault="00B10FA3" w:rsidP="006E0A5D">
      <w:pPr>
        <w:spacing w:line="480" w:lineRule="auto"/>
        <w:ind w:left="284" w:right="284"/>
        <w:rPr>
          <w:rFonts w:ascii="Times New Roman" w:hAnsi="Times New Roman" w:cs="Times New Roman"/>
        </w:rPr>
      </w:pPr>
      <w:r>
        <w:rPr>
          <w:rFonts w:ascii="Times New Roman" w:hAnsi="Times New Roman" w:cs="Times New Roman"/>
        </w:rPr>
        <w:t xml:space="preserve">  Let’s take two </w:t>
      </w:r>
      <w:r w:rsidR="002B627E">
        <w:rPr>
          <w:rFonts w:ascii="Times New Roman" w:hAnsi="Times New Roman" w:cs="Times New Roman"/>
        </w:rPr>
        <w:t xml:space="preserve">historic </w:t>
      </w:r>
      <w:r>
        <w:rPr>
          <w:rFonts w:ascii="Times New Roman" w:hAnsi="Times New Roman" w:cs="Times New Roman"/>
        </w:rPr>
        <w:t>examples of the intermixing of gender and politics. In 1968, former Alabama Governor George Wallace launched a right-wing populist campaign, appealing to reactionary racial views and white, working-class discontent. Elites, to Wallace, were “sissy britches intellectual morons.”</w:t>
      </w:r>
      <w:r>
        <w:rPr>
          <w:rStyle w:val="FootnoteReference"/>
          <w:rFonts w:ascii="Times New Roman" w:hAnsi="Times New Roman" w:cs="Times New Roman"/>
        </w:rPr>
        <w:footnoteReference w:id="20"/>
      </w:r>
      <w:r w:rsidR="002B627E">
        <w:rPr>
          <w:rFonts w:ascii="Times New Roman" w:hAnsi="Times New Roman" w:cs="Times New Roman"/>
        </w:rPr>
        <w:t xml:space="preserve"> </w:t>
      </w:r>
      <w:r>
        <w:rPr>
          <w:rFonts w:ascii="Times New Roman" w:hAnsi="Times New Roman" w:cs="Times New Roman"/>
        </w:rPr>
        <w:t>Now, a moron is a moron – but ‘sissy britches’ implies other, more gender specific and sexualized shortcomings. After the election of 1968, in which Richard M. Nixon was elected President by the smallest of margins, his Vice President, Spiro Agnew, former Governor of Maryland, weighed in with his own rhetoric against supposed cultural elitists:</w:t>
      </w:r>
    </w:p>
    <w:p w14:paraId="7261D958" w14:textId="77777777" w:rsidR="00B10FA3" w:rsidRPr="00AF7732" w:rsidRDefault="00B10FA3" w:rsidP="00E848B6">
      <w:pPr>
        <w:spacing w:before="480" w:line="240" w:lineRule="auto"/>
        <w:ind w:left="1134" w:right="1134"/>
        <w:rPr>
          <w:rFonts w:ascii="Times New Roman" w:hAnsi="Times New Roman" w:cs="Times New Roman"/>
        </w:rPr>
      </w:pPr>
      <w:r>
        <w:rPr>
          <w:rFonts w:ascii="Times New Roman" w:hAnsi="Times New Roman" w:cs="Times New Roman"/>
        </w:rPr>
        <w:t>A</w:t>
      </w:r>
      <w:r w:rsidRPr="00AF7732">
        <w:rPr>
          <w:rFonts w:ascii="Times New Roman" w:hAnsi="Times New Roman" w:cs="Times New Roman"/>
        </w:rPr>
        <w:t>fter the election, Agnew did not settle quietly into his mainly ceremonial office. His popularity soared even higher as he continued attacking the media, the anti-war movement, the Black Power movement, universities, and the counterculture. His famous alliterative put-downs of liberals as “nattering nabobs of negativism” and “hopeless, hysterical hypochondriacs of history” helped frame the Democratic Party as a group of leftist weirdos.</w:t>
      </w:r>
      <w:r>
        <w:rPr>
          <w:rStyle w:val="FootnoteReference"/>
          <w:rFonts w:ascii="Times New Roman" w:hAnsi="Times New Roman" w:cs="Times New Roman"/>
        </w:rPr>
        <w:footnoteReference w:id="21"/>
      </w:r>
    </w:p>
    <w:p w14:paraId="2EDBFA75" w14:textId="77777777" w:rsidR="00B10FA3" w:rsidRDefault="00B10FA3" w:rsidP="006E0A5D">
      <w:pPr>
        <w:spacing w:line="480" w:lineRule="auto"/>
        <w:ind w:left="284" w:right="284"/>
        <w:rPr>
          <w:rFonts w:ascii="Times New Roman" w:hAnsi="Times New Roman" w:cs="Times New Roman"/>
          <w:b/>
          <w:bCs/>
          <w:i/>
          <w:iCs/>
          <w:sz w:val="28"/>
          <w:szCs w:val="28"/>
        </w:rPr>
      </w:pPr>
    </w:p>
    <w:p w14:paraId="482438B0" w14:textId="5E216062" w:rsidR="00B10FA3" w:rsidRPr="00AF7732" w:rsidRDefault="00B10FA3" w:rsidP="00AF7732">
      <w:pPr>
        <w:spacing w:line="480" w:lineRule="auto"/>
        <w:ind w:right="284"/>
        <w:rPr>
          <w:rFonts w:ascii="Times New Roman" w:hAnsi="Times New Roman" w:cs="Times New Roman"/>
        </w:rPr>
      </w:pPr>
      <w:r>
        <w:rPr>
          <w:rFonts w:ascii="Times New Roman" w:hAnsi="Times New Roman" w:cs="Times New Roman"/>
        </w:rPr>
        <w:t xml:space="preserve">Agnew continued, attempting to add fuel to the flame of the very cultural and economic divisions that were rocking the US at the time, saying “If, in challenging, we polarize the </w:t>
      </w:r>
      <w:r>
        <w:rPr>
          <w:rFonts w:ascii="Times New Roman" w:hAnsi="Times New Roman" w:cs="Times New Roman"/>
        </w:rPr>
        <w:lastRenderedPageBreak/>
        <w:t>American people, I say that it is a time for positive polarization.”</w:t>
      </w:r>
      <w:r>
        <w:rPr>
          <w:rStyle w:val="FootnoteReference"/>
          <w:rFonts w:ascii="Times New Roman" w:hAnsi="Times New Roman" w:cs="Times New Roman"/>
        </w:rPr>
        <w:footnoteReference w:id="22"/>
      </w:r>
      <w:r>
        <w:rPr>
          <w:rFonts w:ascii="Times New Roman" w:hAnsi="Times New Roman" w:cs="Times New Roman"/>
        </w:rPr>
        <w:t xml:space="preserve"> It </w:t>
      </w:r>
      <w:r w:rsidR="000E5B5F">
        <w:rPr>
          <w:rFonts w:ascii="Times New Roman" w:hAnsi="Times New Roman" w:cs="Times New Roman"/>
        </w:rPr>
        <w:t xml:space="preserve">is </w:t>
      </w:r>
      <w:r>
        <w:rPr>
          <w:rFonts w:ascii="Times New Roman" w:hAnsi="Times New Roman" w:cs="Times New Roman"/>
        </w:rPr>
        <w:t xml:space="preserve">worth keeping in mind that, over time, opposition to the Vietnam War and support for the Civil Rights Movement of the 1960s were often attacked </w:t>
      </w:r>
      <w:r w:rsidRPr="00B032CE">
        <w:rPr>
          <w:rFonts w:ascii="Times New Roman" w:hAnsi="Times New Roman" w:cs="Times New Roman"/>
          <w:i/>
          <w:iCs/>
        </w:rPr>
        <w:t>using masculinity tropes</w:t>
      </w:r>
      <w:r>
        <w:rPr>
          <w:rFonts w:ascii="Times New Roman" w:hAnsi="Times New Roman" w:cs="Times New Roman"/>
        </w:rPr>
        <w:t xml:space="preserve"> to paint opponents as effete, effeminate and cowardly. Today, climate change and wind energy have been, among many policy phenomena attacked in coded gender messages, equating protection of the environment with impotent masculinity.</w:t>
      </w:r>
    </w:p>
    <w:p w14:paraId="4C39EDE7" w14:textId="77777777" w:rsidR="00884603" w:rsidRDefault="00884603" w:rsidP="006E0A5D">
      <w:pPr>
        <w:spacing w:line="480" w:lineRule="auto"/>
        <w:ind w:left="284" w:right="284"/>
        <w:rPr>
          <w:rFonts w:ascii="Times New Roman" w:hAnsi="Times New Roman" w:cs="Times New Roman"/>
          <w:b/>
          <w:bCs/>
          <w:i/>
          <w:iCs/>
          <w:sz w:val="28"/>
          <w:szCs w:val="28"/>
        </w:rPr>
      </w:pPr>
    </w:p>
    <w:p w14:paraId="76829B9F" w14:textId="24D64C4D" w:rsidR="00B10FA3" w:rsidRPr="003E1DEB" w:rsidRDefault="00B10FA3" w:rsidP="006E0A5D">
      <w:pPr>
        <w:spacing w:line="480" w:lineRule="auto"/>
        <w:ind w:left="284" w:right="284"/>
        <w:rPr>
          <w:rFonts w:ascii="Times New Roman" w:hAnsi="Times New Roman" w:cs="Times New Roman"/>
        </w:rPr>
      </w:pPr>
      <w:r>
        <w:rPr>
          <w:rFonts w:ascii="Times New Roman" w:hAnsi="Times New Roman" w:cs="Times New Roman"/>
          <w:b/>
          <w:bCs/>
          <w:i/>
          <w:iCs/>
          <w:sz w:val="28"/>
          <w:szCs w:val="28"/>
        </w:rPr>
        <w:t>American ‘Conservatism’</w:t>
      </w:r>
    </w:p>
    <w:p w14:paraId="0B992D15" w14:textId="77777777" w:rsidR="00B10FA3" w:rsidRDefault="00B10FA3" w:rsidP="009D19EF">
      <w:pPr>
        <w:spacing w:line="480" w:lineRule="auto"/>
        <w:ind w:left="284" w:right="284"/>
        <w:rPr>
          <w:rFonts w:ascii="Times New Roman" w:hAnsi="Times New Roman" w:cs="Times New Roman"/>
        </w:rPr>
      </w:pPr>
      <w:r>
        <w:rPr>
          <w:rFonts w:ascii="Times New Roman" w:hAnsi="Times New Roman" w:cs="Times New Roman"/>
        </w:rPr>
        <w:t xml:space="preserve">     If there is a misunderstood and misused word in American politics, it is the word </w:t>
      </w:r>
      <w:r w:rsidRPr="003C3BA7">
        <w:rPr>
          <w:rFonts w:ascii="Times New Roman" w:hAnsi="Times New Roman" w:cs="Times New Roman"/>
          <w:i/>
          <w:iCs/>
        </w:rPr>
        <w:t>“conservative</w:t>
      </w:r>
      <w:r>
        <w:rPr>
          <w:rFonts w:ascii="Times New Roman" w:hAnsi="Times New Roman" w:cs="Times New Roman"/>
        </w:rPr>
        <w:t xml:space="preserve">.” The problem is in the linguistics. The United States, alone among western nations, lacks a viable labor or socialist party, and is, by and large, a conservative country both socially and economically, par excellence. We are not comfortable with the human body, or with sexuality; we don’t learn foreign languages, most of us don’t travel outside of the US. Foreign people, culture and food are held with suspicion. Our </w:t>
      </w:r>
      <w:r w:rsidRPr="00B84C10">
        <w:rPr>
          <w:rFonts w:ascii="Times New Roman" w:hAnsi="Times New Roman" w:cs="Times New Roman"/>
          <w:i/>
          <w:iCs/>
        </w:rPr>
        <w:t xml:space="preserve">national </w:t>
      </w:r>
      <w:r>
        <w:rPr>
          <w:rFonts w:ascii="Times New Roman" w:hAnsi="Times New Roman" w:cs="Times New Roman"/>
        </w:rPr>
        <w:t>baseball championship is called the ‘world’ series, we eschew public transport in favor of cars, our debates about birth control and abortion are ongoing and unresolved; ungendered bathrooms terrify us, and we go to church at a rate higher than any other industrialized country. We are a bit weird – at least by western standards. Don’t even ask me about sauna behavior.</w:t>
      </w:r>
    </w:p>
    <w:p w14:paraId="0E633E19" w14:textId="0A06C68C" w:rsidR="00B10FA3" w:rsidRDefault="00B10FA3" w:rsidP="006E0A5D">
      <w:pPr>
        <w:spacing w:line="480" w:lineRule="auto"/>
        <w:ind w:left="284" w:right="284"/>
        <w:rPr>
          <w:rFonts w:ascii="Times New Roman" w:hAnsi="Times New Roman" w:cs="Times New Roman"/>
        </w:rPr>
      </w:pPr>
      <w:r>
        <w:rPr>
          <w:rFonts w:ascii="Times New Roman" w:hAnsi="Times New Roman" w:cs="Times New Roman"/>
        </w:rPr>
        <w:t xml:space="preserve">     Economically, our conservatism is indicated by widespread agreement on the neo-liberal values of preference for private ownership and influence in the economy - think trickle</w:t>
      </w:r>
      <w:r w:rsidR="00990133">
        <w:rPr>
          <w:rFonts w:ascii="Times New Roman" w:hAnsi="Times New Roman" w:cs="Times New Roman"/>
        </w:rPr>
        <w:t>-</w:t>
      </w:r>
      <w:r>
        <w:rPr>
          <w:rFonts w:ascii="Times New Roman" w:hAnsi="Times New Roman" w:cs="Times New Roman"/>
        </w:rPr>
        <w:t xml:space="preserve">down economics. Tax policy for the better part of 50 years has favored the very </w:t>
      </w:r>
      <w:r>
        <w:rPr>
          <w:rFonts w:ascii="Times New Roman" w:hAnsi="Times New Roman" w:cs="Times New Roman"/>
        </w:rPr>
        <w:lastRenderedPageBreak/>
        <w:t xml:space="preserve">wealthiest Americans, and everyone seems ok with that. Ditto for the decimation of labor unions, and the stagnation of the minimum wage. At some level, we have decided that, all things being equal, that the better-off types should call the shots. </w:t>
      </w:r>
    </w:p>
    <w:p w14:paraId="1051F2CB" w14:textId="77777777" w:rsidR="00B10FA3" w:rsidRDefault="00B10FA3" w:rsidP="006E0A5D">
      <w:pPr>
        <w:spacing w:line="480" w:lineRule="auto"/>
        <w:ind w:left="284" w:right="284"/>
        <w:rPr>
          <w:rFonts w:ascii="Times New Roman" w:hAnsi="Times New Roman" w:cs="Times New Roman"/>
        </w:rPr>
      </w:pPr>
      <w:r>
        <w:rPr>
          <w:rFonts w:ascii="Times New Roman" w:hAnsi="Times New Roman" w:cs="Times New Roman"/>
          <w:color w:val="FF0000"/>
        </w:rPr>
        <w:t xml:space="preserve">    </w:t>
      </w:r>
      <w:r>
        <w:rPr>
          <w:rFonts w:ascii="Times New Roman" w:hAnsi="Times New Roman" w:cs="Times New Roman"/>
        </w:rPr>
        <w:t xml:space="preserve">There is an ingrained habit among Americans to trust the market and the private interests that control it. We have been conditioned for decades to fear the creep of large, oppressive government, but the commensurate dangers of </w:t>
      </w:r>
      <w:r w:rsidRPr="008F2297">
        <w:rPr>
          <w:rFonts w:ascii="Times New Roman" w:hAnsi="Times New Roman" w:cs="Times New Roman"/>
          <w:i/>
          <w:iCs/>
        </w:rPr>
        <w:t xml:space="preserve">an unregulated, tyrannical private sphere </w:t>
      </w:r>
      <w:r>
        <w:rPr>
          <w:rFonts w:ascii="Times New Roman" w:hAnsi="Times New Roman" w:cs="Times New Roman"/>
        </w:rPr>
        <w:t>attracts little concern. We want the cheapest, the fastest, the newest – and we are fascinated by novelty. When the market fails, it is typical for Americans to blame a single company – or individual - rather than to see systemic wrongdoing in regulatory practices or systemic weaknesses in the system. There is both hero worship and a fierce tendency to tear down those heroic icons, depending on the public mood. Just ask Elon Musk, Harvey Weinstein, Martha Stewart, Jeffrey Epstein, Louis C.K. or Mark Zuckerburg.</w:t>
      </w:r>
    </w:p>
    <w:p w14:paraId="32DC0195" w14:textId="71C6650B" w:rsidR="00B10FA3" w:rsidRDefault="00B10FA3" w:rsidP="006E0A5D">
      <w:pPr>
        <w:spacing w:line="480" w:lineRule="auto"/>
        <w:ind w:left="284" w:right="284"/>
        <w:rPr>
          <w:rFonts w:ascii="Times New Roman" w:hAnsi="Times New Roman" w:cs="Times New Roman"/>
        </w:rPr>
      </w:pPr>
      <w:r>
        <w:rPr>
          <w:rFonts w:ascii="Times New Roman" w:hAnsi="Times New Roman" w:cs="Times New Roman"/>
        </w:rPr>
        <w:t xml:space="preserve">      As a rule, Americans tend not to be particularly ideological – at least, not in any deep way. One may say that they are ‘anti-abortion,’ ‘pro-free market,’ ‘pro-civil rights’ or ‘anti-gun control,’ but deeper references to the tradition or desirability of government in this or that sector of life, much less ethics, is rarely discussed. American political discussion is ordinarily topical, linear and hyperbolic, rather than analytical; it is particular, issue oriented and </w:t>
      </w:r>
      <w:r w:rsidR="000E5B5F">
        <w:rPr>
          <w:rFonts w:ascii="Times New Roman" w:hAnsi="Times New Roman" w:cs="Times New Roman"/>
        </w:rPr>
        <w:t xml:space="preserve">personal or </w:t>
      </w:r>
      <w:r>
        <w:rPr>
          <w:rFonts w:ascii="Times New Roman" w:hAnsi="Times New Roman" w:cs="Times New Roman"/>
        </w:rPr>
        <w:t xml:space="preserve">parochial. “Murderer A must die because he killed 5 people in a heinous manner, while Murderer B should be spared because he killed only 2 people in a fit of rage.” </w:t>
      </w:r>
    </w:p>
    <w:p w14:paraId="3D356E92" w14:textId="5DAE8E58" w:rsidR="00B10FA3" w:rsidRDefault="00B10FA3" w:rsidP="006E0A5D">
      <w:pPr>
        <w:spacing w:line="480" w:lineRule="auto"/>
        <w:ind w:left="284" w:right="284"/>
        <w:rPr>
          <w:rFonts w:ascii="Times New Roman" w:hAnsi="Times New Roman" w:cs="Times New Roman"/>
        </w:rPr>
      </w:pPr>
      <w:r>
        <w:rPr>
          <w:rFonts w:ascii="Times New Roman" w:hAnsi="Times New Roman" w:cs="Times New Roman"/>
        </w:rPr>
        <w:t xml:space="preserve">    That said, </w:t>
      </w:r>
      <w:r w:rsidRPr="00C62015">
        <w:rPr>
          <w:rFonts w:ascii="Times New Roman" w:hAnsi="Times New Roman" w:cs="Times New Roman"/>
          <w:i/>
          <w:iCs/>
        </w:rPr>
        <w:t>Americans are not accustomed to qualitative</w:t>
      </w:r>
      <w:r w:rsidR="00DA4100">
        <w:rPr>
          <w:rFonts w:ascii="Times New Roman" w:hAnsi="Times New Roman" w:cs="Times New Roman"/>
          <w:i/>
          <w:iCs/>
        </w:rPr>
        <w:t xml:space="preserve">, nuanced </w:t>
      </w:r>
      <w:r w:rsidRPr="00C62015">
        <w:rPr>
          <w:rFonts w:ascii="Times New Roman" w:hAnsi="Times New Roman" w:cs="Times New Roman"/>
          <w:i/>
          <w:iCs/>
        </w:rPr>
        <w:t>thinking</w:t>
      </w:r>
      <w:r>
        <w:rPr>
          <w:rFonts w:ascii="Times New Roman" w:hAnsi="Times New Roman" w:cs="Times New Roman"/>
        </w:rPr>
        <w:t xml:space="preserve">. Shades of gray and historical perspective are not our strengths. We prefer simple formulae, symbols and easy to access computed data (numbers of immigrants, drug users, </w:t>
      </w:r>
      <w:r>
        <w:rPr>
          <w:rFonts w:ascii="Times New Roman" w:hAnsi="Times New Roman" w:cs="Times New Roman"/>
        </w:rPr>
        <w:lastRenderedPageBreak/>
        <w:t>abortions performed), which serve the ‘concrete and material’ needs of the American political culture</w:t>
      </w:r>
      <w:r w:rsidR="000E5B5F">
        <w:rPr>
          <w:rFonts w:ascii="Times New Roman" w:hAnsi="Times New Roman" w:cs="Times New Roman"/>
        </w:rPr>
        <w:t>, based on consumer driven values.</w:t>
      </w:r>
    </w:p>
    <w:p w14:paraId="45DFAEC8" w14:textId="5F6DAC38" w:rsidR="00B10FA3" w:rsidRDefault="00B10FA3" w:rsidP="006E0A5D">
      <w:pPr>
        <w:spacing w:line="480" w:lineRule="auto"/>
        <w:ind w:left="284" w:right="284"/>
        <w:rPr>
          <w:rFonts w:ascii="Times New Roman" w:hAnsi="Times New Roman" w:cs="Times New Roman"/>
        </w:rPr>
      </w:pPr>
      <w:r>
        <w:rPr>
          <w:rFonts w:ascii="Times New Roman" w:hAnsi="Times New Roman" w:cs="Times New Roman"/>
        </w:rPr>
        <w:t xml:space="preserve">     The serious discussion of the merits or flaws of issues, unfortunately, gives way to personal feeling. “Diabetics shouldn’t drain the system with health claims because they choose to eat poorly for years on end,” replaces any serious discussion of diet, processed foods, corporate farming, access to nutritional information and prevention. “Build the Wall” takes a simple concept of shutting the door to ‘the other,’ while offering no insight on the cause of border instability, </w:t>
      </w:r>
      <w:r w:rsidR="0027085C">
        <w:rPr>
          <w:rFonts w:ascii="Times New Roman" w:hAnsi="Times New Roman" w:cs="Times New Roman"/>
        </w:rPr>
        <w:t xml:space="preserve">asylum, </w:t>
      </w:r>
      <w:r>
        <w:rPr>
          <w:rFonts w:ascii="Times New Roman" w:hAnsi="Times New Roman" w:cs="Times New Roman"/>
        </w:rPr>
        <w:t xml:space="preserve">efficient immigration policy or respect for human rights and sensitivity to international events that set off mass emigration. </w:t>
      </w:r>
    </w:p>
    <w:p w14:paraId="3140FD08" w14:textId="77777777" w:rsidR="00B10FA3" w:rsidRDefault="00B10FA3" w:rsidP="006E0A5D">
      <w:pPr>
        <w:spacing w:line="480" w:lineRule="auto"/>
        <w:ind w:left="284" w:right="284"/>
        <w:rPr>
          <w:rFonts w:ascii="Times New Roman" w:hAnsi="Times New Roman" w:cs="Times New Roman"/>
        </w:rPr>
      </w:pPr>
      <w:r>
        <w:rPr>
          <w:rFonts w:ascii="Times New Roman" w:hAnsi="Times New Roman" w:cs="Times New Roman"/>
        </w:rPr>
        <w:t xml:space="preserve">     But, by more sound reasoning, the US is not, in fact, a conservative country, at least by traditional ideological standards. The US represents a modern version of western liberalism, with hardly a hint of conservatism in its modern history. What is often called conservatism in </w:t>
      </w:r>
      <w:r w:rsidRPr="001611BD">
        <w:rPr>
          <w:rFonts w:ascii="Times New Roman" w:hAnsi="Times New Roman" w:cs="Times New Roman"/>
          <w:i/>
          <w:iCs/>
        </w:rPr>
        <w:t>modern</w:t>
      </w:r>
      <w:r>
        <w:rPr>
          <w:rFonts w:ascii="Times New Roman" w:hAnsi="Times New Roman" w:cs="Times New Roman"/>
        </w:rPr>
        <w:t xml:space="preserve"> America is, in fact a form of </w:t>
      </w:r>
      <w:r w:rsidRPr="006479E6">
        <w:rPr>
          <w:rFonts w:ascii="Times New Roman" w:hAnsi="Times New Roman" w:cs="Times New Roman"/>
          <w:i/>
          <w:iCs/>
        </w:rPr>
        <w:t>historic</w:t>
      </w:r>
      <w:r>
        <w:rPr>
          <w:rFonts w:ascii="Times New Roman" w:hAnsi="Times New Roman" w:cs="Times New Roman"/>
          <w:i/>
          <w:iCs/>
        </w:rPr>
        <w:t>, classical</w:t>
      </w:r>
      <w:r w:rsidRPr="006479E6">
        <w:rPr>
          <w:rFonts w:ascii="Times New Roman" w:hAnsi="Times New Roman" w:cs="Times New Roman"/>
          <w:i/>
          <w:iCs/>
        </w:rPr>
        <w:t xml:space="preserve"> liberalism</w:t>
      </w:r>
      <w:r>
        <w:rPr>
          <w:rFonts w:ascii="Times New Roman" w:hAnsi="Times New Roman" w:cs="Times New Roman"/>
        </w:rPr>
        <w:t>. Markets, efficiency, individualism, limited government in the social sphere – these are all trappings of early 19</w:t>
      </w:r>
      <w:r w:rsidRPr="00653CFF">
        <w:rPr>
          <w:rFonts w:ascii="Times New Roman" w:hAnsi="Times New Roman" w:cs="Times New Roman"/>
          <w:vertAlign w:val="superscript"/>
        </w:rPr>
        <w:t>th</w:t>
      </w:r>
      <w:r>
        <w:rPr>
          <w:rFonts w:ascii="Times New Roman" w:hAnsi="Times New Roman" w:cs="Times New Roman"/>
        </w:rPr>
        <w:t xml:space="preserve"> and 20</w:t>
      </w:r>
      <w:r w:rsidRPr="00653CFF">
        <w:rPr>
          <w:rFonts w:ascii="Times New Roman" w:hAnsi="Times New Roman" w:cs="Times New Roman"/>
          <w:vertAlign w:val="superscript"/>
        </w:rPr>
        <w:t>th</w:t>
      </w:r>
      <w:r>
        <w:rPr>
          <w:rFonts w:ascii="Times New Roman" w:hAnsi="Times New Roman" w:cs="Times New Roman"/>
        </w:rPr>
        <w:t xml:space="preserve"> century liberalism. Traditional, 18</w:t>
      </w:r>
      <w:r w:rsidRPr="006479E6">
        <w:rPr>
          <w:rFonts w:ascii="Times New Roman" w:hAnsi="Times New Roman" w:cs="Times New Roman"/>
          <w:vertAlign w:val="superscript"/>
        </w:rPr>
        <w:t>th</w:t>
      </w:r>
      <w:r>
        <w:rPr>
          <w:rFonts w:ascii="Times New Roman" w:hAnsi="Times New Roman" w:cs="Times New Roman"/>
        </w:rPr>
        <w:t xml:space="preserve"> century liberalism had focused on </w:t>
      </w:r>
      <w:r>
        <w:rPr>
          <w:rFonts w:ascii="Times New Roman" w:hAnsi="Times New Roman" w:cs="Times New Roman"/>
          <w:i/>
          <w:iCs/>
        </w:rPr>
        <w:t xml:space="preserve">natural rights, </w:t>
      </w:r>
      <w:r>
        <w:rPr>
          <w:rFonts w:ascii="Times New Roman" w:hAnsi="Times New Roman" w:cs="Times New Roman"/>
        </w:rPr>
        <w:t xml:space="preserve">such as life, liberty and property. Rights that belonged to you, as a citizen. Rights that could not be removed.  </w:t>
      </w:r>
    </w:p>
    <w:p w14:paraId="2537F599" w14:textId="77777777" w:rsidR="00B10FA3" w:rsidRDefault="00B10FA3" w:rsidP="006E0A5D">
      <w:pPr>
        <w:spacing w:line="480" w:lineRule="auto"/>
        <w:ind w:left="284" w:right="284"/>
        <w:rPr>
          <w:rFonts w:ascii="Times New Roman" w:hAnsi="Times New Roman" w:cs="Times New Roman"/>
        </w:rPr>
      </w:pPr>
      <w:r w:rsidRPr="00BC4112">
        <w:rPr>
          <w:rFonts w:ascii="Times New Roman" w:hAnsi="Times New Roman" w:cs="Times New Roman"/>
          <w:i/>
          <w:iCs/>
        </w:rPr>
        <w:t xml:space="preserve">    </w:t>
      </w:r>
      <w:r>
        <w:rPr>
          <w:rFonts w:ascii="Times New Roman" w:hAnsi="Times New Roman" w:cs="Times New Roman"/>
          <w:i/>
          <w:iCs/>
        </w:rPr>
        <w:t xml:space="preserve">Classical </w:t>
      </w:r>
      <w:r w:rsidRPr="00BC4112">
        <w:rPr>
          <w:rFonts w:ascii="Times New Roman" w:hAnsi="Times New Roman" w:cs="Times New Roman"/>
          <w:i/>
          <w:iCs/>
        </w:rPr>
        <w:t xml:space="preserve">Conservatism </w:t>
      </w:r>
      <w:r>
        <w:rPr>
          <w:rFonts w:ascii="Times New Roman" w:hAnsi="Times New Roman" w:cs="Times New Roman"/>
        </w:rPr>
        <w:t xml:space="preserve">is a different ideological beast altogether, with very different, albeit honorable, traditions. The traditional, historical motive for conservatism is peace and stability, and the maintenance of societal order based on the wisdom of past experience. Traditional conservatism embraces the notion of </w:t>
      </w:r>
      <w:r>
        <w:rPr>
          <w:rFonts w:ascii="Times New Roman" w:hAnsi="Times New Roman" w:cs="Times New Roman"/>
          <w:i/>
          <w:iCs/>
        </w:rPr>
        <w:t>inequality</w:t>
      </w:r>
      <w:r>
        <w:rPr>
          <w:rFonts w:ascii="Times New Roman" w:hAnsi="Times New Roman" w:cs="Times New Roman"/>
        </w:rPr>
        <w:t xml:space="preserve">, the idea that all are not, in fact equal in the civil society. It derives from Plato; from the idea that a society is delineated into classes of men, and that the philosopher kings should govern </w:t>
      </w:r>
      <w:r>
        <w:rPr>
          <w:rFonts w:ascii="Times New Roman" w:hAnsi="Times New Roman" w:cs="Times New Roman"/>
        </w:rPr>
        <w:lastRenderedPageBreak/>
        <w:t xml:space="preserve">these disparate groups. Conservatism since the French Revolution often postulated the </w:t>
      </w:r>
      <w:r w:rsidRPr="00AA72BB">
        <w:rPr>
          <w:rFonts w:ascii="Times New Roman" w:hAnsi="Times New Roman" w:cs="Times New Roman"/>
          <w:i/>
          <w:iCs/>
        </w:rPr>
        <w:t>legal</w:t>
      </w:r>
      <w:r>
        <w:rPr>
          <w:rFonts w:ascii="Times New Roman" w:hAnsi="Times New Roman" w:cs="Times New Roman"/>
          <w:i/>
          <w:iCs/>
        </w:rPr>
        <w:t xml:space="preserve"> </w:t>
      </w:r>
      <w:r>
        <w:rPr>
          <w:rFonts w:ascii="Times New Roman" w:hAnsi="Times New Roman" w:cs="Times New Roman"/>
        </w:rPr>
        <w:t xml:space="preserve">equality of all men, while concurrently believing in a </w:t>
      </w:r>
      <w:r w:rsidRPr="00BC4112">
        <w:rPr>
          <w:rFonts w:ascii="Times New Roman" w:hAnsi="Times New Roman" w:cs="Times New Roman"/>
          <w:i/>
          <w:iCs/>
        </w:rPr>
        <w:t>hierarchy of talent</w:t>
      </w:r>
      <w:r>
        <w:rPr>
          <w:rFonts w:ascii="Times New Roman" w:hAnsi="Times New Roman" w:cs="Times New Roman"/>
        </w:rPr>
        <w:t xml:space="preserve">. </w:t>
      </w:r>
    </w:p>
    <w:p w14:paraId="6ED5B251" w14:textId="77777777" w:rsidR="00B10FA3" w:rsidRDefault="00B10FA3" w:rsidP="006E0A5D">
      <w:pPr>
        <w:spacing w:line="480" w:lineRule="auto"/>
        <w:ind w:left="284" w:right="284"/>
        <w:rPr>
          <w:rFonts w:ascii="Times New Roman" w:hAnsi="Times New Roman" w:cs="Times New Roman"/>
        </w:rPr>
      </w:pPr>
      <w:r>
        <w:rPr>
          <w:rFonts w:ascii="Times New Roman" w:hAnsi="Times New Roman" w:cs="Times New Roman"/>
          <w:i/>
          <w:iCs/>
        </w:rPr>
        <w:t xml:space="preserve">     </w:t>
      </w:r>
      <w:r w:rsidRPr="00AA72BB">
        <w:rPr>
          <w:rFonts w:ascii="Times New Roman" w:hAnsi="Times New Roman" w:cs="Times New Roman"/>
          <w:i/>
          <w:iCs/>
        </w:rPr>
        <w:t>Material</w:t>
      </w:r>
      <w:r>
        <w:rPr>
          <w:rFonts w:ascii="Times New Roman" w:hAnsi="Times New Roman" w:cs="Times New Roman"/>
        </w:rPr>
        <w:t xml:space="preserve"> gain, for traditional conservatives, is both crass and petty, as is manual labor. Qualities such as education, bearing, integrity, respect for history, humility, intelligence, restraint and virtue have traditionally held sway in conservative corners. One must remember, however, that theories of inequality, while out of vogue today, held sway in 18</w:t>
      </w:r>
      <w:r w:rsidRPr="00636403">
        <w:rPr>
          <w:rFonts w:ascii="Times New Roman" w:hAnsi="Times New Roman" w:cs="Times New Roman"/>
          <w:vertAlign w:val="superscript"/>
        </w:rPr>
        <w:t>th</w:t>
      </w:r>
      <w:r>
        <w:rPr>
          <w:rFonts w:ascii="Times New Roman" w:hAnsi="Times New Roman" w:cs="Times New Roman"/>
        </w:rPr>
        <w:t xml:space="preserve"> and 19</w:t>
      </w:r>
      <w:r w:rsidRPr="00636403">
        <w:rPr>
          <w:rFonts w:ascii="Times New Roman" w:hAnsi="Times New Roman" w:cs="Times New Roman"/>
          <w:vertAlign w:val="superscript"/>
        </w:rPr>
        <w:t>th</w:t>
      </w:r>
      <w:r>
        <w:rPr>
          <w:rFonts w:ascii="Times New Roman" w:hAnsi="Times New Roman" w:cs="Times New Roman"/>
        </w:rPr>
        <w:t xml:space="preserve"> century America, where a significant portion of the population remained enslaved, and while even free white men and women had significant restraints on their liberties. </w:t>
      </w:r>
    </w:p>
    <w:p w14:paraId="1726AF0F" w14:textId="77777777" w:rsidR="00B10FA3" w:rsidRDefault="00B10FA3" w:rsidP="006E0A5D">
      <w:pPr>
        <w:spacing w:line="480" w:lineRule="auto"/>
        <w:ind w:left="284" w:right="284"/>
        <w:rPr>
          <w:rFonts w:ascii="Times New Roman" w:hAnsi="Times New Roman" w:cs="Times New Roman"/>
        </w:rPr>
      </w:pPr>
      <w:r>
        <w:rPr>
          <w:rFonts w:ascii="Times New Roman" w:hAnsi="Times New Roman" w:cs="Times New Roman"/>
        </w:rPr>
        <w:t xml:space="preserve">     While one can certainly attribute racial and gender characteristics to classic conservative thinking, at base was the fear of the mob, of the unthinking man. Democracy and capitalism were the enemies; Edwin Lawrence Godkin and Henry Adams worried that the experiment in democratic government was a folly; that plutocracy and mob rule might be the only outcome. </w:t>
      </w:r>
    </w:p>
    <w:p w14:paraId="4216A000" w14:textId="77777777" w:rsidR="00B10FA3" w:rsidRDefault="00B10FA3" w:rsidP="006E0A5D">
      <w:pPr>
        <w:spacing w:line="480" w:lineRule="auto"/>
        <w:ind w:left="284" w:right="284"/>
        <w:rPr>
          <w:rFonts w:ascii="Times New Roman" w:hAnsi="Times New Roman" w:cs="Times New Roman"/>
        </w:rPr>
      </w:pPr>
      <w:r>
        <w:rPr>
          <w:rFonts w:ascii="Times New Roman" w:hAnsi="Times New Roman" w:cs="Times New Roman"/>
        </w:rPr>
        <w:t xml:space="preserve">     Alexander Hamilton, perhaps the earliest articulate advocate of conservatism in the US, argued that only a strong, central government could prevent disorder; he looked to the elites and the emerging new capitalist class as a means for combining the power of the political and economic forces into a centralized system, by maintaining a permanent debt – by design – as a means to tie the economic interests of the US to the political.</w:t>
      </w:r>
      <w:r>
        <w:rPr>
          <w:rStyle w:val="FootnoteReference"/>
          <w:rFonts w:ascii="Times New Roman" w:hAnsi="Times New Roman" w:cs="Times New Roman"/>
        </w:rPr>
        <w:footnoteReference w:id="23"/>
      </w:r>
    </w:p>
    <w:p w14:paraId="7904F9C3" w14:textId="77777777" w:rsidR="00B10FA3" w:rsidRDefault="00B10FA3" w:rsidP="006E0A5D">
      <w:pPr>
        <w:spacing w:line="480" w:lineRule="auto"/>
        <w:ind w:left="284" w:right="284"/>
        <w:rPr>
          <w:rFonts w:ascii="Times New Roman" w:hAnsi="Times New Roman" w:cs="Times New Roman"/>
        </w:rPr>
      </w:pPr>
      <w:r>
        <w:rPr>
          <w:rFonts w:ascii="Times New Roman" w:hAnsi="Times New Roman" w:cs="Times New Roman"/>
        </w:rPr>
        <w:t xml:space="preserve">      While individual freedom may have dominated liberal thinking in the 18</w:t>
      </w:r>
      <w:r w:rsidRPr="00C71DD3">
        <w:rPr>
          <w:rFonts w:ascii="Times New Roman" w:hAnsi="Times New Roman" w:cs="Times New Roman"/>
          <w:vertAlign w:val="superscript"/>
        </w:rPr>
        <w:t>th</w:t>
      </w:r>
      <w:r>
        <w:rPr>
          <w:rFonts w:ascii="Times New Roman" w:hAnsi="Times New Roman" w:cs="Times New Roman"/>
        </w:rPr>
        <w:t xml:space="preserve"> or 19</w:t>
      </w:r>
      <w:r w:rsidRPr="00C71DD3">
        <w:rPr>
          <w:rFonts w:ascii="Times New Roman" w:hAnsi="Times New Roman" w:cs="Times New Roman"/>
          <w:vertAlign w:val="superscript"/>
        </w:rPr>
        <w:t>th</w:t>
      </w:r>
      <w:r>
        <w:rPr>
          <w:rFonts w:ascii="Times New Roman" w:hAnsi="Times New Roman" w:cs="Times New Roman"/>
        </w:rPr>
        <w:t xml:space="preserve"> century, tribal security formed the basis of protection in the event of societal or political tumult. The more the tumult, the deeper the reliance on tradition, authority and extant </w:t>
      </w:r>
      <w:r>
        <w:rPr>
          <w:rFonts w:ascii="Times New Roman" w:hAnsi="Times New Roman" w:cs="Times New Roman"/>
        </w:rPr>
        <w:lastRenderedPageBreak/>
        <w:t xml:space="preserve">power. Eric Fromm described it well in his 1941 work </w:t>
      </w:r>
      <w:r>
        <w:rPr>
          <w:rFonts w:ascii="Times New Roman" w:hAnsi="Times New Roman" w:cs="Times New Roman"/>
          <w:i/>
          <w:iCs/>
        </w:rPr>
        <w:t>Escape from Freedom</w:t>
      </w:r>
      <w:r>
        <w:rPr>
          <w:rFonts w:ascii="Times New Roman" w:hAnsi="Times New Roman" w:cs="Times New Roman"/>
        </w:rPr>
        <w:t>, in which he argues that the level of insecurity experienced by the free individual corresponds directly to the potential for that threatened individual to support an</w:t>
      </w:r>
      <w:r w:rsidRPr="00AA72BB">
        <w:rPr>
          <w:rFonts w:ascii="Times New Roman" w:hAnsi="Times New Roman" w:cs="Times New Roman"/>
          <w:i/>
          <w:iCs/>
        </w:rPr>
        <w:t xml:space="preserve"> external</w:t>
      </w:r>
      <w:r>
        <w:rPr>
          <w:rFonts w:ascii="Times New Roman" w:hAnsi="Times New Roman" w:cs="Times New Roman"/>
        </w:rPr>
        <w:t xml:space="preserve"> source of authority – a kind of bastardized surrogate of individualism – a father figure. Conformity is a form of “escape from freedom” into the confines of authoritarian ease.</w:t>
      </w:r>
      <w:r>
        <w:rPr>
          <w:rStyle w:val="FootnoteReference"/>
          <w:rFonts w:ascii="Times New Roman" w:hAnsi="Times New Roman" w:cs="Times New Roman"/>
        </w:rPr>
        <w:footnoteReference w:id="24"/>
      </w:r>
    </w:p>
    <w:p w14:paraId="4EEE9EE8" w14:textId="77777777" w:rsidR="00B10FA3" w:rsidRDefault="00B10FA3" w:rsidP="008F2297">
      <w:pPr>
        <w:spacing w:line="480" w:lineRule="auto"/>
        <w:ind w:left="284" w:right="284"/>
        <w:rPr>
          <w:rFonts w:ascii="Times New Roman" w:hAnsi="Times New Roman" w:cs="Times New Roman"/>
        </w:rPr>
      </w:pPr>
      <w:r>
        <w:rPr>
          <w:rFonts w:ascii="Times New Roman" w:hAnsi="Times New Roman" w:cs="Times New Roman"/>
        </w:rPr>
        <w:t xml:space="preserve">     Peter Viereck echoed the concerns and contradictions of American conservative ideology into the 1950s. As liberalism was innovative, conservatism appeared reluctant and stilted. Conservatives of the 1950s seemed to cater to elite privilege, which was hardly a coalition building strategy. So, Viereck tried to find a middle ground – at least intellectually; thereby, he endorsed reform, balance, respect for the past, and a hope for seamless continuity.</w:t>
      </w:r>
      <w:r>
        <w:rPr>
          <w:rStyle w:val="FootnoteReference"/>
          <w:rFonts w:ascii="Times New Roman" w:hAnsi="Times New Roman" w:cs="Times New Roman"/>
        </w:rPr>
        <w:footnoteReference w:id="25"/>
      </w:r>
    </w:p>
    <w:p w14:paraId="335307DE" w14:textId="77777777" w:rsidR="00B10FA3" w:rsidRDefault="00B10FA3" w:rsidP="006E0A5D">
      <w:pPr>
        <w:spacing w:line="480" w:lineRule="auto"/>
        <w:ind w:left="284" w:right="284"/>
        <w:rPr>
          <w:rFonts w:ascii="Times New Roman" w:hAnsi="Times New Roman" w:cs="Times New Roman"/>
        </w:rPr>
      </w:pPr>
      <w:r>
        <w:rPr>
          <w:rFonts w:ascii="Times New Roman" w:hAnsi="Times New Roman" w:cs="Times New Roman"/>
        </w:rPr>
        <w:t xml:space="preserve">     In the post WWII period, Russell Kirk too laid down a set of norms that he felt embodied American conservatism at its core; they included a hint that divine influence affects society in profound ways, that individual life experience trumps the normalizing and modernizing uniformity of the modern world, that property was a key to freedom, a distrust of reason when confronted with passion, and, finally, a belief in the</w:t>
      </w:r>
      <w:r w:rsidRPr="0093242D">
        <w:rPr>
          <w:rFonts w:ascii="Times New Roman" w:hAnsi="Times New Roman" w:cs="Times New Roman"/>
          <w:i/>
          <w:iCs/>
        </w:rPr>
        <w:t xml:space="preserve"> moral</w:t>
      </w:r>
      <w:r>
        <w:rPr>
          <w:rFonts w:ascii="Times New Roman" w:hAnsi="Times New Roman" w:cs="Times New Roman"/>
        </w:rPr>
        <w:t xml:space="preserve"> equality of individuals, assuming that social and economic classes and other forms of distinction are both inevitable and necessary.</w:t>
      </w:r>
      <w:r>
        <w:rPr>
          <w:rStyle w:val="FootnoteReference"/>
          <w:rFonts w:ascii="Times New Roman" w:hAnsi="Times New Roman" w:cs="Times New Roman"/>
        </w:rPr>
        <w:footnoteReference w:id="26"/>
      </w:r>
      <w:r>
        <w:rPr>
          <w:rFonts w:ascii="Times New Roman" w:hAnsi="Times New Roman" w:cs="Times New Roman"/>
        </w:rPr>
        <w:t xml:space="preserve"> </w:t>
      </w:r>
    </w:p>
    <w:p w14:paraId="1361A478" w14:textId="77777777" w:rsidR="00B10FA3" w:rsidRDefault="00B10FA3" w:rsidP="009D19EF">
      <w:pPr>
        <w:spacing w:line="480" w:lineRule="auto"/>
        <w:ind w:left="284" w:right="284"/>
        <w:rPr>
          <w:rFonts w:ascii="Times New Roman" w:hAnsi="Times New Roman" w:cs="Times New Roman"/>
        </w:rPr>
      </w:pPr>
      <w:r>
        <w:rPr>
          <w:rFonts w:ascii="Times New Roman" w:hAnsi="Times New Roman" w:cs="Times New Roman"/>
        </w:rPr>
        <w:t xml:space="preserve">     Kirk expressed several specific ideological proclivities that seemed to describe the conservative style: first, the belief in a supreme power linking the past and present. A force of moral continuity. Second, it represented a respect for the traditional, in life, values and honor. A belief in styles of living that predated concern for democracy, </w:t>
      </w:r>
      <w:r>
        <w:rPr>
          <w:rFonts w:ascii="Times New Roman" w:hAnsi="Times New Roman" w:cs="Times New Roman"/>
        </w:rPr>
        <w:lastRenderedPageBreak/>
        <w:t xml:space="preserve">equality or state sponsored social uplift. Third, a belief that all societies are necessarily divided by wealth, class and talent, and that equality, if it exists at all, inhabits </w:t>
      </w:r>
      <w:r w:rsidRPr="00014A3F">
        <w:rPr>
          <w:rFonts w:ascii="Times New Roman" w:hAnsi="Times New Roman" w:cs="Times New Roman"/>
          <w:i/>
          <w:iCs/>
        </w:rPr>
        <w:t>only the moral realm</w:t>
      </w:r>
      <w:r>
        <w:rPr>
          <w:rFonts w:ascii="Times New Roman" w:hAnsi="Times New Roman" w:cs="Times New Roman"/>
        </w:rPr>
        <w:t xml:space="preserve">. Fourth, that property and freedom are inextricably bonded. Fifth, that man is ruled by passions, not reason, and that his baser instincts must be restricted and sublimated for the sake of the body politic. Sixth, and perhaps most importantly – that </w:t>
      </w:r>
      <w:r w:rsidRPr="00E2092B">
        <w:rPr>
          <w:rFonts w:ascii="Times New Roman" w:hAnsi="Times New Roman" w:cs="Times New Roman"/>
          <w:i/>
          <w:iCs/>
        </w:rPr>
        <w:t xml:space="preserve">change and progress </w:t>
      </w:r>
      <w:r>
        <w:rPr>
          <w:rFonts w:ascii="Times New Roman" w:hAnsi="Times New Roman" w:cs="Times New Roman"/>
        </w:rPr>
        <w:t>are different animals, and that the preferable form of change, if any, is through evolutionary, gradualism, relying on the wisdom of time and experience, rather than utopian or revolutionary naiveite.</w:t>
      </w:r>
      <w:r>
        <w:rPr>
          <w:rStyle w:val="FootnoteReference"/>
          <w:rFonts w:ascii="Times New Roman" w:hAnsi="Times New Roman" w:cs="Times New Roman"/>
        </w:rPr>
        <w:footnoteReference w:id="27"/>
      </w:r>
    </w:p>
    <w:p w14:paraId="23EF5AC0" w14:textId="77777777" w:rsidR="00B10FA3" w:rsidRDefault="00B10FA3" w:rsidP="006E0A5D">
      <w:pPr>
        <w:spacing w:line="480" w:lineRule="auto"/>
        <w:ind w:left="284" w:right="284"/>
        <w:rPr>
          <w:rFonts w:ascii="Times New Roman" w:hAnsi="Times New Roman" w:cs="Times New Roman"/>
        </w:rPr>
      </w:pPr>
      <w:r>
        <w:rPr>
          <w:rFonts w:ascii="Times New Roman" w:hAnsi="Times New Roman" w:cs="Times New Roman"/>
        </w:rPr>
        <w:t xml:space="preserve">     It is true that a genuine conservatism existed in America in the 19</w:t>
      </w:r>
      <w:r w:rsidRPr="00026D03">
        <w:rPr>
          <w:rFonts w:ascii="Times New Roman" w:hAnsi="Times New Roman" w:cs="Times New Roman"/>
          <w:vertAlign w:val="superscript"/>
        </w:rPr>
        <w:t>th</w:t>
      </w:r>
      <w:r>
        <w:rPr>
          <w:rFonts w:ascii="Times New Roman" w:hAnsi="Times New Roman" w:cs="Times New Roman"/>
        </w:rPr>
        <w:t xml:space="preserve"> century. Brooks and Henry Adams espoused an elitism more in line with Platonic virtue than with gritty industrialism. They drew from a tradition much older than that of liberalism; a time when elites ruled and substantive equality was a radical notion, rather than something to aspire to. Their forebears, in the US were Alexander Hamilton, John Adams, and, in a differing sense, John Calhoun. </w:t>
      </w:r>
    </w:p>
    <w:p w14:paraId="30793258" w14:textId="77777777" w:rsidR="00B10FA3" w:rsidRDefault="00B10FA3" w:rsidP="006E0A5D">
      <w:pPr>
        <w:spacing w:line="480" w:lineRule="auto"/>
        <w:ind w:left="284" w:right="284"/>
        <w:rPr>
          <w:rFonts w:ascii="Times New Roman" w:hAnsi="Times New Roman" w:cs="Times New Roman"/>
        </w:rPr>
      </w:pPr>
      <w:r>
        <w:rPr>
          <w:rFonts w:ascii="Times New Roman" w:hAnsi="Times New Roman" w:cs="Times New Roman"/>
        </w:rPr>
        <w:t xml:space="preserve">      But an 18</w:t>
      </w:r>
      <w:r w:rsidRPr="00DB3491">
        <w:rPr>
          <w:rFonts w:ascii="Times New Roman" w:hAnsi="Times New Roman" w:cs="Times New Roman"/>
          <w:vertAlign w:val="superscript"/>
        </w:rPr>
        <w:t>th</w:t>
      </w:r>
      <w:r>
        <w:rPr>
          <w:rFonts w:ascii="Times New Roman" w:hAnsi="Times New Roman" w:cs="Times New Roman"/>
        </w:rPr>
        <w:t xml:space="preserve"> century conservative such as Alexander Hamilton would not recognize conservative ideology today. In the first place, Hamilton argued for </w:t>
      </w:r>
      <w:r w:rsidRPr="00ED0E2F">
        <w:rPr>
          <w:rFonts w:ascii="Times New Roman" w:hAnsi="Times New Roman" w:cs="Times New Roman"/>
          <w:i/>
          <w:iCs/>
        </w:rPr>
        <w:t xml:space="preserve">vigorous government </w:t>
      </w:r>
      <w:r>
        <w:rPr>
          <w:rFonts w:ascii="Times New Roman" w:hAnsi="Times New Roman" w:cs="Times New Roman"/>
        </w:rPr>
        <w:t xml:space="preserve">involvement in the economy. In fact, he wished to tie the financial class to the government, and to encourage a permanent debt on the part of the federal government. </w:t>
      </w:r>
    </w:p>
    <w:p w14:paraId="348D3575" w14:textId="77777777" w:rsidR="00B10FA3" w:rsidRDefault="00B10FA3" w:rsidP="006E0A5D">
      <w:pPr>
        <w:spacing w:line="480" w:lineRule="auto"/>
        <w:ind w:left="284" w:right="284"/>
        <w:rPr>
          <w:rFonts w:ascii="Times New Roman" w:hAnsi="Times New Roman" w:cs="Times New Roman"/>
        </w:rPr>
      </w:pPr>
      <w:r>
        <w:rPr>
          <w:rFonts w:ascii="Times New Roman" w:hAnsi="Times New Roman" w:cs="Times New Roman"/>
        </w:rPr>
        <w:t xml:space="preserve">     Small government had been tried and had failed, under the Articles of Confederation. To be sure, the economy was designed to prioritize and protect the interests of the monied and propertied class, but assisted by the stability of the resources and power of the newly established federal government. </w:t>
      </w:r>
    </w:p>
    <w:p w14:paraId="28489B07" w14:textId="77777777" w:rsidR="00B10FA3" w:rsidRDefault="00B10FA3" w:rsidP="00F46E28">
      <w:pPr>
        <w:spacing w:line="480" w:lineRule="auto"/>
        <w:ind w:left="284" w:right="284"/>
        <w:rPr>
          <w:rFonts w:ascii="Times New Roman" w:hAnsi="Times New Roman" w:cs="Times New Roman"/>
        </w:rPr>
      </w:pPr>
      <w:r>
        <w:rPr>
          <w:rFonts w:ascii="Times New Roman" w:hAnsi="Times New Roman" w:cs="Times New Roman"/>
        </w:rPr>
        <w:lastRenderedPageBreak/>
        <w:t xml:space="preserve">     The idea of “limited government” has been a mantra of American conservatism for decades, but, if looked at closely, doesn’t really hold water. From R. Reagan to D. Trump, conservatives have expressed small government rhetoric. The problem is that </w:t>
      </w:r>
      <w:r w:rsidRPr="00990133">
        <w:rPr>
          <w:rFonts w:ascii="Times New Roman" w:hAnsi="Times New Roman" w:cs="Times New Roman"/>
          <w:i/>
          <w:iCs/>
        </w:rPr>
        <w:t>they don’t really practice it</w:t>
      </w:r>
      <w:r>
        <w:rPr>
          <w:rFonts w:ascii="Times New Roman" w:hAnsi="Times New Roman" w:cs="Times New Roman"/>
        </w:rPr>
        <w:t>. Government debt soared under Reagan, as he tried to enhance military spending, while cutting taxes. The administration of G.W. Bush also saw massive additions to the national debt – as well as an expansion of the federal government apparatus, in the establishment of the massive Department of Homeland Security. The Trump years saw  more of the same – massive debt, the largest in history, in fact.  Democrat Bill Clinton was alone in arresting government spending over the past four decades – but even he, as a Democrat, did so at the expense of traditional constituencies.</w:t>
      </w:r>
    </w:p>
    <w:p w14:paraId="04702700" w14:textId="77777777" w:rsidR="00B10FA3" w:rsidRDefault="00B10FA3" w:rsidP="006E0A5D">
      <w:pPr>
        <w:spacing w:line="480" w:lineRule="auto"/>
        <w:ind w:left="284" w:right="284"/>
        <w:rPr>
          <w:rFonts w:ascii="Times New Roman" w:hAnsi="Times New Roman" w:cs="Times New Roman"/>
        </w:rPr>
      </w:pPr>
      <w:r>
        <w:rPr>
          <w:rFonts w:ascii="Times New Roman" w:hAnsi="Times New Roman" w:cs="Times New Roman"/>
        </w:rPr>
        <w:t xml:space="preserve">     The better way to understand the rhetoric of contemporary conservatism is to acknowledge that limited government is, in fact, desired – but </w:t>
      </w:r>
      <w:r w:rsidRPr="001370D5">
        <w:rPr>
          <w:rFonts w:ascii="Times New Roman" w:hAnsi="Times New Roman" w:cs="Times New Roman"/>
          <w:i/>
          <w:iCs/>
        </w:rPr>
        <w:t>only for limited interests</w:t>
      </w:r>
      <w:r>
        <w:rPr>
          <w:rFonts w:ascii="Times New Roman" w:hAnsi="Times New Roman" w:cs="Times New Roman"/>
        </w:rPr>
        <w:t xml:space="preserve">, which are </w:t>
      </w:r>
      <w:r w:rsidRPr="00990133">
        <w:rPr>
          <w:rFonts w:ascii="Times New Roman" w:hAnsi="Times New Roman" w:cs="Times New Roman"/>
          <w:i/>
          <w:iCs/>
        </w:rPr>
        <w:t>class based</w:t>
      </w:r>
      <w:r>
        <w:rPr>
          <w:rFonts w:ascii="Times New Roman" w:hAnsi="Times New Roman" w:cs="Times New Roman"/>
        </w:rPr>
        <w:t xml:space="preserve">. Health care is considered big government, as is welfare or public education. But military expenditures, subsidies for corporations, tax benefits for the wealthy, foreign interventions, policing, jails, banning abortion, the death penalty, homeland security – these somehow evade the ‘small government’ ideological filters of modern conservatism. Shame on Democrats who have allowed this fiction to persist for decades. </w:t>
      </w:r>
    </w:p>
    <w:p w14:paraId="7A08CADB" w14:textId="77777777" w:rsidR="00B10FA3" w:rsidRPr="003E1DEB" w:rsidRDefault="00B10FA3" w:rsidP="006E0A5D">
      <w:pPr>
        <w:spacing w:line="480" w:lineRule="auto"/>
        <w:ind w:left="284" w:right="284"/>
        <w:rPr>
          <w:rFonts w:ascii="Times New Roman" w:hAnsi="Times New Roman" w:cs="Times New Roman"/>
        </w:rPr>
      </w:pPr>
      <w:r>
        <w:rPr>
          <w:rFonts w:ascii="Times New Roman" w:hAnsi="Times New Roman" w:cs="Times New Roman"/>
          <w:b/>
          <w:bCs/>
          <w:i/>
          <w:iCs/>
          <w:sz w:val="28"/>
          <w:szCs w:val="28"/>
        </w:rPr>
        <w:t>The Power Game</w:t>
      </w:r>
    </w:p>
    <w:p w14:paraId="3E5B2AB2" w14:textId="79F4E8C2" w:rsidR="00B10FA3" w:rsidRDefault="00B10FA3" w:rsidP="006E0A5D">
      <w:pPr>
        <w:spacing w:line="480" w:lineRule="auto"/>
        <w:ind w:left="284" w:right="284"/>
        <w:rPr>
          <w:rFonts w:ascii="Times New Roman" w:hAnsi="Times New Roman" w:cs="Times New Roman"/>
        </w:rPr>
      </w:pPr>
      <w:r>
        <w:rPr>
          <w:rFonts w:ascii="Times New Roman" w:hAnsi="Times New Roman" w:cs="Times New Roman"/>
        </w:rPr>
        <w:t xml:space="preserve">     Typically, the Democratic Party is a traditionally lousy salesman. They also seem not to understand the basics of power very well. Not to generalize, but the liberal wing of the Democratic party seems particularly unable to recognize the need to show up to a knife fight with something other than toilet scrubber. Former Congressional Research </w:t>
      </w:r>
      <w:r>
        <w:rPr>
          <w:rFonts w:ascii="Times New Roman" w:hAnsi="Times New Roman" w:cs="Times New Roman"/>
        </w:rPr>
        <w:lastRenderedPageBreak/>
        <w:t xml:space="preserve">Service scholar Walter Kravitz (with whom I studied) was an expert in parliamentary procedure, and advisor to the House and Senate parliamentarians. Kravitz, who was highly non-partisan, in the tradition of CRS and the Library of Congress, used to say that “liberals believe that they possess the moral high ground, and need not provide additional effort in legislating their ideas. They believe that their position is </w:t>
      </w:r>
      <w:r w:rsidRPr="00A94ED6">
        <w:rPr>
          <w:rFonts w:ascii="Times New Roman" w:hAnsi="Times New Roman" w:cs="Times New Roman"/>
          <w:i/>
          <w:iCs/>
        </w:rPr>
        <w:t>self</w:t>
      </w:r>
      <w:r w:rsidR="00990133">
        <w:rPr>
          <w:rFonts w:ascii="Times New Roman" w:hAnsi="Times New Roman" w:cs="Times New Roman"/>
          <w:i/>
          <w:iCs/>
        </w:rPr>
        <w:t>-</w:t>
      </w:r>
      <w:r w:rsidRPr="00A94ED6">
        <w:rPr>
          <w:rFonts w:ascii="Times New Roman" w:hAnsi="Times New Roman" w:cs="Times New Roman"/>
          <w:i/>
          <w:iCs/>
        </w:rPr>
        <w:t>evident</w:t>
      </w:r>
      <w:r>
        <w:rPr>
          <w:rFonts w:ascii="Times New Roman" w:hAnsi="Times New Roman" w:cs="Times New Roman"/>
        </w:rPr>
        <w:t>. As a result, they don’t learn parliamentary procedure (he notes that Democratic Speaker Thomas ‘Tip’ O’Neill was a substandard parliamentarian), and often lose to conservatives who have done their homework.”</w:t>
      </w:r>
      <w:r w:rsidR="00766826">
        <w:rPr>
          <w:rStyle w:val="EndnoteReference"/>
          <w:rFonts w:ascii="Times New Roman" w:hAnsi="Times New Roman" w:cs="Times New Roman"/>
        </w:rPr>
        <w:endnoteReference w:id="1"/>
      </w:r>
      <w:r>
        <w:rPr>
          <w:rFonts w:ascii="Times New Roman" w:hAnsi="Times New Roman" w:cs="Times New Roman"/>
        </w:rPr>
        <w:t>The legislative successes of right-wing Senator Jesse Helms and opportunist hayseed Republican Newt Gingrich leading to the capture of the House in 1994 seems to bear this out.</w:t>
      </w:r>
    </w:p>
    <w:p w14:paraId="4A81C14F" w14:textId="77777777" w:rsidR="00B10FA3" w:rsidRDefault="00B10FA3" w:rsidP="006E0A5D">
      <w:pPr>
        <w:spacing w:line="480" w:lineRule="auto"/>
        <w:ind w:left="284" w:right="284"/>
        <w:rPr>
          <w:rFonts w:ascii="Times New Roman" w:hAnsi="Times New Roman" w:cs="Times New Roman"/>
        </w:rPr>
      </w:pPr>
      <w:r>
        <w:rPr>
          <w:rFonts w:ascii="Times New Roman" w:hAnsi="Times New Roman" w:cs="Times New Roman"/>
        </w:rPr>
        <w:t xml:space="preserve">     Speaker O’Neill used to say that the collapse of political decorum in the United States could be traced directly to Newt Gingrich, and his tactics of the 1970s and 1980s, before his accession to the Speakership. Prior to that time, most members of Congress adhered to the sage words of legendary Speaker Sam Rayburn, who counselled that “the best way to get along is to go along.” Gingrich was a firebrand, preferring to discredit his opposition, and to resist any attempts to compromise or reach common ground on legislation. The decay of governmental decorum – the unspoken rules, behaviors and norms that form the nuanced backbone of our government – originates from this period.</w:t>
      </w:r>
    </w:p>
    <w:p w14:paraId="6EE1DAF3" w14:textId="77777777" w:rsidR="00B10FA3" w:rsidRDefault="00B10FA3" w:rsidP="006E0A5D">
      <w:pPr>
        <w:spacing w:line="480" w:lineRule="auto"/>
        <w:ind w:left="284" w:right="284"/>
        <w:rPr>
          <w:rFonts w:ascii="Times New Roman" w:hAnsi="Times New Roman" w:cs="Times New Roman"/>
        </w:rPr>
      </w:pPr>
      <w:r>
        <w:rPr>
          <w:rFonts w:ascii="Times New Roman" w:hAnsi="Times New Roman" w:cs="Times New Roman"/>
        </w:rPr>
        <w:t xml:space="preserve"> </w:t>
      </w:r>
    </w:p>
    <w:p w14:paraId="699981A7" w14:textId="77777777" w:rsidR="00B10FA3" w:rsidRDefault="00B10FA3" w:rsidP="006E0A5D">
      <w:pPr>
        <w:spacing w:line="480" w:lineRule="auto"/>
        <w:ind w:left="284" w:right="284"/>
        <w:rPr>
          <w:rFonts w:ascii="Times New Roman" w:hAnsi="Times New Roman" w:cs="Times New Roman"/>
        </w:rPr>
      </w:pPr>
      <w:r>
        <w:rPr>
          <w:rFonts w:ascii="Times New Roman" w:hAnsi="Times New Roman" w:cs="Times New Roman"/>
          <w:b/>
          <w:bCs/>
          <w:i/>
          <w:iCs/>
          <w:sz w:val="28"/>
          <w:szCs w:val="28"/>
        </w:rPr>
        <w:t>The Courts</w:t>
      </w:r>
      <w:r>
        <w:rPr>
          <w:rFonts w:ascii="Times New Roman" w:hAnsi="Times New Roman" w:cs="Times New Roman"/>
        </w:rPr>
        <w:t xml:space="preserve">     </w:t>
      </w:r>
    </w:p>
    <w:p w14:paraId="410FDABB" w14:textId="77777777" w:rsidR="00B10FA3" w:rsidRDefault="00B10FA3" w:rsidP="006E0A5D">
      <w:pPr>
        <w:spacing w:line="480" w:lineRule="auto"/>
        <w:ind w:left="284" w:right="284"/>
        <w:rPr>
          <w:rFonts w:ascii="Times New Roman" w:hAnsi="Times New Roman" w:cs="Times New Roman"/>
        </w:rPr>
      </w:pPr>
      <w:r>
        <w:rPr>
          <w:rFonts w:ascii="Times New Roman" w:hAnsi="Times New Roman" w:cs="Times New Roman"/>
        </w:rPr>
        <w:t xml:space="preserve">         Within the American political lexicon, there are special terms that are applied to the courts. While liberal, centrist and conservative are often applied to the substance of cases at hand, the terms </w:t>
      </w:r>
      <w:r>
        <w:rPr>
          <w:rFonts w:ascii="Times New Roman" w:hAnsi="Times New Roman" w:cs="Times New Roman"/>
          <w:i/>
          <w:iCs/>
        </w:rPr>
        <w:t>judicial restraint</w:t>
      </w:r>
      <w:r>
        <w:rPr>
          <w:rFonts w:ascii="Times New Roman" w:hAnsi="Times New Roman" w:cs="Times New Roman"/>
        </w:rPr>
        <w:t xml:space="preserve"> and </w:t>
      </w:r>
      <w:r>
        <w:rPr>
          <w:rFonts w:ascii="Times New Roman" w:hAnsi="Times New Roman" w:cs="Times New Roman"/>
          <w:i/>
          <w:iCs/>
        </w:rPr>
        <w:t>judicial activism</w:t>
      </w:r>
      <w:r>
        <w:rPr>
          <w:rFonts w:ascii="Times New Roman" w:hAnsi="Times New Roman" w:cs="Times New Roman"/>
        </w:rPr>
        <w:t xml:space="preserve"> are often employed to describe the means by which courts examine the constitution before reaching a verdict. </w:t>
      </w:r>
      <w:r>
        <w:rPr>
          <w:rFonts w:ascii="Times New Roman" w:hAnsi="Times New Roman" w:cs="Times New Roman"/>
        </w:rPr>
        <w:lastRenderedPageBreak/>
        <w:t>The restraint doctrine derives from Thomas Jefferson, and the notion that an imperious court creates a societal oligarchy, and a danger to the Republic:</w:t>
      </w:r>
    </w:p>
    <w:p w14:paraId="18470377" w14:textId="77777777" w:rsidR="00B10FA3" w:rsidRDefault="00B10FA3" w:rsidP="00CD22D6">
      <w:pPr>
        <w:spacing w:line="240" w:lineRule="auto"/>
        <w:ind w:left="284" w:right="284"/>
        <w:rPr>
          <w:rFonts w:ascii="Times New Roman" w:hAnsi="Times New Roman" w:cs="Times New Roman"/>
          <w:i/>
          <w:iCs/>
        </w:rPr>
      </w:pPr>
      <w:r>
        <w:rPr>
          <w:rFonts w:ascii="Times New Roman" w:hAnsi="Times New Roman" w:cs="Times New Roman"/>
        </w:rPr>
        <w:t xml:space="preserve"> </w:t>
      </w:r>
      <w:r w:rsidRPr="00CD22D6">
        <w:rPr>
          <w:rFonts w:ascii="Times New Roman" w:hAnsi="Times New Roman" w:cs="Times New Roman"/>
          <w:i/>
          <w:iCs/>
        </w:rPr>
        <w:t>The</w:t>
      </w:r>
      <w:r>
        <w:rPr>
          <w:rFonts w:ascii="Times New Roman" w:hAnsi="Times New Roman" w:cs="Times New Roman"/>
        </w:rPr>
        <w:t xml:space="preserve"> f</w:t>
      </w:r>
      <w:r>
        <w:rPr>
          <w:rFonts w:ascii="Times New Roman" w:hAnsi="Times New Roman" w:cs="Times New Roman"/>
          <w:i/>
          <w:iCs/>
        </w:rPr>
        <w:t>allacy of the question is, in supposing that the judiciary adopts the acts of the legislature as its own; whereas, the enactment of a law and the interpretation of it are not concurrent acts, and, as the judiciary is not required to concur in the enactment, neither is it in the breach of the Constitution which may be the consequence of the enactment</w:t>
      </w:r>
      <w:r>
        <w:rPr>
          <w:rStyle w:val="FootnoteReference"/>
          <w:rFonts w:ascii="Times New Roman" w:hAnsi="Times New Roman" w:cs="Times New Roman"/>
          <w:i/>
          <w:iCs/>
        </w:rPr>
        <w:footnoteReference w:id="28"/>
      </w:r>
    </w:p>
    <w:p w14:paraId="775CA34D" w14:textId="77777777" w:rsidR="00B10FA3" w:rsidRDefault="00B10FA3" w:rsidP="006E0A5D">
      <w:pPr>
        <w:spacing w:line="480" w:lineRule="auto"/>
        <w:ind w:left="284" w:right="284"/>
        <w:rPr>
          <w:rFonts w:ascii="Times New Roman" w:hAnsi="Times New Roman" w:cs="Times New Roman"/>
        </w:rPr>
      </w:pPr>
    </w:p>
    <w:p w14:paraId="37F1AE38" w14:textId="77777777" w:rsidR="00B10FA3" w:rsidRDefault="00B10FA3" w:rsidP="006E0A5D">
      <w:pPr>
        <w:spacing w:line="480" w:lineRule="auto"/>
        <w:ind w:left="284" w:right="284"/>
        <w:rPr>
          <w:rFonts w:ascii="Times New Roman" w:hAnsi="Times New Roman" w:cs="Times New Roman"/>
        </w:rPr>
      </w:pPr>
      <w:r>
        <w:rPr>
          <w:rFonts w:ascii="Times New Roman" w:hAnsi="Times New Roman" w:cs="Times New Roman"/>
        </w:rPr>
        <w:t xml:space="preserve">   Proponents of </w:t>
      </w:r>
      <w:r w:rsidRPr="000534D4">
        <w:rPr>
          <w:rFonts w:ascii="Times New Roman" w:hAnsi="Times New Roman" w:cs="Times New Roman"/>
          <w:i/>
          <w:iCs/>
        </w:rPr>
        <w:t>judicial restraint</w:t>
      </w:r>
      <w:r>
        <w:rPr>
          <w:rFonts w:ascii="Times New Roman" w:hAnsi="Times New Roman" w:cs="Times New Roman"/>
        </w:rPr>
        <w:t xml:space="preserve"> argue that, while judicial review may be settled law, that the misapplication of such power might usurp the exercise of democratic norms, acting as ‘super legislatures,’ unaccountable to anyone.</w:t>
      </w:r>
      <w:r>
        <w:rPr>
          <w:rStyle w:val="FootnoteReference"/>
          <w:rFonts w:ascii="Times New Roman" w:hAnsi="Times New Roman" w:cs="Times New Roman"/>
        </w:rPr>
        <w:footnoteReference w:id="29"/>
      </w:r>
    </w:p>
    <w:p w14:paraId="4DB56DE3" w14:textId="77777777" w:rsidR="00B10FA3" w:rsidRPr="00FE24D7" w:rsidRDefault="00B10FA3" w:rsidP="006E0A5D">
      <w:pPr>
        <w:spacing w:line="480" w:lineRule="auto"/>
        <w:ind w:left="284" w:right="284"/>
        <w:rPr>
          <w:rFonts w:ascii="Times New Roman" w:hAnsi="Times New Roman" w:cs="Times New Roman"/>
        </w:rPr>
      </w:pPr>
      <w:r>
        <w:rPr>
          <w:rFonts w:ascii="Times New Roman" w:hAnsi="Times New Roman" w:cs="Times New Roman"/>
        </w:rPr>
        <w:t xml:space="preserve">     Judicial </w:t>
      </w:r>
      <w:r>
        <w:rPr>
          <w:rFonts w:ascii="Times New Roman" w:hAnsi="Times New Roman" w:cs="Times New Roman"/>
          <w:i/>
          <w:iCs/>
        </w:rPr>
        <w:t>activists</w:t>
      </w:r>
      <w:r>
        <w:rPr>
          <w:rFonts w:ascii="Times New Roman" w:hAnsi="Times New Roman" w:cs="Times New Roman"/>
        </w:rPr>
        <w:t xml:space="preserve">, on the other hand, would argue that the courts often have to deal with social and political problems that the prevailing institutions either ignore or </w:t>
      </w:r>
      <w:proofErr w:type="spellStart"/>
      <w:r>
        <w:rPr>
          <w:rFonts w:ascii="Times New Roman" w:hAnsi="Times New Roman" w:cs="Times New Roman"/>
        </w:rPr>
        <w:t>give</w:t>
      </w:r>
      <w:proofErr w:type="spellEnd"/>
      <w:r>
        <w:rPr>
          <w:rFonts w:ascii="Times New Roman" w:hAnsi="Times New Roman" w:cs="Times New Roman"/>
        </w:rPr>
        <w:t xml:space="preserve"> short shrift. Therefore, they argue, the courts must take responsibility for rectifying injustices that other institutions refuse to address. To activists, the process of judicial review gives voice to the oppressed, to the powerless. It is a counterweight to majority rule. Importantly, activism often requires the discovery of rights within the Constitution that may not be explicitly expressed. Activism is </w:t>
      </w:r>
      <w:r>
        <w:rPr>
          <w:rFonts w:ascii="Times New Roman" w:hAnsi="Times New Roman" w:cs="Times New Roman"/>
          <w:i/>
          <w:iCs/>
        </w:rPr>
        <w:t>interpretive</w:t>
      </w:r>
      <w:r>
        <w:rPr>
          <w:rFonts w:ascii="Times New Roman" w:hAnsi="Times New Roman" w:cs="Times New Roman"/>
        </w:rPr>
        <w:t>, in that it sees the US Constitution as a living, changing document.</w:t>
      </w:r>
      <w:r>
        <w:rPr>
          <w:rStyle w:val="FootnoteReference"/>
          <w:rFonts w:ascii="Times New Roman" w:hAnsi="Times New Roman" w:cs="Times New Roman"/>
        </w:rPr>
        <w:footnoteReference w:id="30"/>
      </w:r>
    </w:p>
    <w:p w14:paraId="44458B9C" w14:textId="77777777" w:rsidR="00B10FA3" w:rsidRDefault="00B10FA3" w:rsidP="006E0A5D">
      <w:pPr>
        <w:spacing w:line="480" w:lineRule="auto"/>
        <w:ind w:left="284" w:right="284"/>
        <w:rPr>
          <w:rFonts w:ascii="Times New Roman" w:hAnsi="Times New Roman" w:cs="Times New Roman"/>
        </w:rPr>
      </w:pPr>
      <w:r>
        <w:rPr>
          <w:rFonts w:ascii="Times New Roman" w:hAnsi="Times New Roman" w:cs="Times New Roman"/>
        </w:rPr>
        <w:t xml:space="preserve">      Contradiction continues in the ideology governing the judicial branch. While conservatives purport limited judicial power, in the interest in preserving “original intent” of the constitution, the past century shows a very different picture. Conservatives </w:t>
      </w:r>
      <w:r>
        <w:rPr>
          <w:rFonts w:ascii="Times New Roman" w:hAnsi="Times New Roman" w:cs="Times New Roman"/>
        </w:rPr>
        <w:lastRenderedPageBreak/>
        <w:t xml:space="preserve">support judicial restraint when it suits their interests, and equally endorse judicial activism when those interests change – ideology be damned. </w:t>
      </w:r>
    </w:p>
    <w:p w14:paraId="3B09B9F6" w14:textId="2663387A" w:rsidR="00B10FA3" w:rsidRPr="000534D4" w:rsidRDefault="00B10FA3" w:rsidP="000534D4">
      <w:pPr>
        <w:spacing w:line="480" w:lineRule="auto"/>
        <w:ind w:left="284" w:right="284"/>
        <w:rPr>
          <w:rFonts w:ascii="Times New Roman" w:hAnsi="Times New Roman" w:cs="Times New Roman"/>
        </w:rPr>
      </w:pPr>
      <w:r>
        <w:rPr>
          <w:rFonts w:ascii="Times New Roman" w:hAnsi="Times New Roman" w:cs="Times New Roman"/>
        </w:rPr>
        <w:t xml:space="preserve">     Consider, for example, the Florida Supreme Court’s decision in 2000, supporting the claims of Al Gore, only to be overturned by a conservative Supreme Court. Or the 2008 </w:t>
      </w:r>
      <w:r>
        <w:rPr>
          <w:rFonts w:ascii="Times New Roman" w:hAnsi="Times New Roman" w:cs="Times New Roman"/>
          <w:i/>
          <w:iCs/>
        </w:rPr>
        <w:t>Heller vs. District of Columbia</w:t>
      </w:r>
      <w:r>
        <w:rPr>
          <w:rFonts w:ascii="Times New Roman" w:hAnsi="Times New Roman" w:cs="Times New Roman"/>
        </w:rPr>
        <w:t xml:space="preserve"> decision, in which the court declared a private right to gun ownership. Or </w:t>
      </w:r>
      <w:r>
        <w:rPr>
          <w:rFonts w:ascii="Times New Roman" w:hAnsi="Times New Roman" w:cs="Times New Roman"/>
          <w:i/>
          <w:iCs/>
        </w:rPr>
        <w:t xml:space="preserve">Citizens </w:t>
      </w:r>
      <w:r w:rsidRPr="004C3A27">
        <w:rPr>
          <w:rFonts w:ascii="Times New Roman" w:hAnsi="Times New Roman" w:cs="Times New Roman"/>
          <w:i/>
          <w:iCs/>
        </w:rPr>
        <w:t>United</w:t>
      </w:r>
      <w:r>
        <w:rPr>
          <w:rFonts w:ascii="Times New Roman" w:hAnsi="Times New Roman" w:cs="Times New Roman"/>
          <w:i/>
          <w:iCs/>
        </w:rPr>
        <w:t xml:space="preserve">, </w:t>
      </w:r>
      <w:r>
        <w:rPr>
          <w:rFonts w:ascii="Times New Roman" w:hAnsi="Times New Roman" w:cs="Times New Roman"/>
        </w:rPr>
        <w:t xml:space="preserve">which radically reorganized campaign contributions in the favor of corporate America. </w:t>
      </w:r>
      <w:r w:rsidRPr="004C3A27">
        <w:rPr>
          <w:rFonts w:ascii="Times New Roman" w:hAnsi="Times New Roman" w:cs="Times New Roman"/>
        </w:rPr>
        <w:t>Or</w:t>
      </w:r>
      <w:r>
        <w:rPr>
          <w:rFonts w:ascii="Times New Roman" w:hAnsi="Times New Roman" w:cs="Times New Roman"/>
        </w:rPr>
        <w:t xml:space="preserve"> the recent </w:t>
      </w:r>
      <w:r>
        <w:rPr>
          <w:rFonts w:ascii="Times New Roman" w:hAnsi="Times New Roman" w:cs="Times New Roman"/>
          <w:i/>
          <w:iCs/>
        </w:rPr>
        <w:t xml:space="preserve">Dobbs vs. Jackson </w:t>
      </w:r>
      <w:r>
        <w:rPr>
          <w:rFonts w:ascii="Times New Roman" w:hAnsi="Times New Roman" w:cs="Times New Roman"/>
        </w:rPr>
        <w:t>decision, outlawing federal abortion rights. Or further</w:t>
      </w:r>
      <w:r w:rsidR="007C5729">
        <w:rPr>
          <w:rFonts w:ascii="Times New Roman" w:hAnsi="Times New Roman" w:cs="Times New Roman"/>
        </w:rPr>
        <w:t>:</w:t>
      </w:r>
      <w:r>
        <w:rPr>
          <w:rFonts w:ascii="Times New Roman" w:hAnsi="Times New Roman" w:cs="Times New Roman"/>
        </w:rPr>
        <w:t xml:space="preserve"> Donald Trump’s </w:t>
      </w:r>
      <w:r w:rsidR="00E461E4">
        <w:rPr>
          <w:rFonts w:ascii="Times New Roman" w:hAnsi="Times New Roman" w:cs="Times New Roman"/>
        </w:rPr>
        <w:t xml:space="preserve">2024 </w:t>
      </w:r>
      <w:r>
        <w:rPr>
          <w:rFonts w:ascii="Times New Roman" w:hAnsi="Times New Roman" w:cs="Times New Roman"/>
        </w:rPr>
        <w:t xml:space="preserve">case regarding presidential immunity, in which a conservative Supreme Court, by a 6-3 vote, overturned a brilliantly argued and unanimous DC Circuit Court decision, that threw out the idea of immunity. One can argue the merits of these decisions, but no reasonable person would argue consistency of view insofar as judicial tactics of “conservative restraint” are concerned. In fact, what we are witnessing is </w:t>
      </w:r>
      <w:r w:rsidRPr="006061A0">
        <w:rPr>
          <w:rFonts w:ascii="Times New Roman" w:hAnsi="Times New Roman" w:cs="Times New Roman"/>
          <w:i/>
          <w:iCs/>
        </w:rPr>
        <w:t>judicial activism, working towards conservative ends.</w:t>
      </w:r>
    </w:p>
    <w:p w14:paraId="7F2FE77B" w14:textId="77777777" w:rsidR="00B10FA3" w:rsidRDefault="00B10FA3" w:rsidP="006E0A5D">
      <w:pPr>
        <w:spacing w:line="480" w:lineRule="auto"/>
        <w:ind w:left="284" w:right="284"/>
        <w:rPr>
          <w:rFonts w:ascii="Times New Roman" w:hAnsi="Times New Roman" w:cs="Times New Roman"/>
        </w:rPr>
      </w:pPr>
      <w:r>
        <w:rPr>
          <w:rFonts w:ascii="Times New Roman" w:hAnsi="Times New Roman" w:cs="Times New Roman"/>
        </w:rPr>
        <w:t xml:space="preserve">     The use of the conservative rhetoric of ‘restraint’ against the reality of judicial activism has its antecedents: during the 1930s, the liberal administration of Franklin D. Roosevelt found itself at odds with a conservative Supreme Court, which was bent on invalidating much of the progressive legislation of the New Deal. Specifically, Justices Sutherland, Butler, Van Devanter, McReynolds – and, on occasion Roberts and Hughes, found disagreement with the administration’s positions on the regulation of the economy. Their conservative posture towards regulation led them to find, within the constitution, means to invalidate federal and state laws. Their ‘invention’ of </w:t>
      </w:r>
      <w:r>
        <w:rPr>
          <w:rFonts w:ascii="Times New Roman" w:hAnsi="Times New Roman" w:cs="Times New Roman"/>
        </w:rPr>
        <w:lastRenderedPageBreak/>
        <w:t>constitutional justifications for their ideological proclivities made them, in fact conservative judicial activists – a term normally reserved for liberals.</w:t>
      </w:r>
      <w:r>
        <w:rPr>
          <w:rStyle w:val="FootnoteReference"/>
          <w:rFonts w:ascii="Times New Roman" w:hAnsi="Times New Roman" w:cs="Times New Roman"/>
        </w:rPr>
        <w:footnoteReference w:id="31"/>
      </w:r>
      <w:r>
        <w:rPr>
          <w:rFonts w:ascii="Times New Roman" w:hAnsi="Times New Roman" w:cs="Times New Roman"/>
        </w:rPr>
        <w:t xml:space="preserve"> </w:t>
      </w:r>
    </w:p>
    <w:p w14:paraId="6BD06712" w14:textId="77777777" w:rsidR="00B10FA3" w:rsidRPr="0084797C" w:rsidRDefault="00B10FA3" w:rsidP="00D36817">
      <w:pPr>
        <w:spacing w:line="480" w:lineRule="auto"/>
        <w:ind w:left="284" w:right="284"/>
        <w:rPr>
          <w:rFonts w:ascii="Times New Roman" w:hAnsi="Times New Roman" w:cs="Times New Roman"/>
        </w:rPr>
      </w:pPr>
      <w:r>
        <w:rPr>
          <w:rFonts w:ascii="Times New Roman" w:hAnsi="Times New Roman" w:cs="Times New Roman"/>
        </w:rPr>
        <w:t xml:space="preserve">    Similarly, by the 1960s, a liberal Supreme Court had adopted a position of judicial activism to promote liberal policies in areas such as busing, civil rights, freedom of speech and segregation. They were willing to read into the Constitution rights that might not have been explicitly expressed, and they used the power of judicial review as a mechanism to promote such interpretations. What, to a traditional left winger - the to be sure, in left wing circles, this should not have been surprising, as feminism was the driving force at the in establishing new rights for women. The controversy about fetal viability ran counter to the narrative about women’s liberation, reproductive freedom and privacy, and was simply, ignored. But, like it or not, the Left was at cross purpose – like the slave owner who opposes slavery but needs the farm help.</w:t>
      </w:r>
    </w:p>
    <w:p w14:paraId="672C40B3" w14:textId="77777777" w:rsidR="00BB4438" w:rsidRDefault="00BB4438" w:rsidP="007607BC">
      <w:pPr>
        <w:spacing w:line="480" w:lineRule="auto"/>
        <w:ind w:left="284" w:right="284"/>
        <w:rPr>
          <w:rFonts w:ascii="Times New Roman" w:hAnsi="Times New Roman" w:cs="Times New Roman"/>
          <w:b/>
          <w:bCs/>
          <w:i/>
          <w:iCs/>
          <w:sz w:val="28"/>
          <w:szCs w:val="28"/>
        </w:rPr>
      </w:pPr>
    </w:p>
    <w:p w14:paraId="2451C27C" w14:textId="4BB12D86" w:rsidR="00B10FA3" w:rsidRDefault="00B10FA3" w:rsidP="007607BC">
      <w:pPr>
        <w:spacing w:line="480" w:lineRule="auto"/>
        <w:ind w:left="284" w:right="284"/>
        <w:rPr>
          <w:rFonts w:ascii="Times New Roman" w:hAnsi="Times New Roman" w:cs="Times New Roman"/>
          <w:sz w:val="28"/>
          <w:szCs w:val="28"/>
        </w:rPr>
      </w:pPr>
      <w:r>
        <w:rPr>
          <w:rFonts w:ascii="Times New Roman" w:hAnsi="Times New Roman" w:cs="Times New Roman"/>
          <w:b/>
          <w:bCs/>
          <w:i/>
          <w:iCs/>
          <w:sz w:val="28"/>
          <w:szCs w:val="28"/>
        </w:rPr>
        <w:t>The House</w:t>
      </w:r>
    </w:p>
    <w:p w14:paraId="6F9ED10E" w14:textId="77777777" w:rsidR="00B10FA3" w:rsidRDefault="00B10FA3" w:rsidP="007607BC">
      <w:pPr>
        <w:spacing w:line="480" w:lineRule="auto"/>
        <w:ind w:left="284" w:right="284"/>
        <w:rPr>
          <w:rFonts w:ascii="Times New Roman" w:hAnsi="Times New Roman" w:cs="Times New Roman"/>
        </w:rPr>
      </w:pPr>
      <w:r>
        <w:rPr>
          <w:rFonts w:ascii="Times New Roman" w:hAnsi="Times New Roman" w:cs="Times New Roman"/>
        </w:rPr>
        <w:t xml:space="preserve">    The House of Representatives is, for all intents and purposes, the Peoples house. If the Senate is a country club, the House is the factory floor. The institutional advantage given to the minority in the Senate is all but non-existent in the House. Members of the House of Representatives have few of the advantages of their Senate counterparts; they must run for election every </w:t>
      </w:r>
      <w:r>
        <w:rPr>
          <w:rFonts w:ascii="Times New Roman" w:hAnsi="Times New Roman" w:cs="Times New Roman"/>
          <w:i/>
          <w:iCs/>
        </w:rPr>
        <w:t>two</w:t>
      </w:r>
      <w:r>
        <w:rPr>
          <w:rFonts w:ascii="Times New Roman" w:hAnsi="Times New Roman" w:cs="Times New Roman"/>
        </w:rPr>
        <w:t xml:space="preserve"> years, rather than the six-year cycle that senators enjoy. As a result, they are always running for office - from the day they are re-elected until their next campaign. </w:t>
      </w:r>
    </w:p>
    <w:p w14:paraId="3AC70743" w14:textId="77777777" w:rsidR="00B10FA3" w:rsidRDefault="00B10FA3" w:rsidP="00D36817">
      <w:pPr>
        <w:spacing w:line="480" w:lineRule="auto"/>
        <w:ind w:left="284" w:right="284"/>
        <w:rPr>
          <w:rFonts w:ascii="Times New Roman" w:hAnsi="Times New Roman" w:cs="Times New Roman"/>
        </w:rPr>
      </w:pPr>
      <w:r>
        <w:rPr>
          <w:rFonts w:ascii="Times New Roman" w:hAnsi="Times New Roman" w:cs="Times New Roman"/>
        </w:rPr>
        <w:lastRenderedPageBreak/>
        <w:t xml:space="preserve">      House members’ salaries are significantly lower than their Senate counterparts. They must share power with 434 other members, as opposed to the 99 other members a senator must work with. House members envy the Senate, and often use their positions as stepping stones to Senate campaigns. Senators don’t run for the House. Nor do ex-presidents (with the exception of John Quincy Adams, nearly two centuries ago). Members of the House have no power over judicial appointments, impeachment trials or cabinet nominees. But significantly, they </w:t>
      </w:r>
      <w:r>
        <w:rPr>
          <w:rFonts w:ascii="Times New Roman" w:hAnsi="Times New Roman" w:cs="Times New Roman"/>
          <w:i/>
          <w:iCs/>
        </w:rPr>
        <w:t>do</w:t>
      </w:r>
      <w:r>
        <w:rPr>
          <w:rFonts w:ascii="Times New Roman" w:hAnsi="Times New Roman" w:cs="Times New Roman"/>
        </w:rPr>
        <w:t xml:space="preserve"> have the power of adopting articles of impeachment – the process of bringing an elected official up for charges, relating to their duties in office.</w:t>
      </w:r>
    </w:p>
    <w:p w14:paraId="006E74E1" w14:textId="77777777" w:rsidR="00B10FA3" w:rsidRDefault="00B10FA3" w:rsidP="007607BC">
      <w:pPr>
        <w:spacing w:line="480" w:lineRule="auto"/>
        <w:ind w:left="284" w:right="284"/>
        <w:rPr>
          <w:rFonts w:ascii="Times New Roman" w:hAnsi="Times New Roman" w:cs="Times New Roman"/>
        </w:rPr>
      </w:pPr>
      <w:r>
        <w:rPr>
          <w:rFonts w:ascii="Times New Roman" w:hAnsi="Times New Roman" w:cs="Times New Roman"/>
        </w:rPr>
        <w:t xml:space="preserve">     While the Senate operates on the premise that all members have the right to speak, that is, minority rights, the House operates on an iron clad principle that the majority should rule. A minority member of the House has few, if any rights on the floor of the chamber. Yes, they are given staff, yes, they get committee and subcommittee assignments (with fewer staff allocated), but their ability to work their will legislatively is significantly stultified. For example, in order to offer a bill or amendment on the floor of the House, a member must be ‘recognized’ by the Speaker so that they may offer their legislation. If the Speaker chooses not to recognize the member, no offering is possible. Period. Now, the member may resort to a Point of Order to protest the fact that he or she has not been recognized to present their proposal, but here too, the Speaker will decide on the propriety of granting the Point of Order. So, the minority member has no leverage. </w:t>
      </w:r>
    </w:p>
    <w:p w14:paraId="28867F8E" w14:textId="77777777" w:rsidR="00B10FA3" w:rsidRDefault="00B10FA3" w:rsidP="00B84C10">
      <w:pPr>
        <w:spacing w:line="480" w:lineRule="auto"/>
        <w:ind w:left="284" w:right="284"/>
        <w:rPr>
          <w:rFonts w:ascii="Times New Roman" w:hAnsi="Times New Roman" w:cs="Times New Roman"/>
        </w:rPr>
      </w:pPr>
      <w:r>
        <w:rPr>
          <w:rFonts w:ascii="Times New Roman" w:hAnsi="Times New Roman" w:cs="Times New Roman"/>
        </w:rPr>
        <w:t xml:space="preserve">     Even voting can be subjective in the House. There are many means of voting, and the Speaker may determine which method is appropriate for a given bill. Typically, House members are summoned to the House by a series of bells in the office buildings on Capitol Hill. Once they arrive, after walking through a series of connecting tunnels that </w:t>
      </w:r>
      <w:r>
        <w:rPr>
          <w:rFonts w:ascii="Times New Roman" w:hAnsi="Times New Roman" w:cs="Times New Roman"/>
        </w:rPr>
        <w:lastRenderedPageBreak/>
        <w:t xml:space="preserve">link the Congress, Library of Congress and Supreme Court, they are given the option to push one of three buttons at their desk: yea, nay or present. </w:t>
      </w:r>
    </w:p>
    <w:p w14:paraId="4AD83DAF" w14:textId="5E998131" w:rsidR="00B10FA3" w:rsidRDefault="00B10FA3" w:rsidP="007607BC">
      <w:pPr>
        <w:spacing w:line="480" w:lineRule="auto"/>
        <w:ind w:left="284" w:right="284"/>
        <w:rPr>
          <w:rFonts w:ascii="Times New Roman" w:hAnsi="Times New Roman" w:cs="Times New Roman"/>
        </w:rPr>
      </w:pPr>
      <w:r>
        <w:rPr>
          <w:rFonts w:ascii="Times New Roman" w:hAnsi="Times New Roman" w:cs="Times New Roman"/>
        </w:rPr>
        <w:t xml:space="preserve">     But other voting methods exist as well. Teller Voting involves the dropping of a colored coin into a box, indicating the voting preference of the member. Tell Voting is not used much, but it can provide cover for members who do no</w:t>
      </w:r>
      <w:r w:rsidR="006D0F48">
        <w:rPr>
          <w:rFonts w:ascii="Times New Roman" w:hAnsi="Times New Roman" w:cs="Times New Roman"/>
        </w:rPr>
        <w:t>t</w:t>
      </w:r>
      <w:r>
        <w:rPr>
          <w:rFonts w:ascii="Times New Roman" w:hAnsi="Times New Roman" w:cs="Times New Roman"/>
        </w:rPr>
        <w:t xml:space="preserve"> wish to be on record for a controversial vote. For example, during the Vietnam War, Teller </w:t>
      </w:r>
      <w:r w:rsidR="006D0F48">
        <w:rPr>
          <w:rFonts w:ascii="Times New Roman" w:hAnsi="Times New Roman" w:cs="Times New Roman"/>
        </w:rPr>
        <w:t>v</w:t>
      </w:r>
      <w:r>
        <w:rPr>
          <w:rFonts w:ascii="Times New Roman" w:hAnsi="Times New Roman" w:cs="Times New Roman"/>
        </w:rPr>
        <w:t>oting was used for controversial bills relating to escalating funds for the war effort. Members of the public, often antiwar activists, would bring binoculars to the House to try to determine the votes of various members – often reporting the results incorrectly.</w:t>
      </w:r>
    </w:p>
    <w:p w14:paraId="64C33269" w14:textId="4A994140" w:rsidR="00B10FA3" w:rsidRDefault="00B10FA3" w:rsidP="007607BC">
      <w:pPr>
        <w:spacing w:line="480" w:lineRule="auto"/>
        <w:ind w:left="284" w:right="284"/>
        <w:rPr>
          <w:rFonts w:ascii="Times New Roman" w:hAnsi="Times New Roman" w:cs="Times New Roman"/>
        </w:rPr>
      </w:pPr>
      <w:r>
        <w:rPr>
          <w:rFonts w:ascii="Times New Roman" w:hAnsi="Times New Roman" w:cs="Times New Roman"/>
        </w:rPr>
        <w:t xml:space="preserve">     There is also the method of voting known as the taking of the Yeas and the Nays. In this case, the Speaker asks all members to indicate who supports the bill at hand (yea), and who opposes it (nay). This is a voice vote, and is highly subjective. The process takes all of three seconds, and it is the Speaker who determines the outcome. Legends abound regarding Speakers who simply refused to ‘hear’ the other side. But, again, the House operates o</w:t>
      </w:r>
      <w:r w:rsidR="00BB4438">
        <w:rPr>
          <w:rFonts w:ascii="Times New Roman" w:hAnsi="Times New Roman" w:cs="Times New Roman"/>
        </w:rPr>
        <w:t>n</w:t>
      </w:r>
      <w:r>
        <w:rPr>
          <w:rFonts w:ascii="Times New Roman" w:hAnsi="Times New Roman" w:cs="Times New Roman"/>
        </w:rPr>
        <w:t xml:space="preserve"> the basis of majority rule – with minority rights being, at best, an afterthought.</w:t>
      </w:r>
    </w:p>
    <w:p w14:paraId="2F71C169" w14:textId="77777777" w:rsidR="00B10FA3" w:rsidRDefault="00B10FA3" w:rsidP="00B84C10">
      <w:pPr>
        <w:spacing w:line="480" w:lineRule="auto"/>
        <w:ind w:left="284" w:right="284"/>
        <w:rPr>
          <w:rFonts w:ascii="Times New Roman" w:hAnsi="Times New Roman" w:cs="Times New Roman"/>
        </w:rPr>
      </w:pPr>
      <w:r>
        <w:rPr>
          <w:rFonts w:ascii="Times New Roman" w:hAnsi="Times New Roman" w:cs="Times New Roman"/>
        </w:rPr>
        <w:t xml:space="preserve">     The Speaker of the House is the second most powerful political leader in the US, after the President, largely due to the fact that the position confers virtually complete authority on the House. While the Speaker does not possess the almost dictatorial power of the pre-1911 Joe Cannon period, after which some authority was stripped from the Speakers office, they still maintain formidable power in assigning committee members, promoting leadership, getting votes in line when necessary, and returning favors. </w:t>
      </w:r>
    </w:p>
    <w:p w14:paraId="3A1595C3" w14:textId="77777777" w:rsidR="00B10FA3" w:rsidRDefault="00B10FA3" w:rsidP="007607BC">
      <w:pPr>
        <w:spacing w:line="480" w:lineRule="auto"/>
        <w:ind w:left="284" w:right="284"/>
        <w:rPr>
          <w:rFonts w:ascii="Times New Roman" w:hAnsi="Times New Roman" w:cs="Times New Roman"/>
        </w:rPr>
      </w:pPr>
      <w:r>
        <w:rPr>
          <w:rFonts w:ascii="Times New Roman" w:hAnsi="Times New Roman" w:cs="Times New Roman"/>
        </w:rPr>
        <w:t xml:space="preserve">     Traditionally, the gravest fault for a sitting member of the House is to unsuccessfully challenge a sitting Speaker for the seat, or to unsuccessfully support the challenger. This </w:t>
      </w:r>
      <w:r>
        <w:rPr>
          <w:rFonts w:ascii="Times New Roman" w:hAnsi="Times New Roman" w:cs="Times New Roman"/>
        </w:rPr>
        <w:lastRenderedPageBreak/>
        <w:t>has traditionally represented the kiss of death for a member who wished to rise in the party, through key committee assignments. Having said that, events of 2023 in the House have shown that challengers to the leadership of Speaker Kevin McCarthy (and now Michael Johnson) can both survive and thrive in the bizarre microclimate of Republican party politics.</w:t>
      </w:r>
    </w:p>
    <w:p w14:paraId="691F31A7" w14:textId="77777777" w:rsidR="00B10FA3" w:rsidRDefault="00B10FA3" w:rsidP="007607BC">
      <w:pPr>
        <w:rPr>
          <w:rFonts w:ascii="Times New Roman" w:hAnsi="Times New Roman" w:cs="Times New Roman"/>
          <w:b/>
          <w:bCs/>
        </w:rPr>
      </w:pPr>
    </w:p>
    <w:p w14:paraId="6CC0CF5F" w14:textId="77777777" w:rsidR="00B10FA3" w:rsidRDefault="00B10FA3" w:rsidP="007607BC">
      <w:pPr>
        <w:spacing w:line="480" w:lineRule="auto"/>
        <w:ind w:left="284" w:right="284"/>
        <w:rPr>
          <w:rFonts w:ascii="Times New Roman" w:hAnsi="Times New Roman" w:cs="Times New Roman"/>
          <w:b/>
          <w:bCs/>
          <w:i/>
          <w:iCs/>
          <w:sz w:val="28"/>
          <w:szCs w:val="28"/>
        </w:rPr>
      </w:pPr>
      <w:r>
        <w:rPr>
          <w:rFonts w:ascii="Times New Roman" w:hAnsi="Times New Roman" w:cs="Times New Roman"/>
          <w:b/>
          <w:bCs/>
          <w:i/>
          <w:iCs/>
          <w:sz w:val="28"/>
          <w:szCs w:val="28"/>
        </w:rPr>
        <w:t>The Senate</w:t>
      </w:r>
    </w:p>
    <w:p w14:paraId="3BE06B72" w14:textId="77777777" w:rsidR="00B10FA3" w:rsidRDefault="00B10FA3" w:rsidP="007607BC">
      <w:pPr>
        <w:spacing w:line="480" w:lineRule="auto"/>
        <w:ind w:left="284" w:right="284"/>
        <w:rPr>
          <w:rFonts w:ascii="Times New Roman" w:hAnsi="Times New Roman" w:cs="Times New Roman"/>
        </w:rPr>
      </w:pPr>
      <w:r>
        <w:rPr>
          <w:rFonts w:ascii="Times New Roman" w:hAnsi="Times New Roman" w:cs="Times New Roman"/>
        </w:rPr>
        <w:t xml:space="preserve">     The US Senate was originally designed to be a place where statesmen of high standing could hold lengthy debates about policy affecting the Republic, without fear of interference or censure. There are echoes of Plato in the concept – the idea of a “philosopher class” using reason to advance society. Terms were set at long intervals – at six years, presumably to allow a relaxed amount of time to work the analytics of ‘policymaking,’ at the macro level. </w:t>
      </w:r>
    </w:p>
    <w:p w14:paraId="2B86B8AD" w14:textId="77777777" w:rsidR="00B10FA3" w:rsidRDefault="00B10FA3" w:rsidP="00D36817">
      <w:pPr>
        <w:spacing w:line="480" w:lineRule="auto"/>
        <w:ind w:left="284" w:right="284"/>
        <w:rPr>
          <w:rFonts w:ascii="Times New Roman" w:hAnsi="Times New Roman" w:cs="Times New Roman"/>
        </w:rPr>
      </w:pPr>
      <w:r>
        <w:rPr>
          <w:rFonts w:ascii="Times New Roman" w:hAnsi="Times New Roman" w:cs="Times New Roman"/>
        </w:rPr>
        <w:t xml:space="preserve">     The rules of the Senate have, historically, followed such logic. In the Senate, </w:t>
      </w:r>
      <w:r w:rsidRPr="005E06BF">
        <w:rPr>
          <w:rFonts w:ascii="Times New Roman" w:hAnsi="Times New Roman" w:cs="Times New Roman"/>
          <w:i/>
          <w:iCs/>
        </w:rPr>
        <w:t xml:space="preserve">minority </w:t>
      </w:r>
      <w:r>
        <w:rPr>
          <w:rFonts w:ascii="Times New Roman" w:hAnsi="Times New Roman" w:cs="Times New Roman"/>
        </w:rPr>
        <w:t>rights are preeminent. Ultimately, majority rule is intended to prevail in the Senate, but the law making and amendment process in the Senate is minority friendly. Some examples: Senators, regardless of party or majority/minority status, are allowed to speak at will on the floor of the Senate. Yes, speech can be limited, through the cumbersome procedures of</w:t>
      </w:r>
      <w:r w:rsidRPr="00B93D82">
        <w:rPr>
          <w:rFonts w:ascii="Times New Roman" w:hAnsi="Times New Roman" w:cs="Times New Roman"/>
          <w:i/>
          <w:iCs/>
        </w:rPr>
        <w:t xml:space="preserve"> cloture</w:t>
      </w:r>
      <w:r>
        <w:rPr>
          <w:rFonts w:ascii="Times New Roman" w:hAnsi="Times New Roman" w:cs="Times New Roman"/>
        </w:rPr>
        <w:t>, requiring 3/5 of the Senate vote, and, even then, not cutting off debate. However, in the end, the prevailing ethic in the Senate is that senators should be able to talk – or, perhaps, more to the point – that ideas should be heard.</w:t>
      </w:r>
    </w:p>
    <w:p w14:paraId="6A678A87" w14:textId="77777777" w:rsidR="00B10FA3" w:rsidRDefault="00B10FA3" w:rsidP="007607BC">
      <w:pPr>
        <w:spacing w:line="480" w:lineRule="auto"/>
        <w:ind w:left="284" w:right="284"/>
        <w:rPr>
          <w:rFonts w:ascii="Times New Roman" w:hAnsi="Times New Roman" w:cs="Times New Roman"/>
        </w:rPr>
      </w:pPr>
      <w:r>
        <w:rPr>
          <w:rFonts w:ascii="Times New Roman" w:hAnsi="Times New Roman" w:cs="Times New Roman"/>
        </w:rPr>
        <w:t xml:space="preserve">     Further complicated differences between House and Senate, is a legislative tradition to parliamentary procedure; in the House, all amendments to proposed laws must be </w:t>
      </w:r>
      <w:r>
        <w:rPr>
          <w:rFonts w:ascii="Times New Roman" w:hAnsi="Times New Roman" w:cs="Times New Roman"/>
          <w:i/>
          <w:iCs/>
        </w:rPr>
        <w:lastRenderedPageBreak/>
        <w:t>germane</w:t>
      </w:r>
      <w:r>
        <w:rPr>
          <w:rFonts w:ascii="Times New Roman" w:hAnsi="Times New Roman" w:cs="Times New Roman"/>
        </w:rPr>
        <w:t xml:space="preserve">, meaning that they must, in some, clear, demonstrable way, relate to the major topical thrust of the bill at hand. </w:t>
      </w:r>
    </w:p>
    <w:p w14:paraId="213A5A66" w14:textId="77777777" w:rsidR="00B10FA3" w:rsidRDefault="00B10FA3" w:rsidP="007607BC">
      <w:pPr>
        <w:spacing w:line="480" w:lineRule="auto"/>
        <w:ind w:left="284" w:right="284"/>
        <w:rPr>
          <w:rFonts w:ascii="Times New Roman" w:hAnsi="Times New Roman" w:cs="Times New Roman"/>
        </w:rPr>
      </w:pPr>
      <w:r>
        <w:rPr>
          <w:rFonts w:ascii="Times New Roman" w:hAnsi="Times New Roman" w:cs="Times New Roman"/>
        </w:rPr>
        <w:t xml:space="preserve">      </w:t>
      </w:r>
      <w:r w:rsidRPr="005E06BF">
        <w:rPr>
          <w:rFonts w:ascii="Times New Roman" w:hAnsi="Times New Roman" w:cs="Times New Roman"/>
          <w:i/>
          <w:iCs/>
        </w:rPr>
        <w:t>The Senate has no such rule.</w:t>
      </w:r>
      <w:r>
        <w:rPr>
          <w:rFonts w:ascii="Times New Roman" w:hAnsi="Times New Roman" w:cs="Times New Roman"/>
        </w:rPr>
        <w:t xml:space="preserve"> Amendments need not be germane – and any senator might introduce a non-germane amendment at any time. So, a sanctions bill on Russia could contain an amendment on Planned Parenthood. When a Senate bill reaches the House, there is lots of talk, and, often, compromise in conference. But Senate rules drive the House crazy.</w:t>
      </w:r>
    </w:p>
    <w:p w14:paraId="56AAD079" w14:textId="77777777" w:rsidR="00B10FA3" w:rsidRDefault="00B10FA3" w:rsidP="007607BC">
      <w:pPr>
        <w:spacing w:line="480" w:lineRule="auto"/>
        <w:ind w:left="284" w:right="284"/>
        <w:rPr>
          <w:rFonts w:ascii="Times New Roman" w:hAnsi="Times New Roman" w:cs="Times New Roman"/>
        </w:rPr>
      </w:pPr>
      <w:r>
        <w:rPr>
          <w:rFonts w:ascii="Times New Roman" w:hAnsi="Times New Roman" w:cs="Times New Roman"/>
        </w:rPr>
        <w:t xml:space="preserve">     It is important to keep in mind the historical evolution of the Senate. Until the 17</w:t>
      </w:r>
      <w:r w:rsidRPr="00CE634C">
        <w:rPr>
          <w:rFonts w:ascii="Times New Roman" w:hAnsi="Times New Roman" w:cs="Times New Roman"/>
          <w:vertAlign w:val="superscript"/>
        </w:rPr>
        <w:t>th</w:t>
      </w:r>
      <w:r>
        <w:rPr>
          <w:rFonts w:ascii="Times New Roman" w:hAnsi="Times New Roman" w:cs="Times New Roman"/>
        </w:rPr>
        <w:t xml:space="preserve"> Amendment to the Constitution was ratified in 1913, US Senators were not elected directly by the people. Rather, they were elected by </w:t>
      </w:r>
      <w:r>
        <w:rPr>
          <w:rFonts w:ascii="Times New Roman" w:hAnsi="Times New Roman" w:cs="Times New Roman"/>
          <w:i/>
          <w:iCs/>
        </w:rPr>
        <w:t xml:space="preserve">state legislatures, </w:t>
      </w:r>
      <w:r>
        <w:rPr>
          <w:rFonts w:ascii="Times New Roman" w:hAnsi="Times New Roman" w:cs="Times New Roman"/>
        </w:rPr>
        <w:t>to, presumably, work for the interests of their states. The Senate was not designed with direct representation from and for the people in mind. This was to be an elite debate club, removed from popular opinion and accountability – perhaps not to the degree as the Supreme Court, but, nevertheless, outside of direct popular control.</w:t>
      </w:r>
    </w:p>
    <w:p w14:paraId="720C8E7E" w14:textId="77777777" w:rsidR="00B10FA3" w:rsidRDefault="00B10FA3" w:rsidP="007607BC">
      <w:pPr>
        <w:spacing w:line="480" w:lineRule="auto"/>
        <w:ind w:left="284" w:right="284"/>
        <w:rPr>
          <w:rFonts w:ascii="Times New Roman" w:hAnsi="Times New Roman" w:cs="Times New Roman"/>
        </w:rPr>
      </w:pPr>
      <w:r>
        <w:rPr>
          <w:rFonts w:ascii="Times New Roman" w:hAnsi="Times New Roman" w:cs="Times New Roman"/>
        </w:rPr>
        <w:t xml:space="preserve">     It is not widely known, but the Senate conducts the vast majority of its business by </w:t>
      </w:r>
      <w:r>
        <w:rPr>
          <w:rFonts w:ascii="Times New Roman" w:hAnsi="Times New Roman" w:cs="Times New Roman"/>
          <w:i/>
          <w:iCs/>
        </w:rPr>
        <w:t>unanimous consent</w:t>
      </w:r>
      <w:r>
        <w:rPr>
          <w:rFonts w:ascii="Times New Roman" w:hAnsi="Times New Roman" w:cs="Times New Roman"/>
        </w:rPr>
        <w:t xml:space="preserve">. That is, that deals and compromises are worked out ahead of time by senators with a vested interest in a piece of legislation. When the vote comes to the floor, the legislative manager simply asks that “without objection, the legislation passes,” and most of the time, that is all there is to it. </w:t>
      </w:r>
    </w:p>
    <w:p w14:paraId="66C35E20" w14:textId="77777777" w:rsidR="00B10FA3" w:rsidRDefault="00B10FA3" w:rsidP="007607BC">
      <w:pPr>
        <w:spacing w:line="480" w:lineRule="auto"/>
        <w:ind w:left="284" w:right="284"/>
        <w:rPr>
          <w:rFonts w:ascii="Times New Roman" w:hAnsi="Times New Roman" w:cs="Times New Roman"/>
        </w:rPr>
      </w:pPr>
      <w:r>
        <w:rPr>
          <w:rFonts w:ascii="Times New Roman" w:hAnsi="Times New Roman" w:cs="Times New Roman"/>
        </w:rPr>
        <w:t xml:space="preserve">     But, one senator could, if they wanted, really muck up the works – by not agreeing to the “unanimous consent” agreement. And all senators know this. It is a sword that hangs but rarely falls. In 2023, Sen. Tommy Tuberville, Republican of Alabama, single handedly blocked a Defense Department authorization bill because he disagreed with the departments policies on abortion for service members. By doing so, all matter </w:t>
      </w:r>
      <w:r>
        <w:rPr>
          <w:rFonts w:ascii="Times New Roman" w:hAnsi="Times New Roman" w:cs="Times New Roman"/>
        </w:rPr>
        <w:lastRenderedPageBreak/>
        <w:t xml:space="preserve">relating to the funding of the US military came to a halt: promotions, services, weapons procurement.   So, a single senator can slow the legislative process down to a standstill, if they choose. The rules permit it.    </w:t>
      </w:r>
    </w:p>
    <w:p w14:paraId="6FFED042" w14:textId="77777777" w:rsidR="00B10FA3" w:rsidRPr="00CE634C" w:rsidRDefault="00B10FA3" w:rsidP="007607BC">
      <w:pPr>
        <w:spacing w:line="480" w:lineRule="auto"/>
        <w:ind w:left="284" w:right="284"/>
        <w:rPr>
          <w:rFonts w:ascii="Times New Roman" w:hAnsi="Times New Roman" w:cs="Times New Roman"/>
        </w:rPr>
      </w:pPr>
    </w:p>
    <w:p w14:paraId="1D885DA1" w14:textId="77777777" w:rsidR="00B10FA3" w:rsidRDefault="00B10FA3" w:rsidP="007607BC">
      <w:pPr>
        <w:spacing w:line="480" w:lineRule="auto"/>
        <w:ind w:left="284" w:right="284"/>
        <w:rPr>
          <w:rFonts w:ascii="Times New Roman" w:hAnsi="Times New Roman" w:cs="Times New Roman"/>
          <w:sz w:val="28"/>
          <w:szCs w:val="28"/>
        </w:rPr>
      </w:pPr>
      <w:r>
        <w:rPr>
          <w:rFonts w:ascii="Times New Roman" w:hAnsi="Times New Roman" w:cs="Times New Roman"/>
          <w:b/>
          <w:bCs/>
          <w:i/>
          <w:iCs/>
          <w:sz w:val="28"/>
          <w:szCs w:val="28"/>
        </w:rPr>
        <w:t>Deep State?</w:t>
      </w:r>
    </w:p>
    <w:p w14:paraId="137CA176" w14:textId="3EE59A51" w:rsidR="00B10FA3" w:rsidRDefault="00B10FA3" w:rsidP="007607BC">
      <w:pPr>
        <w:spacing w:line="480" w:lineRule="auto"/>
        <w:ind w:left="284" w:right="284"/>
        <w:rPr>
          <w:rFonts w:ascii="Times New Roman" w:hAnsi="Times New Roman" w:cs="Times New Roman"/>
        </w:rPr>
      </w:pPr>
      <w:r>
        <w:rPr>
          <w:rFonts w:ascii="Times New Roman" w:hAnsi="Times New Roman" w:cs="Times New Roman"/>
        </w:rPr>
        <w:t>It</w:t>
      </w:r>
      <w:r w:rsidR="006D0F48">
        <w:rPr>
          <w:rFonts w:ascii="Times New Roman" w:hAnsi="Times New Roman" w:cs="Times New Roman"/>
        </w:rPr>
        <w:t xml:space="preserve"> is</w:t>
      </w:r>
      <w:r>
        <w:rPr>
          <w:rFonts w:ascii="Times New Roman" w:hAnsi="Times New Roman" w:cs="Times New Roman"/>
        </w:rPr>
        <w:t xml:space="preserve"> interesting to hear various political conspiracy types rail on about the supposed ‘</w:t>
      </w:r>
      <w:r w:rsidRPr="00997852">
        <w:rPr>
          <w:rFonts w:ascii="Times New Roman" w:hAnsi="Times New Roman" w:cs="Times New Roman"/>
          <w:i/>
          <w:iCs/>
        </w:rPr>
        <w:t>deep state’</w:t>
      </w:r>
      <w:r>
        <w:rPr>
          <w:rFonts w:ascii="Times New Roman" w:hAnsi="Times New Roman" w:cs="Times New Roman"/>
        </w:rPr>
        <w:t xml:space="preserve"> in the US, when such views needn’t adopt a conspiratorial view at all. The Deep State stands before us, unadorned and visible to anyone who wishes to take the time to look. It has, as far as I can tell, four major components. </w:t>
      </w:r>
    </w:p>
    <w:p w14:paraId="2F4AF9A5" w14:textId="5F630FA6" w:rsidR="00B10FA3" w:rsidRPr="00CB5AE1" w:rsidRDefault="00B10FA3" w:rsidP="007607BC">
      <w:pPr>
        <w:spacing w:line="480" w:lineRule="auto"/>
        <w:ind w:left="284" w:right="284"/>
        <w:rPr>
          <w:rFonts w:ascii="Times New Roman" w:hAnsi="Times New Roman" w:cs="Times New Roman"/>
        </w:rPr>
      </w:pPr>
      <w:r>
        <w:rPr>
          <w:rFonts w:ascii="Times New Roman" w:hAnsi="Times New Roman" w:cs="Times New Roman"/>
        </w:rPr>
        <w:t xml:space="preserve">     First, there is the prevalence of money in the American political system since </w:t>
      </w:r>
      <w:r>
        <w:rPr>
          <w:rFonts w:ascii="Times New Roman" w:hAnsi="Times New Roman" w:cs="Times New Roman"/>
          <w:i/>
          <w:iCs/>
        </w:rPr>
        <w:t>Citizens United</w:t>
      </w:r>
      <w:r>
        <w:rPr>
          <w:rFonts w:ascii="Times New Roman" w:hAnsi="Times New Roman" w:cs="Times New Roman"/>
        </w:rPr>
        <w:t>; Congress is owned by the financially powerful, and by untraceable contributions</w:t>
      </w:r>
      <w:r w:rsidR="004C5DD5">
        <w:rPr>
          <w:rFonts w:ascii="Times New Roman" w:hAnsi="Times New Roman" w:cs="Times New Roman"/>
        </w:rPr>
        <w:t xml:space="preserve">, and by lobbyists, especially those drawn from retiring members of Congress. </w:t>
      </w:r>
      <w:r>
        <w:rPr>
          <w:rFonts w:ascii="Times New Roman" w:hAnsi="Times New Roman" w:cs="Times New Roman"/>
        </w:rPr>
        <w:t xml:space="preserve"> Second, there is the Washington Bureaucracy; governmental agencies, think tanks and functionaries who have enormous (often unaccountable) authority on the everyday functioning of the government. </w:t>
      </w:r>
      <w:r w:rsidR="00E67C95">
        <w:rPr>
          <w:rFonts w:ascii="Times New Roman" w:hAnsi="Times New Roman" w:cs="Times New Roman"/>
        </w:rPr>
        <w:t xml:space="preserve">Think bureaucratic drift. </w:t>
      </w:r>
      <w:r>
        <w:rPr>
          <w:rFonts w:ascii="Times New Roman" w:hAnsi="Times New Roman" w:cs="Times New Roman"/>
        </w:rPr>
        <w:t xml:space="preserve">(If you want to add another major Deep State entity, throw in the multifarious intelligence agencies.) Third, there is the Congressional and Executive branch </w:t>
      </w:r>
      <w:r>
        <w:rPr>
          <w:rFonts w:ascii="Times New Roman" w:hAnsi="Times New Roman" w:cs="Times New Roman"/>
          <w:i/>
          <w:iCs/>
        </w:rPr>
        <w:t>staff</w:t>
      </w:r>
      <w:r>
        <w:rPr>
          <w:rFonts w:ascii="Times New Roman" w:hAnsi="Times New Roman" w:cs="Times New Roman"/>
        </w:rPr>
        <w:t xml:space="preserve">. (Michael Malbin’s book </w:t>
      </w:r>
      <w:r>
        <w:rPr>
          <w:rFonts w:ascii="Times New Roman" w:hAnsi="Times New Roman" w:cs="Times New Roman"/>
          <w:i/>
          <w:iCs/>
        </w:rPr>
        <w:t>Unelected Representatives</w:t>
      </w:r>
      <w:r>
        <w:rPr>
          <w:rFonts w:ascii="Times New Roman" w:hAnsi="Times New Roman" w:cs="Times New Roman"/>
        </w:rPr>
        <w:t xml:space="preserve"> explains well how the staff make the congressional member.) Add to personal staff the committee and subcommittee staff of congressional members, and there is a profound gauntlet of expertise that the public his little awareness of. Finally, there is the media – broadly speaking. In the modern age, both the traditional and social media exert enormous influence on public perception. In none of these cases are there conspiracies – all is right in front of us, for good or for ill, save perhaps the </w:t>
      </w:r>
      <w:r>
        <w:rPr>
          <w:rFonts w:ascii="Times New Roman" w:hAnsi="Times New Roman" w:cs="Times New Roman"/>
        </w:rPr>
        <w:lastRenderedPageBreak/>
        <w:t>intelligence agencies.  Deep State? More like various and sundry operators functioning for the needs of their respective spheres – and how could it be otherwise?</w:t>
      </w:r>
    </w:p>
    <w:p w14:paraId="6A57F73F" w14:textId="77777777" w:rsidR="00B10FA3" w:rsidRDefault="00B10FA3" w:rsidP="007607BC">
      <w:pPr>
        <w:spacing w:line="480" w:lineRule="auto"/>
        <w:ind w:left="284" w:right="284"/>
        <w:rPr>
          <w:rFonts w:ascii="Times New Roman" w:hAnsi="Times New Roman" w:cs="Times New Roman"/>
        </w:rPr>
      </w:pPr>
    </w:p>
    <w:p w14:paraId="79AE1B51" w14:textId="77777777" w:rsidR="00884603" w:rsidRDefault="00884603" w:rsidP="007607BC">
      <w:pPr>
        <w:spacing w:line="480" w:lineRule="auto"/>
        <w:ind w:left="284" w:right="284"/>
        <w:rPr>
          <w:rFonts w:ascii="Times New Roman" w:hAnsi="Times New Roman" w:cs="Times New Roman"/>
        </w:rPr>
      </w:pPr>
    </w:p>
    <w:p w14:paraId="6371C665" w14:textId="77777777" w:rsidR="00884603" w:rsidRDefault="00884603" w:rsidP="007607BC">
      <w:pPr>
        <w:spacing w:line="480" w:lineRule="auto"/>
        <w:ind w:left="284" w:right="284"/>
        <w:rPr>
          <w:rFonts w:ascii="Times New Roman" w:hAnsi="Times New Roman" w:cs="Times New Roman"/>
        </w:rPr>
      </w:pPr>
    </w:p>
    <w:p w14:paraId="4BB51097" w14:textId="275ADA34" w:rsidR="00B10FA3" w:rsidRDefault="00B10FA3" w:rsidP="007607BC">
      <w:pPr>
        <w:spacing w:line="480" w:lineRule="auto"/>
        <w:ind w:left="284" w:right="284"/>
        <w:rPr>
          <w:rFonts w:ascii="Times New Roman" w:hAnsi="Times New Roman" w:cs="Times New Roman"/>
        </w:rPr>
      </w:pPr>
      <w:r>
        <w:rPr>
          <w:rFonts w:ascii="Times New Roman" w:hAnsi="Times New Roman" w:cs="Times New Roman"/>
        </w:rPr>
        <w:t xml:space="preserve"> </w:t>
      </w:r>
      <w:r>
        <w:rPr>
          <w:rFonts w:ascii="Times New Roman" w:hAnsi="Times New Roman" w:cs="Times New Roman"/>
          <w:b/>
          <w:bCs/>
          <w:i/>
          <w:iCs/>
          <w:sz w:val="28"/>
          <w:szCs w:val="28"/>
        </w:rPr>
        <w:t>Ideology</w:t>
      </w:r>
    </w:p>
    <w:p w14:paraId="7C4A4F7D" w14:textId="0ECD3455" w:rsidR="00B10FA3" w:rsidRDefault="00B10FA3" w:rsidP="007607BC">
      <w:pPr>
        <w:spacing w:line="480" w:lineRule="auto"/>
        <w:ind w:left="284" w:right="284"/>
        <w:rPr>
          <w:rFonts w:ascii="Times New Roman" w:hAnsi="Times New Roman" w:cs="Times New Roman"/>
        </w:rPr>
      </w:pPr>
      <w:r>
        <w:rPr>
          <w:rFonts w:ascii="Times New Roman" w:hAnsi="Times New Roman" w:cs="Times New Roman"/>
        </w:rPr>
        <w:t xml:space="preserve">    This is a tough one. Mainly because, arguably, the US has devolved in to a political culture </w:t>
      </w:r>
      <w:r w:rsidRPr="00B84C10">
        <w:rPr>
          <w:rFonts w:ascii="Times New Roman" w:hAnsi="Times New Roman" w:cs="Times New Roman"/>
          <w:i/>
          <w:iCs/>
        </w:rPr>
        <w:t>without</w:t>
      </w:r>
      <w:r>
        <w:rPr>
          <w:rFonts w:ascii="Times New Roman" w:hAnsi="Times New Roman" w:cs="Times New Roman"/>
        </w:rPr>
        <w:t xml:space="preserve"> ideology. Ask most Americans what a conservative is and they will tell you that it is someone who opposes abortion and gay marriage. Ask the same question of a liberal, and they will answer pro-choice and pro</w:t>
      </w:r>
      <w:r w:rsidR="004C5DD5">
        <w:rPr>
          <w:rFonts w:ascii="Times New Roman" w:hAnsi="Times New Roman" w:cs="Times New Roman"/>
        </w:rPr>
        <w:t xml:space="preserve"> - </w:t>
      </w:r>
      <w:r>
        <w:rPr>
          <w:rFonts w:ascii="Times New Roman" w:hAnsi="Times New Roman" w:cs="Times New Roman"/>
        </w:rPr>
        <w:t>gay marriage – maybe pro - gun control. But, in the end, this tells you little, about the people, culture or ideology.</w:t>
      </w:r>
    </w:p>
    <w:p w14:paraId="49D8580F" w14:textId="77777777" w:rsidR="00B10FA3" w:rsidRDefault="00B10FA3" w:rsidP="007607BC">
      <w:pPr>
        <w:spacing w:line="480" w:lineRule="auto"/>
        <w:ind w:left="284" w:right="284"/>
        <w:rPr>
          <w:rFonts w:ascii="Times New Roman" w:hAnsi="Times New Roman" w:cs="Times New Roman"/>
        </w:rPr>
      </w:pPr>
      <w:r w:rsidRPr="6375CABF">
        <w:rPr>
          <w:rFonts w:ascii="Times New Roman" w:hAnsi="Times New Roman" w:cs="Times New Roman"/>
        </w:rPr>
        <w:t xml:space="preserve">     The advent of the 19</w:t>
      </w:r>
      <w:r w:rsidRPr="6375CABF">
        <w:rPr>
          <w:rFonts w:ascii="Times New Roman" w:hAnsi="Times New Roman" w:cs="Times New Roman"/>
          <w:vertAlign w:val="superscript"/>
        </w:rPr>
        <w:t>th</w:t>
      </w:r>
      <w:r w:rsidRPr="6375CABF">
        <w:rPr>
          <w:rFonts w:ascii="Times New Roman" w:hAnsi="Times New Roman" w:cs="Times New Roman"/>
        </w:rPr>
        <w:t xml:space="preserve"> century Industrial Revolution led to a re-examination of both the relation of workers to their work and their employers, but also to the relationship between work, markets and governments, and the proper power dynamic that should exist between them. </w:t>
      </w:r>
    </w:p>
    <w:p w14:paraId="1FB4E4DE" w14:textId="77777777" w:rsidR="004C5DD5" w:rsidRDefault="004C5DD5" w:rsidP="007607BC">
      <w:pPr>
        <w:spacing w:line="480" w:lineRule="auto"/>
        <w:ind w:left="284" w:right="284"/>
        <w:rPr>
          <w:rFonts w:ascii="Times New Roman" w:hAnsi="Times New Roman" w:cs="Times New Roman"/>
        </w:rPr>
      </w:pPr>
    </w:p>
    <w:p w14:paraId="09CB8DCC" w14:textId="2C2F6577" w:rsidR="00B10FA3" w:rsidRPr="007578C3" w:rsidRDefault="00B10FA3" w:rsidP="007607BC">
      <w:pPr>
        <w:spacing w:line="480" w:lineRule="auto"/>
        <w:ind w:left="284" w:right="284"/>
        <w:rPr>
          <w:rFonts w:ascii="Times New Roman" w:hAnsi="Times New Roman" w:cs="Times New Roman"/>
          <w:color w:val="FF0000"/>
          <w:sz w:val="28"/>
          <w:szCs w:val="28"/>
        </w:rPr>
      </w:pPr>
      <w:r>
        <w:rPr>
          <w:rFonts w:ascii="Times New Roman" w:hAnsi="Times New Roman" w:cs="Times New Roman"/>
          <w:b/>
          <w:bCs/>
          <w:i/>
          <w:iCs/>
          <w:sz w:val="28"/>
          <w:szCs w:val="28"/>
        </w:rPr>
        <w:t xml:space="preserve">Politics and Ideology                             </w:t>
      </w:r>
    </w:p>
    <w:p w14:paraId="610B936A" w14:textId="77777777" w:rsidR="00B10FA3" w:rsidRPr="0060319A" w:rsidRDefault="00B10FA3" w:rsidP="007607BC">
      <w:pPr>
        <w:spacing w:line="480" w:lineRule="auto"/>
        <w:ind w:left="284" w:right="284"/>
        <w:rPr>
          <w:rFonts w:ascii="Times New Roman" w:hAnsi="Times New Roman" w:cs="Times New Roman"/>
        </w:rPr>
      </w:pPr>
      <w:r>
        <w:rPr>
          <w:rFonts w:ascii="Times New Roman" w:hAnsi="Times New Roman" w:cs="Times New Roman"/>
          <w:sz w:val="28"/>
          <w:szCs w:val="28"/>
        </w:rPr>
        <w:t xml:space="preserve">    </w:t>
      </w:r>
      <w:r>
        <w:rPr>
          <w:rFonts w:ascii="Times New Roman" w:hAnsi="Times New Roman" w:cs="Times New Roman"/>
        </w:rPr>
        <w:t xml:space="preserve">The House and Senate have been designed differently, in the effort to provide counterbalancing functions within the body politic – but, in the end, they are exactly equal in the lawmaking process. No bill passes to the President that has not been agreed to </w:t>
      </w:r>
      <w:r>
        <w:rPr>
          <w:rFonts w:ascii="Times New Roman" w:hAnsi="Times New Roman" w:cs="Times New Roman"/>
          <w:i/>
          <w:iCs/>
        </w:rPr>
        <w:t>by the letter</w:t>
      </w:r>
      <w:r>
        <w:rPr>
          <w:rFonts w:ascii="Times New Roman" w:hAnsi="Times New Roman" w:cs="Times New Roman"/>
        </w:rPr>
        <w:t xml:space="preserve"> of both the House and Senate. In this sense, both chambers share 50/50 lawmaking power. </w:t>
      </w:r>
    </w:p>
    <w:p w14:paraId="14232E37" w14:textId="23BA0C4A" w:rsidR="00B10FA3" w:rsidRDefault="00B10FA3" w:rsidP="0052468C">
      <w:pPr>
        <w:spacing w:line="480" w:lineRule="auto"/>
        <w:ind w:left="284" w:right="284"/>
        <w:rPr>
          <w:rFonts w:ascii="Times New Roman" w:hAnsi="Times New Roman" w:cs="Times New Roman"/>
        </w:rPr>
      </w:pPr>
      <w:r>
        <w:rPr>
          <w:rFonts w:ascii="Times New Roman" w:hAnsi="Times New Roman" w:cs="Times New Roman"/>
        </w:rPr>
        <w:lastRenderedPageBreak/>
        <w:t xml:space="preserve">     Ideologically, American conservatism in 2024 is a special and peculiar creature, and it embodies many contradictory characteristics. It exhibits fear of the foreign, both literal and symbolic. Feminism and racial minorities are held at an arm</w:t>
      </w:r>
      <w:r w:rsidR="004C5DD5">
        <w:rPr>
          <w:rFonts w:ascii="Times New Roman" w:hAnsi="Times New Roman" w:cs="Times New Roman"/>
        </w:rPr>
        <w:t>’</w:t>
      </w:r>
      <w:r>
        <w:rPr>
          <w:rFonts w:ascii="Times New Roman" w:hAnsi="Times New Roman" w:cs="Times New Roman"/>
        </w:rPr>
        <w:t>s length, as are non-conventional sexual categories. At the same time, modern conservatism flirts with authoritarian forms of political leadership, and finds peace with disinformation as a political tool. E. J. Dionne writes that “since the 1980s, American politics has been held hostage to conservatism’s impasse and liberalism’s failures. The result has been immobility in government.”</w:t>
      </w:r>
      <w:r>
        <w:rPr>
          <w:rStyle w:val="FootnoteReference"/>
          <w:rFonts w:ascii="Times New Roman" w:hAnsi="Times New Roman" w:cs="Times New Roman"/>
        </w:rPr>
        <w:footnoteReference w:id="32"/>
      </w:r>
      <w:r>
        <w:rPr>
          <w:rFonts w:ascii="Times New Roman" w:hAnsi="Times New Roman" w:cs="Times New Roman"/>
        </w:rPr>
        <w:t xml:space="preserve"> His point is that American politics has, of late, been reduced to the symbolic, at the expense of the substantive. As a result, both liberalism and conservatism have let the body politic down.</w:t>
      </w:r>
    </w:p>
    <w:p w14:paraId="24B0AC41" w14:textId="77777777" w:rsidR="00B10FA3" w:rsidRDefault="00B10FA3" w:rsidP="007607BC">
      <w:pPr>
        <w:spacing w:line="480" w:lineRule="auto"/>
        <w:ind w:left="284" w:right="284"/>
        <w:rPr>
          <w:rFonts w:ascii="Times New Roman" w:hAnsi="Times New Roman" w:cs="Times New Roman"/>
        </w:rPr>
      </w:pPr>
      <w:r>
        <w:rPr>
          <w:rFonts w:ascii="Times New Roman" w:hAnsi="Times New Roman" w:cs="Times New Roman"/>
        </w:rPr>
        <w:t xml:space="preserve">     When examining the American body politic, it is necessary – I would say essential – to distinguish between ‘official’ Washington and ‘actual’ DC. They are as different as Santa Claus and a home invader. Washington, DC is not a sentimental place. It is a cut throat, hard scrabble venue for the expression of talent, but more likely loyalty, towards goals that are rarely, if ever stated. Know first that members of the House are hugely dependent on their staffs. In Washington, the press is often referred to as the 4</w:t>
      </w:r>
      <w:r w:rsidRPr="00137B15">
        <w:rPr>
          <w:rFonts w:ascii="Times New Roman" w:hAnsi="Times New Roman" w:cs="Times New Roman"/>
          <w:vertAlign w:val="superscript"/>
        </w:rPr>
        <w:t>th</w:t>
      </w:r>
      <w:r>
        <w:rPr>
          <w:rFonts w:ascii="Times New Roman" w:hAnsi="Times New Roman" w:cs="Times New Roman"/>
        </w:rPr>
        <w:t xml:space="preserve"> branch of government. I would disagree. Congressional staff fill that role, and the press is a distant 5</w:t>
      </w:r>
      <w:r w:rsidRPr="00137B15">
        <w:rPr>
          <w:rFonts w:ascii="Times New Roman" w:hAnsi="Times New Roman" w:cs="Times New Roman"/>
          <w:vertAlign w:val="superscript"/>
        </w:rPr>
        <w:t>th</w:t>
      </w:r>
      <w:r>
        <w:rPr>
          <w:rFonts w:ascii="Times New Roman" w:hAnsi="Times New Roman" w:cs="Times New Roman"/>
        </w:rPr>
        <w:t xml:space="preserve">. Staff define the member of Congress; they provide him/her with issue briefs, talking points, statistics and strategies for preventing a challenger in the next primary. </w:t>
      </w:r>
    </w:p>
    <w:p w14:paraId="28CCFCE7" w14:textId="77777777" w:rsidR="00B10FA3" w:rsidRDefault="00B10FA3" w:rsidP="007607BC">
      <w:pPr>
        <w:spacing w:line="480" w:lineRule="auto"/>
        <w:ind w:left="284" w:right="284"/>
        <w:rPr>
          <w:rFonts w:ascii="Times New Roman" w:hAnsi="Times New Roman" w:cs="Times New Roman"/>
        </w:rPr>
      </w:pPr>
      <w:r>
        <w:rPr>
          <w:rFonts w:ascii="Times New Roman" w:hAnsi="Times New Roman" w:cs="Times New Roman"/>
        </w:rPr>
        <w:t xml:space="preserve">    Bills emerge from committees and become law, but it is generally not the member of Congress who authors – or even reads - the bill. Nameless congressional staff wield extraordinary power, in both the everyday office functions, such as correspondence with constituents, and in the legislative realm, where they are the true foot soldiers. </w:t>
      </w:r>
    </w:p>
    <w:p w14:paraId="5B0EE1BD" w14:textId="77777777" w:rsidR="00B10FA3" w:rsidRDefault="00B10FA3" w:rsidP="0052468C">
      <w:pPr>
        <w:spacing w:line="480" w:lineRule="auto"/>
        <w:ind w:left="284" w:right="284"/>
        <w:rPr>
          <w:rFonts w:ascii="Times New Roman" w:hAnsi="Times New Roman" w:cs="Times New Roman"/>
        </w:rPr>
      </w:pPr>
      <w:r>
        <w:rPr>
          <w:rFonts w:ascii="Times New Roman" w:hAnsi="Times New Roman" w:cs="Times New Roman"/>
        </w:rPr>
        <w:lastRenderedPageBreak/>
        <w:t xml:space="preserve">     Now, the media is a force in its own right – far from inconsequential. But it has to be understood, according to its place in DC. In the first place there is no ‘media,’ per se. The major outlets are corporate; they may lean a little left or a little right, but they know who pays the bills in the end. Fox News is an exception to this rule; Fox is an explicitly partisan, propaganda network, devoted to several ideological precepts, such as lowering taxes for high earners, restricting rights for certain ‘out’ groups, and paying homage to constituencies that claim to be religious, conservative and traditional. But make no mistake, their goals differ markedly from their statements.</w:t>
      </w:r>
    </w:p>
    <w:p w14:paraId="64F6F5DC" w14:textId="77777777" w:rsidR="00B10FA3" w:rsidRPr="009D4B52" w:rsidRDefault="00B10FA3" w:rsidP="007607BC">
      <w:pPr>
        <w:spacing w:line="480" w:lineRule="auto"/>
        <w:ind w:left="284" w:right="284"/>
        <w:rPr>
          <w:rFonts w:ascii="Times New Roman" w:hAnsi="Times New Roman" w:cs="Times New Roman"/>
        </w:rPr>
      </w:pPr>
      <w:r>
        <w:rPr>
          <w:rFonts w:ascii="Times New Roman" w:hAnsi="Times New Roman" w:cs="Times New Roman"/>
        </w:rPr>
        <w:t xml:space="preserve">      There is also the ‘outside’ media, which provides a bit more interpretive latitude of modern events. </w:t>
      </w:r>
      <w:r w:rsidRPr="00932844">
        <w:rPr>
          <w:rFonts w:ascii="Times New Roman" w:hAnsi="Times New Roman" w:cs="Times New Roman"/>
          <w:i/>
          <w:iCs/>
        </w:rPr>
        <w:t>Mother Jones</w:t>
      </w:r>
      <w:r>
        <w:rPr>
          <w:rFonts w:ascii="Times New Roman" w:hAnsi="Times New Roman" w:cs="Times New Roman"/>
          <w:i/>
          <w:iCs/>
        </w:rPr>
        <w:t>, The Nation</w:t>
      </w:r>
      <w:r>
        <w:rPr>
          <w:rFonts w:ascii="Times New Roman" w:hAnsi="Times New Roman" w:cs="Times New Roman"/>
        </w:rPr>
        <w:t xml:space="preserve">, on the left, and perhaps </w:t>
      </w:r>
      <w:r>
        <w:rPr>
          <w:rFonts w:ascii="Times New Roman" w:hAnsi="Times New Roman" w:cs="Times New Roman"/>
          <w:i/>
          <w:iCs/>
        </w:rPr>
        <w:t>The Economist, The Drudge Report, or</w:t>
      </w:r>
      <w:r>
        <w:rPr>
          <w:rFonts w:ascii="Times New Roman" w:hAnsi="Times New Roman" w:cs="Times New Roman"/>
        </w:rPr>
        <w:t xml:space="preserve"> </w:t>
      </w:r>
      <w:r>
        <w:rPr>
          <w:rFonts w:ascii="Times New Roman" w:hAnsi="Times New Roman" w:cs="Times New Roman"/>
          <w:i/>
          <w:iCs/>
        </w:rPr>
        <w:t xml:space="preserve">Breitbart </w:t>
      </w:r>
      <w:r>
        <w:rPr>
          <w:rFonts w:ascii="Times New Roman" w:hAnsi="Times New Roman" w:cs="Times New Roman"/>
        </w:rPr>
        <w:t>could represent the right, or at least elements of it.</w:t>
      </w:r>
    </w:p>
    <w:p w14:paraId="7142EFD5" w14:textId="77777777" w:rsidR="00B10FA3" w:rsidRDefault="00B10FA3" w:rsidP="007607BC">
      <w:pPr>
        <w:spacing w:line="480" w:lineRule="auto"/>
        <w:ind w:left="284" w:right="284"/>
        <w:rPr>
          <w:rFonts w:ascii="Times New Roman" w:hAnsi="Times New Roman" w:cs="Times New Roman"/>
        </w:rPr>
      </w:pPr>
      <w:r>
        <w:rPr>
          <w:rFonts w:ascii="Times New Roman" w:hAnsi="Times New Roman" w:cs="Times New Roman"/>
        </w:rPr>
        <w:t xml:space="preserve">     Importantly, it must be again mentioned that there is rarely, if ever, a </w:t>
      </w:r>
      <w:r>
        <w:rPr>
          <w:rFonts w:ascii="Times New Roman" w:hAnsi="Times New Roman" w:cs="Times New Roman"/>
          <w:i/>
          <w:iCs/>
        </w:rPr>
        <w:t>Scooby Doo</w:t>
      </w:r>
      <w:r>
        <w:rPr>
          <w:rFonts w:ascii="Times New Roman" w:hAnsi="Times New Roman" w:cs="Times New Roman"/>
        </w:rPr>
        <w:t xml:space="preserve"> moment in American politics on Capitol Hill. What I mean by that is the moment, during which an accused both confesses, and congratulates his investigators: “I would have gotten away with it too if it wasn’t for those meddling kids.” Sleaze on Capitol Hill, even demonstrably obvious, is denied to the grave. And with success. Richard Nixon never admitted to any wrongdoing – nor did his corrupt Vice President Spiro Agnew. In Washington, the money is on the </w:t>
      </w:r>
      <w:r w:rsidRPr="0052468C">
        <w:rPr>
          <w:rFonts w:ascii="Times New Roman" w:hAnsi="Times New Roman" w:cs="Times New Roman"/>
          <w:i/>
          <w:iCs/>
        </w:rPr>
        <w:t>long game</w:t>
      </w:r>
      <w:r>
        <w:rPr>
          <w:rFonts w:ascii="Times New Roman" w:hAnsi="Times New Roman" w:cs="Times New Roman"/>
        </w:rPr>
        <w:t xml:space="preserve"> – what the public will remember and what they will reference at future times. </w:t>
      </w:r>
    </w:p>
    <w:p w14:paraId="4A1B7CB5" w14:textId="0702B900" w:rsidR="00B10FA3" w:rsidRDefault="00B10FA3" w:rsidP="006E0A5D">
      <w:pPr>
        <w:spacing w:line="480" w:lineRule="auto"/>
        <w:ind w:left="284" w:right="284"/>
        <w:rPr>
          <w:rFonts w:ascii="Times New Roman" w:hAnsi="Times New Roman" w:cs="Times New Roman"/>
        </w:rPr>
      </w:pPr>
      <w:r>
        <w:rPr>
          <w:rFonts w:ascii="Times New Roman" w:hAnsi="Times New Roman" w:cs="Times New Roman"/>
        </w:rPr>
        <w:t xml:space="preserve">     When examining the American body politic, it is necessary – I would say essential – to distinguish between ‘official’ Washington and ‘actual’ DC. They are as different as Santa Claus and a home invader.  A</w:t>
      </w:r>
      <w:r w:rsidR="004C5DD5">
        <w:rPr>
          <w:rFonts w:ascii="Times New Roman" w:hAnsi="Times New Roman" w:cs="Times New Roman"/>
        </w:rPr>
        <w:t>nd all activity</w:t>
      </w:r>
      <w:r>
        <w:rPr>
          <w:rFonts w:ascii="Times New Roman" w:hAnsi="Times New Roman" w:cs="Times New Roman"/>
        </w:rPr>
        <w:t xml:space="preserve"> takes place in a public veneer of comity, professionalism and decorum. </w:t>
      </w:r>
    </w:p>
    <w:p w14:paraId="1B8BFFD3" w14:textId="77777777" w:rsidR="00B10FA3" w:rsidRDefault="00B10FA3" w:rsidP="006E0A5D">
      <w:pPr>
        <w:spacing w:line="480" w:lineRule="auto"/>
        <w:ind w:left="284" w:right="284"/>
        <w:rPr>
          <w:rFonts w:ascii="Times New Roman" w:hAnsi="Times New Roman" w:cs="Times New Roman"/>
        </w:rPr>
      </w:pPr>
      <w:r>
        <w:rPr>
          <w:rFonts w:ascii="Times New Roman" w:hAnsi="Times New Roman" w:cs="Times New Roman"/>
        </w:rPr>
        <w:t>Don’t believe a word of it.</w:t>
      </w:r>
    </w:p>
    <w:p w14:paraId="64E213D9" w14:textId="77777777" w:rsidR="00B10FA3" w:rsidRDefault="00B10FA3" w:rsidP="006E0A5D">
      <w:pPr>
        <w:spacing w:line="480" w:lineRule="auto"/>
        <w:ind w:left="284" w:right="284"/>
        <w:rPr>
          <w:rFonts w:ascii="Times New Roman" w:hAnsi="Times New Roman" w:cs="Times New Roman"/>
        </w:rPr>
      </w:pPr>
      <w:r>
        <w:rPr>
          <w:rFonts w:ascii="Times New Roman" w:hAnsi="Times New Roman" w:cs="Times New Roman"/>
        </w:rPr>
        <w:lastRenderedPageBreak/>
        <w:t xml:space="preserve">      Know first that members of the House are hugely dependent on their staffs. In Washington, the press is often referred to as the 4</w:t>
      </w:r>
      <w:r w:rsidRPr="00137B15">
        <w:rPr>
          <w:rFonts w:ascii="Times New Roman" w:hAnsi="Times New Roman" w:cs="Times New Roman"/>
          <w:vertAlign w:val="superscript"/>
        </w:rPr>
        <w:t>th</w:t>
      </w:r>
      <w:r>
        <w:rPr>
          <w:rFonts w:ascii="Times New Roman" w:hAnsi="Times New Roman" w:cs="Times New Roman"/>
        </w:rPr>
        <w:t xml:space="preserve"> branch of government. I would disagree. Congressional staff fill that role, and the press is a distant 5</w:t>
      </w:r>
      <w:r w:rsidRPr="00137B15">
        <w:rPr>
          <w:rFonts w:ascii="Times New Roman" w:hAnsi="Times New Roman" w:cs="Times New Roman"/>
          <w:vertAlign w:val="superscript"/>
        </w:rPr>
        <w:t>th</w:t>
      </w:r>
      <w:r>
        <w:rPr>
          <w:rFonts w:ascii="Times New Roman" w:hAnsi="Times New Roman" w:cs="Times New Roman"/>
        </w:rPr>
        <w:t xml:space="preserve">. Staff define the member of Congress; they provide him/her with issue briefs, talking points, statistics and strategies for preventing a challenger in the next primary. </w:t>
      </w:r>
    </w:p>
    <w:p w14:paraId="50204FA3" w14:textId="77777777" w:rsidR="00B10FA3" w:rsidRDefault="00B10FA3" w:rsidP="006E0A5D">
      <w:pPr>
        <w:spacing w:line="480" w:lineRule="auto"/>
        <w:ind w:left="284" w:right="284"/>
        <w:rPr>
          <w:rFonts w:ascii="Times New Roman" w:hAnsi="Times New Roman" w:cs="Times New Roman"/>
        </w:rPr>
      </w:pPr>
      <w:r>
        <w:rPr>
          <w:rFonts w:ascii="Times New Roman" w:hAnsi="Times New Roman" w:cs="Times New Roman"/>
        </w:rPr>
        <w:t xml:space="preserve">    Bills emerge from committees and become law, but it is generally not the member of Congress who authors – or even reads - the bill. Nameless congressional staff wield extraordinary power, in both the everyday office functions, such as correspondence with constituents, and in the legislative realm, where they are the true foot soldiers. </w:t>
      </w:r>
    </w:p>
    <w:p w14:paraId="029BF7F6" w14:textId="77777777" w:rsidR="00B10FA3" w:rsidRDefault="00B10FA3" w:rsidP="0051339F">
      <w:pPr>
        <w:spacing w:line="480" w:lineRule="auto"/>
        <w:ind w:left="284" w:right="284"/>
        <w:rPr>
          <w:rFonts w:ascii="Times New Roman" w:hAnsi="Times New Roman" w:cs="Times New Roman"/>
        </w:rPr>
      </w:pPr>
      <w:r>
        <w:rPr>
          <w:rFonts w:ascii="Times New Roman" w:hAnsi="Times New Roman" w:cs="Times New Roman"/>
        </w:rPr>
        <w:t xml:space="preserve">     Now, the media is a force in its own right – far from inconsequential. But it has to be understood, according to its place in DC. In the first place there is no ‘media,’ per se. The major outlets are corporate; they may lean a little left or a little right, but they know who pays the bills in the end. Fox News is an exception to this rule; Fox is an explicitly partisan, propaganda network, devoted to several ideological precepts, such as lowering taxes for high earners, restricting rights for certain ‘out’ groups, and paying homage to constituencies that claim to be religious, conservative and traditional. But make no mistake, their goals differ markedly from their statements.</w:t>
      </w:r>
    </w:p>
    <w:p w14:paraId="34844061" w14:textId="77777777" w:rsidR="00B10FA3" w:rsidRDefault="00B10FA3" w:rsidP="006E0A5D">
      <w:pPr>
        <w:spacing w:line="480" w:lineRule="auto"/>
        <w:ind w:left="284" w:right="284"/>
        <w:rPr>
          <w:rFonts w:ascii="Times New Roman" w:hAnsi="Times New Roman" w:cs="Times New Roman"/>
        </w:rPr>
      </w:pPr>
      <w:r>
        <w:rPr>
          <w:rFonts w:ascii="Times New Roman" w:hAnsi="Times New Roman" w:cs="Times New Roman"/>
        </w:rPr>
        <w:t xml:space="preserve">      There is also the ‘outside’ media, which provides a bit more interpretive latitude of modern events. </w:t>
      </w:r>
      <w:r w:rsidRPr="00932844">
        <w:rPr>
          <w:rFonts w:ascii="Times New Roman" w:hAnsi="Times New Roman" w:cs="Times New Roman"/>
          <w:i/>
          <w:iCs/>
        </w:rPr>
        <w:t>Mother Jones</w:t>
      </w:r>
      <w:r>
        <w:rPr>
          <w:rFonts w:ascii="Times New Roman" w:hAnsi="Times New Roman" w:cs="Times New Roman"/>
          <w:i/>
          <w:iCs/>
        </w:rPr>
        <w:t>, The Nation</w:t>
      </w:r>
      <w:r>
        <w:rPr>
          <w:rFonts w:ascii="Times New Roman" w:hAnsi="Times New Roman" w:cs="Times New Roman"/>
        </w:rPr>
        <w:t xml:space="preserve">, on the left, and perhaps </w:t>
      </w:r>
      <w:r>
        <w:rPr>
          <w:rFonts w:ascii="Times New Roman" w:hAnsi="Times New Roman" w:cs="Times New Roman"/>
          <w:i/>
          <w:iCs/>
        </w:rPr>
        <w:t>The Economist, The Drudge Report, or</w:t>
      </w:r>
      <w:r>
        <w:rPr>
          <w:rFonts w:ascii="Times New Roman" w:hAnsi="Times New Roman" w:cs="Times New Roman"/>
        </w:rPr>
        <w:t xml:space="preserve"> </w:t>
      </w:r>
      <w:r>
        <w:rPr>
          <w:rFonts w:ascii="Times New Roman" w:hAnsi="Times New Roman" w:cs="Times New Roman"/>
          <w:i/>
          <w:iCs/>
        </w:rPr>
        <w:t xml:space="preserve">Breitbart </w:t>
      </w:r>
      <w:r>
        <w:rPr>
          <w:rFonts w:ascii="Times New Roman" w:hAnsi="Times New Roman" w:cs="Times New Roman"/>
        </w:rPr>
        <w:t>could represent the right, or at least elements of it.</w:t>
      </w:r>
    </w:p>
    <w:p w14:paraId="050CB21B" w14:textId="2555F5F0" w:rsidR="004B52EB" w:rsidRPr="009D4B52" w:rsidRDefault="004B52EB" w:rsidP="006E0A5D">
      <w:pPr>
        <w:spacing w:line="480" w:lineRule="auto"/>
        <w:ind w:left="284" w:right="284"/>
        <w:rPr>
          <w:rFonts w:ascii="Times New Roman" w:hAnsi="Times New Roman" w:cs="Times New Roman"/>
        </w:rPr>
      </w:pPr>
      <w:r>
        <w:rPr>
          <w:rFonts w:ascii="Times New Roman" w:hAnsi="Times New Roman" w:cs="Times New Roman"/>
        </w:rPr>
        <w:t xml:space="preserve">     Finally, there is the ‘news’ forum of social media, which is the wild west of the news cycle – ranging from insightful and renegade to reactionary, blatant lying. It’s all part of the same, wicked stew. And it is profoundly influential. </w:t>
      </w:r>
    </w:p>
    <w:p w14:paraId="50A6A2EE" w14:textId="77777777" w:rsidR="00B10FA3" w:rsidRDefault="00B10FA3" w:rsidP="006E0A5D">
      <w:pPr>
        <w:spacing w:line="480" w:lineRule="auto"/>
        <w:ind w:left="284" w:right="284"/>
        <w:rPr>
          <w:rFonts w:ascii="Times New Roman" w:hAnsi="Times New Roman" w:cs="Times New Roman"/>
        </w:rPr>
      </w:pPr>
      <w:r>
        <w:rPr>
          <w:rFonts w:ascii="Times New Roman" w:hAnsi="Times New Roman" w:cs="Times New Roman"/>
        </w:rPr>
        <w:lastRenderedPageBreak/>
        <w:t xml:space="preserve">     Importantly, it must be mentioned that there is rarely, if ever, a </w:t>
      </w:r>
      <w:r>
        <w:rPr>
          <w:rFonts w:ascii="Times New Roman" w:hAnsi="Times New Roman" w:cs="Times New Roman"/>
          <w:i/>
          <w:iCs/>
        </w:rPr>
        <w:t>Scooby Doo</w:t>
      </w:r>
      <w:r>
        <w:rPr>
          <w:rFonts w:ascii="Times New Roman" w:hAnsi="Times New Roman" w:cs="Times New Roman"/>
        </w:rPr>
        <w:t xml:space="preserve"> moment in American politics on Capitol Hill. What I mean by that is the moment, during which an accused both confesses, and congratulates his investigators: “I would have gotten away with it too if it wasn’t for those meddling kids.” Sleaze on Capitol Hill, even demonstrably obvious, is denied to the grave. And with success. Richard Nixon never admitted to any wrongdoing – nor did his corrupt Vice President Spiro Agnew. In Washington, the serious money is on the </w:t>
      </w:r>
      <w:r w:rsidRPr="00FE5F93">
        <w:rPr>
          <w:rFonts w:ascii="Times New Roman" w:hAnsi="Times New Roman" w:cs="Times New Roman"/>
          <w:i/>
          <w:iCs/>
        </w:rPr>
        <w:t>long game</w:t>
      </w:r>
      <w:r>
        <w:rPr>
          <w:rFonts w:ascii="Times New Roman" w:hAnsi="Times New Roman" w:cs="Times New Roman"/>
        </w:rPr>
        <w:t xml:space="preserve"> – what the public will remember and what they will reference at future times – which, if history is any indicator, is quite little.</w:t>
      </w:r>
    </w:p>
    <w:p w14:paraId="23C55F33" w14:textId="77777777" w:rsidR="00B10FA3" w:rsidRPr="00941DFA" w:rsidRDefault="00B10FA3" w:rsidP="006E0A5D">
      <w:pPr>
        <w:spacing w:line="480" w:lineRule="auto"/>
        <w:ind w:left="284" w:right="284"/>
        <w:rPr>
          <w:rFonts w:ascii="Times New Roman" w:hAnsi="Times New Roman" w:cs="Times New Roman"/>
        </w:rPr>
      </w:pPr>
    </w:p>
    <w:p w14:paraId="65E20017" w14:textId="77777777" w:rsidR="00B10FA3" w:rsidRDefault="00B10FA3">
      <w:pPr>
        <w:rPr>
          <w:b/>
          <w:bCs/>
          <w:i/>
          <w:iCs/>
        </w:rPr>
      </w:pPr>
    </w:p>
    <w:p w14:paraId="5297D817" w14:textId="7F761331" w:rsidR="00B10FA3" w:rsidRDefault="00B10FA3">
      <w:r>
        <w:t xml:space="preserve"> </w:t>
      </w:r>
    </w:p>
    <w:p w14:paraId="2649CE89" w14:textId="77777777" w:rsidR="00B10FA3" w:rsidRDefault="00B10FA3"/>
    <w:p w14:paraId="788531FC" w14:textId="77777777" w:rsidR="00B10FA3" w:rsidRDefault="00B10FA3"/>
    <w:p w14:paraId="28DB970B" w14:textId="77777777" w:rsidR="00B10FA3" w:rsidRDefault="00B10FA3"/>
    <w:p w14:paraId="0B3E5CA3" w14:textId="77777777" w:rsidR="00B10FA3" w:rsidRDefault="00B10FA3"/>
    <w:p w14:paraId="7C34A6B3" w14:textId="77777777" w:rsidR="00BB4438" w:rsidRDefault="00B10FA3">
      <w:r>
        <w:t xml:space="preserve">                                            </w:t>
      </w:r>
    </w:p>
    <w:p w14:paraId="1CFAC641" w14:textId="77777777" w:rsidR="00BB4438" w:rsidRDefault="00BB4438"/>
    <w:p w14:paraId="6AB9B15B" w14:textId="77777777" w:rsidR="00BB4438" w:rsidRDefault="00BB4438"/>
    <w:p w14:paraId="57081332" w14:textId="77777777" w:rsidR="00BB4438" w:rsidRDefault="00BB4438"/>
    <w:p w14:paraId="71F83757" w14:textId="77777777" w:rsidR="00BB4438" w:rsidRDefault="00BB4438"/>
    <w:p w14:paraId="12AF7667" w14:textId="77777777" w:rsidR="00BB4438" w:rsidRDefault="00BB4438"/>
    <w:p w14:paraId="62D93167" w14:textId="77777777" w:rsidR="00BB4438" w:rsidRDefault="00BB4438"/>
    <w:p w14:paraId="2EB65351" w14:textId="77777777" w:rsidR="00BB4438" w:rsidRDefault="00BB4438"/>
    <w:p w14:paraId="5EEA8D94" w14:textId="77777777" w:rsidR="00BB4438" w:rsidRDefault="00BB4438"/>
    <w:p w14:paraId="11175EB8" w14:textId="77777777" w:rsidR="00BB4438" w:rsidRDefault="00BB4438"/>
    <w:p w14:paraId="431C3D99" w14:textId="77777777" w:rsidR="00BB4438" w:rsidRDefault="00BB4438"/>
    <w:p w14:paraId="510111C1" w14:textId="77777777" w:rsidR="00BB4438" w:rsidRDefault="00BB4438"/>
    <w:p w14:paraId="4091BA35" w14:textId="77777777" w:rsidR="00BB4438" w:rsidRDefault="00BB4438"/>
    <w:p w14:paraId="163276C2" w14:textId="77777777" w:rsidR="00BB4438" w:rsidRDefault="00BB4438"/>
    <w:p w14:paraId="6416A7CC" w14:textId="77777777" w:rsidR="00BB4438" w:rsidRDefault="00BB4438"/>
    <w:p w14:paraId="7274924F" w14:textId="15B355C5" w:rsidR="00B10FA3" w:rsidRPr="004C66D8" w:rsidRDefault="00BB4438">
      <w:pPr>
        <w:rPr>
          <w:b/>
          <w:bCs/>
          <w:i/>
          <w:iCs/>
          <w:sz w:val="28"/>
          <w:szCs w:val="28"/>
        </w:rPr>
      </w:pPr>
      <w:r>
        <w:t xml:space="preserve">                                                  </w:t>
      </w:r>
      <w:r w:rsidR="00B10FA3">
        <w:t xml:space="preserve">              </w:t>
      </w:r>
      <w:r w:rsidR="00766826">
        <w:t xml:space="preserve"> </w:t>
      </w:r>
      <w:r w:rsidR="00B10FA3">
        <w:t xml:space="preserve">   </w:t>
      </w:r>
      <w:r w:rsidR="00B10FA3" w:rsidRPr="004C66D8">
        <w:rPr>
          <w:b/>
          <w:bCs/>
          <w:i/>
          <w:iCs/>
          <w:sz w:val="28"/>
          <w:szCs w:val="28"/>
        </w:rPr>
        <w:t>Chapter 3</w:t>
      </w:r>
    </w:p>
    <w:p w14:paraId="7D1DCA45" w14:textId="77777777" w:rsidR="00B10FA3" w:rsidRDefault="00B10FA3"/>
    <w:p w14:paraId="7AE5B6B8" w14:textId="1DC71298" w:rsidR="00B10FA3" w:rsidRPr="004C5DD5" w:rsidRDefault="00B10FA3">
      <w:pPr>
        <w:rPr>
          <w:b/>
          <w:bCs/>
          <w:i/>
          <w:iCs/>
          <w:sz w:val="32"/>
          <w:szCs w:val="32"/>
        </w:rPr>
      </w:pPr>
      <w:r>
        <w:t xml:space="preserve">                        </w:t>
      </w:r>
      <w:r>
        <w:tab/>
        <w:t xml:space="preserve">           </w:t>
      </w:r>
      <w:r>
        <w:tab/>
        <w:t xml:space="preserve">          </w:t>
      </w:r>
      <w:r w:rsidR="00C37DB7">
        <w:t xml:space="preserve">      </w:t>
      </w:r>
      <w:r w:rsidR="00766826">
        <w:t xml:space="preserve"> </w:t>
      </w:r>
      <w:r w:rsidR="00C37DB7">
        <w:t xml:space="preserve"> </w:t>
      </w:r>
      <w:r w:rsidRPr="004C5DD5">
        <w:rPr>
          <w:b/>
          <w:bCs/>
          <w:i/>
          <w:iCs/>
          <w:sz w:val="32"/>
          <w:szCs w:val="32"/>
        </w:rPr>
        <w:t>American Myths</w:t>
      </w:r>
    </w:p>
    <w:p w14:paraId="599FA236" w14:textId="77777777" w:rsidR="00B10FA3" w:rsidRDefault="00B10FA3">
      <w:pPr>
        <w:rPr>
          <w:b/>
          <w:bCs/>
        </w:rPr>
      </w:pPr>
    </w:p>
    <w:p w14:paraId="236D64D1" w14:textId="77777777" w:rsidR="00B10FA3" w:rsidRDefault="00B10FA3" w:rsidP="007D50C4">
      <w:pPr>
        <w:pStyle w:val="single-quote"/>
        <w:ind w:left="2268" w:right="2268"/>
        <w:rPr>
          <w:i/>
          <w:iCs/>
          <w:sz w:val="22"/>
          <w:szCs w:val="22"/>
        </w:rPr>
      </w:pPr>
    </w:p>
    <w:p w14:paraId="36C17294" w14:textId="77777777" w:rsidR="00B10FA3" w:rsidRDefault="00B10FA3" w:rsidP="007D50C4">
      <w:pPr>
        <w:pStyle w:val="single-quote"/>
        <w:ind w:left="2268" w:right="2268"/>
        <w:rPr>
          <w:i/>
          <w:iCs/>
          <w:sz w:val="22"/>
          <w:szCs w:val="22"/>
        </w:rPr>
      </w:pPr>
    </w:p>
    <w:p w14:paraId="36556AA3" w14:textId="77777777" w:rsidR="00B10FA3" w:rsidRPr="00050C54" w:rsidRDefault="00B10FA3" w:rsidP="007D50C4">
      <w:pPr>
        <w:pStyle w:val="single-quote"/>
        <w:ind w:left="2268" w:right="2268"/>
        <w:rPr>
          <w:i/>
          <w:iCs/>
          <w:sz w:val="22"/>
          <w:szCs w:val="22"/>
        </w:rPr>
      </w:pPr>
      <w:r w:rsidRPr="00050C54">
        <w:rPr>
          <w:i/>
          <w:iCs/>
          <w:sz w:val="22"/>
          <w:szCs w:val="22"/>
        </w:rPr>
        <w:t>The American myth is of free will in its simple, primary sense. One can choose oneself and will oneself; and this absurdly optimistic assumption so dominates the republic that it has bred all its gross social injustices.</w:t>
      </w:r>
    </w:p>
    <w:p w14:paraId="05E8C503" w14:textId="77777777" w:rsidR="00B10FA3" w:rsidRDefault="00B10FA3" w:rsidP="007D50C4">
      <w:pPr>
        <w:pStyle w:val="single-quote"/>
        <w:ind w:left="2268" w:right="2268"/>
        <w:rPr>
          <w:i/>
          <w:iCs/>
          <w:sz w:val="22"/>
          <w:szCs w:val="22"/>
        </w:rPr>
      </w:pPr>
      <w:r w:rsidRPr="00050C54">
        <w:rPr>
          <w:i/>
          <w:iCs/>
          <w:sz w:val="22"/>
          <w:szCs w:val="22"/>
        </w:rPr>
        <w:t>---John Fowles</w:t>
      </w:r>
    </w:p>
    <w:p w14:paraId="4DDAB6BE" w14:textId="77777777" w:rsidR="00B10FA3" w:rsidRPr="00050C54" w:rsidRDefault="00B10FA3" w:rsidP="007D50C4">
      <w:pPr>
        <w:pStyle w:val="single-quote"/>
        <w:ind w:left="2268" w:right="2268"/>
        <w:rPr>
          <w:i/>
          <w:iCs/>
          <w:sz w:val="22"/>
          <w:szCs w:val="22"/>
        </w:rPr>
      </w:pPr>
    </w:p>
    <w:p w14:paraId="5AA168C5" w14:textId="77777777" w:rsidR="00B10FA3" w:rsidRDefault="00B10FA3" w:rsidP="007D50C4">
      <w:pPr>
        <w:pStyle w:val="single-quote"/>
        <w:ind w:left="2268" w:right="2268"/>
        <w:rPr>
          <w:i/>
          <w:iCs/>
          <w:sz w:val="22"/>
          <w:szCs w:val="22"/>
        </w:rPr>
      </w:pPr>
      <w:r>
        <w:rPr>
          <w:i/>
          <w:iCs/>
          <w:sz w:val="22"/>
          <w:szCs w:val="22"/>
        </w:rPr>
        <w:t>M</w:t>
      </w:r>
      <w:r w:rsidRPr="00050C54">
        <w:rPr>
          <w:i/>
          <w:iCs/>
          <w:sz w:val="22"/>
          <w:szCs w:val="22"/>
        </w:rPr>
        <w:t xml:space="preserve">ix epic individualism with extreme religion; mix show business with everything else; let all that steep and simmer for a few centuries; run it through the anything-goes 1960s and the Internet age; the result is the America we inhabit today, where reality and fantasy are weirdly and dangerously blurred and commingled.” </w:t>
      </w:r>
    </w:p>
    <w:p w14:paraId="7D3D2DEC" w14:textId="77777777" w:rsidR="00B10FA3" w:rsidRPr="00050C54" w:rsidRDefault="00B10FA3" w:rsidP="007D50C4">
      <w:pPr>
        <w:pStyle w:val="single-quote"/>
        <w:ind w:left="2268" w:right="2268"/>
        <w:rPr>
          <w:i/>
          <w:iCs/>
          <w:sz w:val="22"/>
          <w:szCs w:val="22"/>
        </w:rPr>
      </w:pPr>
      <w:r w:rsidRPr="00050C54">
        <w:rPr>
          <w:i/>
          <w:iCs/>
          <w:sz w:val="22"/>
          <w:szCs w:val="22"/>
        </w:rPr>
        <w:br/>
        <w:t xml:space="preserve">― </w:t>
      </w:r>
      <w:r w:rsidRPr="00050C54">
        <w:rPr>
          <w:rStyle w:val="authorortitle"/>
          <w:i/>
          <w:iCs/>
          <w:sz w:val="22"/>
          <w:szCs w:val="22"/>
        </w:rPr>
        <w:t xml:space="preserve">Kurt </w:t>
      </w:r>
      <w:r>
        <w:rPr>
          <w:rStyle w:val="authorortitle"/>
          <w:i/>
          <w:iCs/>
          <w:sz w:val="22"/>
          <w:szCs w:val="22"/>
        </w:rPr>
        <w:t>Andersen</w:t>
      </w:r>
    </w:p>
    <w:p w14:paraId="2F17A734" w14:textId="77777777" w:rsidR="00B10FA3" w:rsidRPr="007D50C4" w:rsidRDefault="00B10FA3" w:rsidP="007D50C4">
      <w:pPr>
        <w:spacing w:line="240" w:lineRule="auto"/>
        <w:ind w:left="2268" w:right="2268"/>
        <w:rPr>
          <w:i/>
          <w:iCs/>
          <w:sz w:val="18"/>
          <w:szCs w:val="18"/>
        </w:rPr>
      </w:pPr>
    </w:p>
    <w:p w14:paraId="39764218" w14:textId="77777777" w:rsidR="00B10FA3" w:rsidRDefault="00B10FA3">
      <w:pPr>
        <w:rPr>
          <w:b/>
          <w:bCs/>
        </w:rPr>
      </w:pPr>
    </w:p>
    <w:p w14:paraId="08D26225" w14:textId="77777777" w:rsidR="00B10FA3" w:rsidRDefault="00B10FA3">
      <w:pPr>
        <w:rPr>
          <w:b/>
          <w:bCs/>
        </w:rPr>
      </w:pPr>
    </w:p>
    <w:p w14:paraId="0A0BED9A" w14:textId="77777777" w:rsidR="00B10FA3" w:rsidRDefault="00B10FA3" w:rsidP="00252CDA">
      <w:pPr>
        <w:spacing w:line="480" w:lineRule="auto"/>
      </w:pPr>
    </w:p>
    <w:p w14:paraId="0CCD175C" w14:textId="7E5A191F" w:rsidR="00B10FA3" w:rsidRDefault="00B10FA3" w:rsidP="00252CDA">
      <w:pPr>
        <w:spacing w:line="480" w:lineRule="auto"/>
      </w:pPr>
    </w:p>
    <w:p w14:paraId="25D78828" w14:textId="5A8AA452" w:rsidR="00B10FA3" w:rsidRPr="00B5392A" w:rsidRDefault="00B10FA3" w:rsidP="00252CDA">
      <w:pPr>
        <w:spacing w:line="480" w:lineRule="auto"/>
        <w:rPr>
          <w:rFonts w:ascii="Times New Roman" w:hAnsi="Times New Roman" w:cs="Times New Roman"/>
        </w:rPr>
      </w:pPr>
      <w:r>
        <w:lastRenderedPageBreak/>
        <w:t xml:space="preserve">    </w:t>
      </w:r>
      <w:r w:rsidRPr="00B5392A">
        <w:rPr>
          <w:rFonts w:ascii="Times New Roman" w:hAnsi="Times New Roman" w:cs="Times New Roman"/>
        </w:rPr>
        <w:t>Every country, tribe, nation, family and individual pos</w:t>
      </w:r>
      <w:r w:rsidR="33C7B55B" w:rsidRPr="00B5392A">
        <w:rPr>
          <w:rFonts w:ascii="Times New Roman" w:hAnsi="Times New Roman" w:cs="Times New Roman"/>
        </w:rPr>
        <w:t>s</w:t>
      </w:r>
      <w:r w:rsidRPr="00B5392A">
        <w:rPr>
          <w:rFonts w:ascii="Times New Roman" w:hAnsi="Times New Roman" w:cs="Times New Roman"/>
        </w:rPr>
        <w:t xml:space="preserve">esses myths. Historic feats of bravery; standing up for the rights of the oppressed, relentless and fearless opposition to evil.  But the word “myth” is </w:t>
      </w:r>
      <w:r w:rsidR="6EC6F6B8" w:rsidRPr="00B5392A">
        <w:rPr>
          <w:rFonts w:ascii="Times New Roman" w:hAnsi="Times New Roman" w:cs="Times New Roman"/>
        </w:rPr>
        <w:t xml:space="preserve">itself </w:t>
      </w:r>
      <w:r w:rsidRPr="00B5392A">
        <w:rPr>
          <w:rFonts w:ascii="Times New Roman" w:hAnsi="Times New Roman" w:cs="Times New Roman"/>
        </w:rPr>
        <w:t xml:space="preserve">multifaceted and often misused. In colloquial usage, a myth is simply an untruth, something false that is believed. Myth, however, in the classical sense, explains that which cannot be explained – they are mysteries, archetypes, about who we are.                 </w:t>
      </w:r>
    </w:p>
    <w:p w14:paraId="588F2565" w14:textId="7CE63060" w:rsidR="00B10FA3" w:rsidRPr="00B5392A" w:rsidRDefault="00B10FA3" w:rsidP="00252CDA">
      <w:pPr>
        <w:spacing w:line="480" w:lineRule="auto"/>
        <w:rPr>
          <w:rFonts w:ascii="Times New Roman" w:hAnsi="Times New Roman" w:cs="Times New Roman"/>
          <w:color w:val="FF0000"/>
          <w:sz w:val="28"/>
          <w:szCs w:val="28"/>
        </w:rPr>
      </w:pPr>
      <w:r w:rsidRPr="00B5392A">
        <w:rPr>
          <w:rFonts w:ascii="Times New Roman" w:hAnsi="Times New Roman" w:cs="Times New Roman"/>
        </w:rPr>
        <w:t xml:space="preserve">     Joseph Campbell, the renowned academic who explored the richness of mythology in both the contemporary and classical world, once said that “God is a metaphor for that which transcends all of human experience. It is simple as that.”</w:t>
      </w:r>
      <w:r w:rsidR="0E311D1B" w:rsidRPr="00B5392A">
        <w:rPr>
          <w:rFonts w:ascii="Times New Roman" w:hAnsi="Times New Roman" w:cs="Times New Roman"/>
        </w:rPr>
        <w:t xml:space="preserve"> </w:t>
      </w:r>
      <w:r w:rsidRPr="00B5392A">
        <w:rPr>
          <w:rStyle w:val="FootnoteReference"/>
          <w:rFonts w:ascii="Times New Roman" w:hAnsi="Times New Roman" w:cs="Times New Roman"/>
        </w:rPr>
        <w:footnoteReference w:id="33"/>
      </w:r>
    </w:p>
    <w:p w14:paraId="069A7CBF" w14:textId="0D94E922" w:rsidR="00B10FA3" w:rsidRPr="00B5392A" w:rsidRDefault="00B10FA3" w:rsidP="00252CDA">
      <w:pPr>
        <w:spacing w:line="480" w:lineRule="auto"/>
        <w:rPr>
          <w:rFonts w:ascii="Times New Roman" w:hAnsi="Times New Roman" w:cs="Times New Roman"/>
        </w:rPr>
      </w:pPr>
      <w:r w:rsidRPr="00B5392A">
        <w:rPr>
          <w:rFonts w:ascii="Times New Roman" w:hAnsi="Times New Roman" w:cs="Times New Roman"/>
        </w:rPr>
        <w:t xml:space="preserve">           Myths are capable of change over time, shifting from generation to generation. Fundamentally, myths are the expressions of the archetypal experiences of our time on earth. They needn’t be “false” as it were (as is sometimes understood through the use of ‘myth’ in colloquial English), though sometimes they are fantastical or exaggerated. They can be an expression of the transcendent, or they might represent the signposts - or lessons - for an insightful existence. Myths might be archetypes of experience – of adventure and either success or failure, or they may serve as monuments to the past; to a golden age or a formative time.</w:t>
      </w:r>
    </w:p>
    <w:p w14:paraId="6FB051D3" w14:textId="77777777" w:rsidR="00B10FA3" w:rsidRPr="00B5392A" w:rsidRDefault="00B10FA3" w:rsidP="00252CDA">
      <w:pPr>
        <w:spacing w:line="480" w:lineRule="auto"/>
        <w:rPr>
          <w:rFonts w:ascii="Times New Roman" w:hAnsi="Times New Roman" w:cs="Times New Roman"/>
        </w:rPr>
      </w:pPr>
      <w:r w:rsidRPr="00B5392A">
        <w:rPr>
          <w:rFonts w:ascii="Times New Roman" w:hAnsi="Times New Roman" w:cs="Times New Roman"/>
        </w:rPr>
        <w:t xml:space="preserve">      What is key is that they provide an immediate point of reference for the identification of commonality, of shared purpose and meaning. Myths are both representations of </w:t>
      </w:r>
      <w:r w:rsidRPr="00B5392A">
        <w:rPr>
          <w:rFonts w:ascii="Times New Roman" w:hAnsi="Times New Roman" w:cs="Times New Roman"/>
          <w:i/>
          <w:iCs/>
        </w:rPr>
        <w:t xml:space="preserve">eternal meaning </w:t>
      </w:r>
      <w:r w:rsidRPr="00B5392A">
        <w:rPr>
          <w:rFonts w:ascii="Times New Roman" w:hAnsi="Times New Roman" w:cs="Times New Roman"/>
        </w:rPr>
        <w:t>and tools toward creating meaning, telling us who we are and how to discover who we might be.</w:t>
      </w:r>
    </w:p>
    <w:p w14:paraId="5A3FEC75" w14:textId="77777777" w:rsidR="00B10FA3" w:rsidRPr="00B5392A" w:rsidRDefault="00B10FA3" w:rsidP="00252CDA">
      <w:pPr>
        <w:spacing w:line="480" w:lineRule="auto"/>
        <w:rPr>
          <w:rFonts w:ascii="Times New Roman" w:hAnsi="Times New Roman" w:cs="Times New Roman"/>
        </w:rPr>
      </w:pPr>
      <w:r w:rsidRPr="00B5392A">
        <w:rPr>
          <w:rFonts w:ascii="Times New Roman" w:hAnsi="Times New Roman" w:cs="Times New Roman"/>
        </w:rPr>
        <w:t xml:space="preserve">          National myths are stories that carry significant cultural weight, and they relate to identity, history, glory and, often, power, based on a perceived national identity. For example, the imperial undertakings of the French and British in the 19</w:t>
      </w:r>
      <w:r w:rsidRPr="00B5392A">
        <w:rPr>
          <w:rFonts w:ascii="Times New Roman" w:hAnsi="Times New Roman" w:cs="Times New Roman"/>
          <w:vertAlign w:val="superscript"/>
        </w:rPr>
        <w:t>th</w:t>
      </w:r>
      <w:r w:rsidRPr="00B5392A">
        <w:rPr>
          <w:rFonts w:ascii="Times New Roman" w:hAnsi="Times New Roman" w:cs="Times New Roman"/>
        </w:rPr>
        <w:t xml:space="preserve"> century were driven and </w:t>
      </w:r>
      <w:r w:rsidRPr="00B5392A">
        <w:rPr>
          <w:rFonts w:ascii="Times New Roman" w:hAnsi="Times New Roman" w:cs="Times New Roman"/>
        </w:rPr>
        <w:lastRenderedPageBreak/>
        <w:t xml:space="preserve">justified by mythological notions (not to mention overt rhetorical overtures) of “democracy and cultural uplift” (Britain) and “the civilizing mission” (France). </w:t>
      </w:r>
    </w:p>
    <w:p w14:paraId="615F386B" w14:textId="5BE281FE" w:rsidR="00B10FA3" w:rsidRPr="00B5392A" w:rsidRDefault="00B10FA3" w:rsidP="00252CDA">
      <w:pPr>
        <w:spacing w:line="480" w:lineRule="auto"/>
        <w:rPr>
          <w:rFonts w:ascii="Times New Roman" w:hAnsi="Times New Roman" w:cs="Times New Roman"/>
        </w:rPr>
      </w:pPr>
      <w:r w:rsidRPr="00B5392A">
        <w:rPr>
          <w:rFonts w:ascii="Times New Roman" w:hAnsi="Times New Roman" w:cs="Times New Roman"/>
        </w:rPr>
        <w:t xml:space="preserve">      In the United States, the early myths revolved around the ideas of both </w:t>
      </w:r>
      <w:r w:rsidRPr="00B5392A">
        <w:rPr>
          <w:rFonts w:ascii="Times New Roman" w:hAnsi="Times New Roman" w:cs="Times New Roman"/>
          <w:i/>
          <w:iCs/>
        </w:rPr>
        <w:t>escape</w:t>
      </w:r>
      <w:r w:rsidRPr="00B5392A">
        <w:rPr>
          <w:rFonts w:ascii="Times New Roman" w:hAnsi="Times New Roman" w:cs="Times New Roman"/>
        </w:rPr>
        <w:t xml:space="preserve"> and of </w:t>
      </w:r>
      <w:r w:rsidRPr="00B5392A">
        <w:rPr>
          <w:rFonts w:ascii="Times New Roman" w:hAnsi="Times New Roman" w:cs="Times New Roman"/>
          <w:i/>
          <w:iCs/>
        </w:rPr>
        <w:t>exceptionalism</w:t>
      </w:r>
      <w:r w:rsidRPr="00B5392A">
        <w:rPr>
          <w:rFonts w:ascii="Times New Roman" w:hAnsi="Times New Roman" w:cs="Times New Roman"/>
        </w:rPr>
        <w:t xml:space="preserve">, conceptions that suggested that not only did American represent a “retreat” from the decadence of the Old World, but that it possessed positive meaning, represented by something unique, an experience discovered, something not before found in history. None have existed as we. The world starts with us: The “City on the Hill.” That is about as simple, and narcissistic as it sounds. One could argue that the myth of American exceptionalism has cost tens, if not hundreds of thousands of lives, all in the </w:t>
      </w:r>
      <w:r w:rsidR="00BE5AD6">
        <w:rPr>
          <w:rFonts w:ascii="Times New Roman" w:hAnsi="Times New Roman" w:cs="Times New Roman"/>
        </w:rPr>
        <w:t xml:space="preserve">colonial, imperial </w:t>
      </w:r>
      <w:r w:rsidRPr="00B5392A">
        <w:rPr>
          <w:rFonts w:ascii="Times New Roman" w:hAnsi="Times New Roman" w:cs="Times New Roman"/>
        </w:rPr>
        <w:t>interest of reaffirming an ideal.</w:t>
      </w:r>
      <w:r w:rsidRPr="00B5392A">
        <w:rPr>
          <w:rStyle w:val="FootnoteReference"/>
          <w:rFonts w:ascii="Times New Roman" w:hAnsi="Times New Roman" w:cs="Times New Roman"/>
        </w:rPr>
        <w:footnoteReference w:id="34"/>
      </w:r>
      <w:r w:rsidRPr="00B5392A">
        <w:rPr>
          <w:rFonts w:ascii="Times New Roman" w:hAnsi="Times New Roman" w:cs="Times New Roman"/>
        </w:rPr>
        <w:t xml:space="preserve"> </w:t>
      </w:r>
    </w:p>
    <w:p w14:paraId="1D043AA3" w14:textId="77777777" w:rsidR="00B10FA3" w:rsidRPr="00B5392A" w:rsidRDefault="00B10FA3" w:rsidP="00252CDA">
      <w:pPr>
        <w:spacing w:line="480" w:lineRule="auto"/>
        <w:rPr>
          <w:rFonts w:ascii="Times New Roman" w:hAnsi="Times New Roman" w:cs="Times New Roman"/>
        </w:rPr>
      </w:pPr>
      <w:r w:rsidRPr="00B5392A">
        <w:rPr>
          <w:rFonts w:ascii="Times New Roman" w:hAnsi="Times New Roman" w:cs="Times New Roman"/>
        </w:rPr>
        <w:t>But that’s for another book.</w:t>
      </w:r>
    </w:p>
    <w:p w14:paraId="0595319F" w14:textId="77777777" w:rsidR="00766826" w:rsidRPr="00B5392A" w:rsidRDefault="00766826" w:rsidP="00252CDA">
      <w:pPr>
        <w:spacing w:line="480" w:lineRule="auto"/>
        <w:rPr>
          <w:rFonts w:ascii="Times New Roman" w:hAnsi="Times New Roman" w:cs="Times New Roman"/>
        </w:rPr>
      </w:pPr>
    </w:p>
    <w:p w14:paraId="2B0299E2" w14:textId="77777777" w:rsidR="00B10FA3" w:rsidRPr="00B5392A" w:rsidRDefault="00B10FA3" w:rsidP="00252CDA">
      <w:pPr>
        <w:spacing w:line="480" w:lineRule="auto"/>
        <w:rPr>
          <w:rFonts w:ascii="Times New Roman" w:hAnsi="Times New Roman" w:cs="Times New Roman"/>
          <w:b/>
          <w:bCs/>
          <w:i/>
          <w:iCs/>
          <w:sz w:val="28"/>
          <w:szCs w:val="28"/>
        </w:rPr>
      </w:pPr>
      <w:r w:rsidRPr="00B5392A">
        <w:rPr>
          <w:rFonts w:ascii="Times New Roman" w:hAnsi="Times New Roman" w:cs="Times New Roman"/>
          <w:b/>
          <w:bCs/>
          <w:i/>
          <w:iCs/>
          <w:sz w:val="28"/>
          <w:szCs w:val="28"/>
        </w:rPr>
        <w:t>Myths of Exceptionalism &amp; Religion</w:t>
      </w:r>
    </w:p>
    <w:p w14:paraId="1DD640F4" w14:textId="77777777" w:rsidR="00B10FA3" w:rsidRPr="00B5392A" w:rsidRDefault="00B10FA3" w:rsidP="00252CDA">
      <w:pPr>
        <w:spacing w:line="480" w:lineRule="auto"/>
        <w:rPr>
          <w:rFonts w:ascii="Times New Roman" w:hAnsi="Times New Roman" w:cs="Times New Roman"/>
        </w:rPr>
      </w:pPr>
      <w:r w:rsidRPr="00B5392A">
        <w:rPr>
          <w:rFonts w:ascii="Times New Roman" w:hAnsi="Times New Roman" w:cs="Times New Roman"/>
        </w:rPr>
        <w:t xml:space="preserve">     Similarly, some of the earliest American myths were of decadence, of immaturity, even of primitivism of culture and population, with early scholars (some who had never set foot in N. America) holding that the people, wildlife and fauna were inferior to Europe.</w:t>
      </w:r>
      <w:r w:rsidRPr="00B5392A">
        <w:rPr>
          <w:rStyle w:val="FootnoteReference"/>
          <w:rFonts w:ascii="Times New Roman" w:hAnsi="Times New Roman" w:cs="Times New Roman"/>
        </w:rPr>
        <w:footnoteReference w:id="35"/>
      </w:r>
      <w:r w:rsidRPr="00B5392A">
        <w:rPr>
          <w:rFonts w:ascii="Times New Roman" w:hAnsi="Times New Roman" w:cs="Times New Roman"/>
        </w:rPr>
        <w:t xml:space="preserve"> In a sense, these ideas reflected more of a mythology of Europe, one could argue, than of America.</w:t>
      </w:r>
    </w:p>
    <w:p w14:paraId="3F869FEA" w14:textId="77777777" w:rsidR="00B10FA3" w:rsidRPr="00B5392A" w:rsidRDefault="00B10FA3" w:rsidP="00252CDA">
      <w:pPr>
        <w:spacing w:line="480" w:lineRule="auto"/>
        <w:rPr>
          <w:rFonts w:ascii="Times New Roman" w:hAnsi="Times New Roman" w:cs="Times New Roman"/>
        </w:rPr>
      </w:pPr>
      <w:r w:rsidRPr="00B5392A">
        <w:rPr>
          <w:rFonts w:ascii="Times New Roman" w:hAnsi="Times New Roman" w:cs="Times New Roman"/>
        </w:rPr>
        <w:t xml:space="preserve">     Over time, however, the mythology of </w:t>
      </w:r>
      <w:r w:rsidRPr="00B5392A">
        <w:rPr>
          <w:rFonts w:ascii="Times New Roman" w:hAnsi="Times New Roman" w:cs="Times New Roman"/>
          <w:i/>
          <w:iCs/>
        </w:rPr>
        <w:t>exceptionalism</w:t>
      </w:r>
      <w:r w:rsidRPr="00B5392A">
        <w:rPr>
          <w:rFonts w:ascii="Times New Roman" w:hAnsi="Times New Roman" w:cs="Times New Roman"/>
        </w:rPr>
        <w:t xml:space="preserve"> took hold, and remains with us today. Of course, exceptionalism as an idea is a zero-sum game: for one to be exceptional, most if not all others must be deficient. James Loewen’s influential </w:t>
      </w:r>
      <w:r w:rsidRPr="00B5392A">
        <w:rPr>
          <w:rFonts w:ascii="Times New Roman" w:hAnsi="Times New Roman" w:cs="Times New Roman"/>
          <w:i/>
          <w:iCs/>
        </w:rPr>
        <w:t>Lies my Teachers Told Me</w:t>
      </w:r>
      <w:r w:rsidRPr="00B5392A">
        <w:rPr>
          <w:rFonts w:ascii="Times New Roman" w:hAnsi="Times New Roman" w:cs="Times New Roman"/>
        </w:rPr>
        <w:t xml:space="preserve"> </w:t>
      </w:r>
      <w:r w:rsidRPr="00B5392A">
        <w:rPr>
          <w:rFonts w:ascii="Times New Roman" w:hAnsi="Times New Roman" w:cs="Times New Roman"/>
        </w:rPr>
        <w:lastRenderedPageBreak/>
        <w:t xml:space="preserve">was criticized heavily for pulling back the curtain on certain myths, revealing the hypocrisy behind them. </w:t>
      </w:r>
    </w:p>
    <w:p w14:paraId="2AB1B498" w14:textId="5057EE79" w:rsidR="00B10FA3" w:rsidRPr="00B5392A" w:rsidRDefault="00B10FA3" w:rsidP="00252CDA">
      <w:pPr>
        <w:spacing w:line="480" w:lineRule="auto"/>
        <w:rPr>
          <w:rFonts w:ascii="Times New Roman" w:hAnsi="Times New Roman" w:cs="Times New Roman"/>
        </w:rPr>
      </w:pPr>
      <w:r w:rsidRPr="00B5392A">
        <w:rPr>
          <w:rFonts w:ascii="Times New Roman" w:hAnsi="Times New Roman" w:cs="Times New Roman"/>
        </w:rPr>
        <w:t xml:space="preserve">     One, perhaps more cynical way of looking at national myths is to see them as </w:t>
      </w:r>
      <w:r w:rsidRPr="00B5392A">
        <w:rPr>
          <w:rFonts w:ascii="Times New Roman" w:hAnsi="Times New Roman" w:cs="Times New Roman"/>
          <w:i/>
          <w:iCs/>
        </w:rPr>
        <w:t>convenient illusions</w:t>
      </w:r>
      <w:r w:rsidRPr="00B5392A">
        <w:rPr>
          <w:rFonts w:ascii="Times New Roman" w:hAnsi="Times New Roman" w:cs="Times New Roman"/>
        </w:rPr>
        <w:t>; Stalin’s appeal to Mother Russia during the Second World War, or Winston Churchill’s appealing to the stoicism of the British people during the same conflict. Even the use of the term “World Series” to describe an American baseball event hints at the universality and self</w:t>
      </w:r>
      <w:r w:rsidR="24C49E6C" w:rsidRPr="00B5392A">
        <w:rPr>
          <w:rFonts w:ascii="Times New Roman" w:hAnsi="Times New Roman" w:cs="Times New Roman"/>
        </w:rPr>
        <w:t>-</w:t>
      </w:r>
      <w:r w:rsidRPr="00B5392A">
        <w:rPr>
          <w:rFonts w:ascii="Times New Roman" w:hAnsi="Times New Roman" w:cs="Times New Roman"/>
        </w:rPr>
        <w:t>importance of the participants, who are actually taking part in a national event, with no actual world implications.</w:t>
      </w:r>
    </w:p>
    <w:p w14:paraId="7E69E3DC" w14:textId="77777777" w:rsidR="00B10FA3" w:rsidRPr="00B5392A" w:rsidRDefault="00B10FA3" w:rsidP="00252CDA">
      <w:pPr>
        <w:spacing w:line="480" w:lineRule="auto"/>
        <w:rPr>
          <w:rFonts w:ascii="Times New Roman" w:hAnsi="Times New Roman" w:cs="Times New Roman"/>
        </w:rPr>
      </w:pPr>
      <w:r w:rsidRPr="00B5392A">
        <w:rPr>
          <w:rFonts w:ascii="Times New Roman" w:hAnsi="Times New Roman" w:cs="Times New Roman"/>
        </w:rPr>
        <w:t xml:space="preserve">      How many times have we heard the litany of attributes of American exceptionalism: We are the freest, the most democratic, the most powerful, the most just. We get so tired of winning…it really becomes tiresome after a while, the self-aggrandizing slogans that are spewed without thought.</w:t>
      </w:r>
    </w:p>
    <w:p w14:paraId="3F577B6A" w14:textId="77777777" w:rsidR="00B10FA3" w:rsidRPr="00B5392A" w:rsidRDefault="00B10FA3" w:rsidP="00252CDA">
      <w:pPr>
        <w:spacing w:line="480" w:lineRule="auto"/>
        <w:rPr>
          <w:rFonts w:ascii="Times New Roman" w:hAnsi="Times New Roman" w:cs="Times New Roman"/>
        </w:rPr>
      </w:pPr>
      <w:r w:rsidRPr="00B5392A">
        <w:rPr>
          <w:rFonts w:ascii="Times New Roman" w:hAnsi="Times New Roman" w:cs="Times New Roman"/>
        </w:rPr>
        <w:t xml:space="preserve">     Lowen describes the absence in American history textbooks of vital information regarding our past. The issue of slavery was often glossed over or apologized for; Lynchings in the Deep South were avoided, as were references to the power of the KKK. “White control” of the South after the Civil War was, in fact, control by a white supremacist faction of the Democratic Party.</w:t>
      </w:r>
      <w:r w:rsidRPr="00B5392A">
        <w:rPr>
          <w:rStyle w:val="FootnoteReference"/>
          <w:rFonts w:ascii="Times New Roman" w:hAnsi="Times New Roman" w:cs="Times New Roman"/>
        </w:rPr>
        <w:footnoteReference w:id="36"/>
      </w:r>
      <w:r w:rsidRPr="00B5392A">
        <w:rPr>
          <w:rFonts w:ascii="Times New Roman" w:hAnsi="Times New Roman" w:cs="Times New Roman"/>
        </w:rPr>
        <w:t xml:space="preserve">                  </w:t>
      </w:r>
    </w:p>
    <w:p w14:paraId="1A265B2A" w14:textId="77777777" w:rsidR="00B10FA3" w:rsidRPr="00B5392A" w:rsidRDefault="00B10FA3" w:rsidP="00252CDA">
      <w:pPr>
        <w:spacing w:line="480" w:lineRule="auto"/>
        <w:rPr>
          <w:rFonts w:ascii="Times New Roman" w:hAnsi="Times New Roman" w:cs="Times New Roman"/>
        </w:rPr>
      </w:pPr>
      <w:r w:rsidRPr="00B5392A">
        <w:rPr>
          <w:rFonts w:ascii="Times New Roman" w:hAnsi="Times New Roman" w:cs="Times New Roman"/>
        </w:rPr>
        <w:t xml:space="preserve">     Treatment of Native Americans both before and after the Civil War was, until fairly recently, ignored entirely. So, at different times, “exceptional” could refer to 18</w:t>
      </w:r>
      <w:r w:rsidRPr="00B5392A">
        <w:rPr>
          <w:rFonts w:ascii="Times New Roman" w:hAnsi="Times New Roman" w:cs="Times New Roman"/>
          <w:vertAlign w:val="superscript"/>
        </w:rPr>
        <w:t>th</w:t>
      </w:r>
      <w:r w:rsidRPr="00B5392A">
        <w:rPr>
          <w:rFonts w:ascii="Times New Roman" w:hAnsi="Times New Roman" w:cs="Times New Roman"/>
        </w:rPr>
        <w:t xml:space="preserve"> century white male property owners, the post 1830s white male population generally, and, by the late </w:t>
      </w:r>
      <w:r w:rsidRPr="00B5392A">
        <w:rPr>
          <w:rFonts w:ascii="Times New Roman" w:hAnsi="Times New Roman" w:cs="Times New Roman"/>
        </w:rPr>
        <w:lastRenderedPageBreak/>
        <w:t>19</w:t>
      </w:r>
      <w:r w:rsidRPr="00B5392A">
        <w:rPr>
          <w:rFonts w:ascii="Times New Roman" w:hAnsi="Times New Roman" w:cs="Times New Roman"/>
          <w:vertAlign w:val="superscript"/>
        </w:rPr>
        <w:t>th</w:t>
      </w:r>
      <w:r w:rsidRPr="00B5392A">
        <w:rPr>
          <w:rFonts w:ascii="Times New Roman" w:hAnsi="Times New Roman" w:cs="Times New Roman"/>
        </w:rPr>
        <w:t xml:space="preserve"> and early 20</w:t>
      </w:r>
      <w:r w:rsidRPr="00B5392A">
        <w:rPr>
          <w:rFonts w:ascii="Times New Roman" w:hAnsi="Times New Roman" w:cs="Times New Roman"/>
          <w:vertAlign w:val="superscript"/>
        </w:rPr>
        <w:t>th</w:t>
      </w:r>
      <w:r w:rsidRPr="00B5392A">
        <w:rPr>
          <w:rFonts w:ascii="Times New Roman" w:hAnsi="Times New Roman" w:cs="Times New Roman"/>
        </w:rPr>
        <w:t xml:space="preserve"> centuries eventually to women, who could now own property and vote in elections.</w:t>
      </w:r>
    </w:p>
    <w:p w14:paraId="4C8422F0" w14:textId="77777777" w:rsidR="00B10FA3" w:rsidRPr="00B5392A" w:rsidRDefault="00B10FA3" w:rsidP="00252CDA">
      <w:pPr>
        <w:spacing w:line="480" w:lineRule="auto"/>
        <w:rPr>
          <w:rFonts w:ascii="Times New Roman" w:hAnsi="Times New Roman" w:cs="Times New Roman"/>
        </w:rPr>
      </w:pPr>
      <w:r w:rsidRPr="00B5392A">
        <w:rPr>
          <w:rFonts w:ascii="Times New Roman" w:hAnsi="Times New Roman" w:cs="Times New Roman"/>
        </w:rPr>
        <w:t xml:space="preserve">     The United States is replete with myths, ranging from the political to the religious. The earliest examples of this admixture date from the 17</w:t>
      </w:r>
      <w:r w:rsidRPr="00B5392A">
        <w:rPr>
          <w:rFonts w:ascii="Times New Roman" w:hAnsi="Times New Roman" w:cs="Times New Roman"/>
          <w:vertAlign w:val="superscript"/>
        </w:rPr>
        <w:t>th</w:t>
      </w:r>
      <w:r w:rsidRPr="00B5392A">
        <w:rPr>
          <w:rFonts w:ascii="Times New Roman" w:hAnsi="Times New Roman" w:cs="Times New Roman"/>
        </w:rPr>
        <w:t xml:space="preserve"> century, and the writings of early Puritan political leader Jonathan Winthrop. Winthrop’s writing emphasized the central importance of the concept of the </w:t>
      </w:r>
      <w:r w:rsidRPr="00B5392A">
        <w:rPr>
          <w:rFonts w:ascii="Times New Roman" w:hAnsi="Times New Roman" w:cs="Times New Roman"/>
          <w:i/>
          <w:iCs/>
        </w:rPr>
        <w:t>covenant</w:t>
      </w:r>
      <w:r w:rsidRPr="00B5392A">
        <w:rPr>
          <w:rFonts w:ascii="Times New Roman" w:hAnsi="Times New Roman" w:cs="Times New Roman"/>
        </w:rPr>
        <w:t>. This idea reflected the belief that God and man entered into an agreement whereby the people would agree to a mutually shared system of responsibilities and obligations. This system allowed for a strong sense of purpose, and encouraged cooperation and civility.</w:t>
      </w:r>
      <w:r w:rsidRPr="00B5392A">
        <w:rPr>
          <w:rStyle w:val="FootnoteReference"/>
          <w:rFonts w:ascii="Times New Roman" w:hAnsi="Times New Roman" w:cs="Times New Roman"/>
        </w:rPr>
        <w:footnoteReference w:id="37"/>
      </w:r>
    </w:p>
    <w:p w14:paraId="043D3260" w14:textId="77777777" w:rsidR="00B10FA3" w:rsidRPr="00B5392A" w:rsidRDefault="00B10FA3" w:rsidP="00252CDA">
      <w:pPr>
        <w:spacing w:line="480" w:lineRule="auto"/>
        <w:rPr>
          <w:rFonts w:ascii="Times New Roman" w:hAnsi="Times New Roman" w:cs="Times New Roman"/>
        </w:rPr>
      </w:pPr>
      <w:r w:rsidRPr="00B5392A">
        <w:rPr>
          <w:rFonts w:ascii="Times New Roman" w:hAnsi="Times New Roman" w:cs="Times New Roman"/>
        </w:rPr>
        <w:t xml:space="preserve">     Jonathan Winthrop’s 17</w:t>
      </w:r>
      <w:r w:rsidRPr="00B5392A">
        <w:rPr>
          <w:rFonts w:ascii="Times New Roman" w:hAnsi="Times New Roman" w:cs="Times New Roman"/>
          <w:vertAlign w:val="superscript"/>
        </w:rPr>
        <w:t>th</w:t>
      </w:r>
      <w:r w:rsidRPr="00B5392A">
        <w:rPr>
          <w:rFonts w:ascii="Times New Roman" w:hAnsi="Times New Roman" w:cs="Times New Roman"/>
        </w:rPr>
        <w:t xml:space="preserve"> century </w:t>
      </w:r>
      <w:r w:rsidRPr="00B5392A">
        <w:rPr>
          <w:rFonts w:ascii="Times New Roman" w:hAnsi="Times New Roman" w:cs="Times New Roman"/>
          <w:i/>
          <w:iCs/>
        </w:rPr>
        <w:t xml:space="preserve">Modell of Christian Charity </w:t>
      </w:r>
      <w:r w:rsidRPr="00B5392A">
        <w:rPr>
          <w:rFonts w:ascii="Times New Roman" w:hAnsi="Times New Roman" w:cs="Times New Roman"/>
        </w:rPr>
        <w:t>describes an ideal world in which a covenant between the people and God, through which the commandments of the bible are faithfully carried out by an elect group in the interest of advancing the community. More profoundly, Winthrop considered his ideas, as expressed through the Massachusetts Bay Colony, to play out a world-wide plan for God’s redemption. After all, it was Winthrop who first used the term “building a city on a hill – a beacon,” to describe the exceptional society that was to provide direction to the modern world.</w:t>
      </w:r>
      <w:r w:rsidRPr="00B5392A">
        <w:rPr>
          <w:rStyle w:val="FootnoteReference"/>
          <w:rFonts w:ascii="Times New Roman" w:hAnsi="Times New Roman" w:cs="Times New Roman"/>
        </w:rPr>
        <w:footnoteReference w:id="38"/>
      </w:r>
    </w:p>
    <w:p w14:paraId="3AC2308B" w14:textId="77777777" w:rsidR="00B10FA3" w:rsidRPr="00B5392A" w:rsidRDefault="00B10FA3" w:rsidP="00252CDA">
      <w:pPr>
        <w:spacing w:line="480" w:lineRule="auto"/>
        <w:rPr>
          <w:rFonts w:ascii="Times New Roman" w:hAnsi="Times New Roman" w:cs="Times New Roman"/>
        </w:rPr>
      </w:pPr>
      <w:r w:rsidRPr="00B5392A">
        <w:rPr>
          <w:rFonts w:ascii="Times New Roman" w:hAnsi="Times New Roman" w:cs="Times New Roman"/>
        </w:rPr>
        <w:t xml:space="preserve">     Another important 17</w:t>
      </w:r>
      <w:r w:rsidRPr="00B5392A">
        <w:rPr>
          <w:rFonts w:ascii="Times New Roman" w:hAnsi="Times New Roman" w:cs="Times New Roman"/>
          <w:vertAlign w:val="superscript"/>
        </w:rPr>
        <w:t>th</w:t>
      </w:r>
      <w:r w:rsidRPr="00B5392A">
        <w:rPr>
          <w:rFonts w:ascii="Times New Roman" w:hAnsi="Times New Roman" w:cs="Times New Roman"/>
        </w:rPr>
        <w:t xml:space="preserve"> century thinker who advanced the idea of a covenant in the body politic was Samuel Willard, a foremost developer of Puritan theology, and President of Harvard University. Willard spoke of a </w:t>
      </w:r>
      <w:r w:rsidRPr="00B5392A">
        <w:rPr>
          <w:rFonts w:ascii="Times New Roman" w:hAnsi="Times New Roman" w:cs="Times New Roman"/>
          <w:i/>
          <w:iCs/>
        </w:rPr>
        <w:t>dual</w:t>
      </w:r>
      <w:r w:rsidRPr="00B5392A">
        <w:rPr>
          <w:rFonts w:ascii="Times New Roman" w:hAnsi="Times New Roman" w:cs="Times New Roman"/>
        </w:rPr>
        <w:t xml:space="preserve"> covenant; one of works and of grace. The covenant of works was controlled by the individual, and their adherence to the community and responsibility in their worldly affairs. This was a covenant of </w:t>
      </w:r>
      <w:r w:rsidRPr="00B5392A">
        <w:rPr>
          <w:rFonts w:ascii="Times New Roman" w:hAnsi="Times New Roman" w:cs="Times New Roman"/>
          <w:i/>
          <w:iCs/>
        </w:rPr>
        <w:t xml:space="preserve">doing, </w:t>
      </w:r>
      <w:r w:rsidRPr="00B5392A">
        <w:rPr>
          <w:rFonts w:ascii="Times New Roman" w:hAnsi="Times New Roman" w:cs="Times New Roman"/>
        </w:rPr>
        <w:t xml:space="preserve">and required submission and obedience by the individual. The second covenant was one of </w:t>
      </w:r>
      <w:r w:rsidRPr="00B5392A">
        <w:rPr>
          <w:rFonts w:ascii="Times New Roman" w:hAnsi="Times New Roman" w:cs="Times New Roman"/>
          <w:i/>
          <w:iCs/>
        </w:rPr>
        <w:t xml:space="preserve">grace; </w:t>
      </w:r>
      <w:r w:rsidRPr="00B5392A">
        <w:rPr>
          <w:rFonts w:ascii="Times New Roman" w:hAnsi="Times New Roman" w:cs="Times New Roman"/>
        </w:rPr>
        <w:t xml:space="preserve">this </w:t>
      </w:r>
      <w:r w:rsidRPr="00B5392A">
        <w:rPr>
          <w:rFonts w:ascii="Times New Roman" w:hAnsi="Times New Roman" w:cs="Times New Roman"/>
        </w:rPr>
        <w:lastRenderedPageBreak/>
        <w:t>covenant was conferred by God, and lay beyond the control of the individual, except to the extent that the individual was a true believer.</w:t>
      </w:r>
      <w:r w:rsidRPr="00B5392A">
        <w:rPr>
          <w:rStyle w:val="FootnoteReference"/>
          <w:rFonts w:ascii="Times New Roman" w:hAnsi="Times New Roman" w:cs="Times New Roman"/>
        </w:rPr>
        <w:footnoteReference w:id="39"/>
      </w:r>
      <w:r w:rsidRPr="00B5392A">
        <w:rPr>
          <w:rFonts w:ascii="Times New Roman" w:hAnsi="Times New Roman" w:cs="Times New Roman"/>
        </w:rPr>
        <w:t xml:space="preserve"> Hence, Willard created a community organizing principle, or myth, that was both individual and collective – as had Winthrop, who had insisted on the </w:t>
      </w:r>
      <w:r w:rsidRPr="00B5392A">
        <w:rPr>
          <w:rFonts w:ascii="Times New Roman" w:hAnsi="Times New Roman" w:cs="Times New Roman"/>
          <w:i/>
          <w:iCs/>
        </w:rPr>
        <w:t>consent</w:t>
      </w:r>
      <w:r w:rsidRPr="00B5392A">
        <w:rPr>
          <w:rFonts w:ascii="Times New Roman" w:hAnsi="Times New Roman" w:cs="Times New Roman"/>
        </w:rPr>
        <w:t xml:space="preserve"> of those to enter into his envisioned community. These </w:t>
      </w:r>
      <w:r w:rsidRPr="00B5392A">
        <w:rPr>
          <w:rFonts w:ascii="Times New Roman" w:hAnsi="Times New Roman" w:cs="Times New Roman"/>
          <w:i/>
          <w:iCs/>
        </w:rPr>
        <w:t>theories of consent</w:t>
      </w:r>
      <w:r w:rsidRPr="00B5392A">
        <w:rPr>
          <w:rFonts w:ascii="Times New Roman" w:hAnsi="Times New Roman" w:cs="Times New Roman"/>
        </w:rPr>
        <w:t xml:space="preserve"> would re-emerge in the ideas of John Locke, along with “natural rights,” and would be adopted by Thomas Jefferson and others as the basis for a just society.</w:t>
      </w:r>
    </w:p>
    <w:p w14:paraId="46CD09A8" w14:textId="73FDA62C" w:rsidR="00B10FA3" w:rsidRPr="00B5392A" w:rsidRDefault="00B10FA3" w:rsidP="00252CDA">
      <w:pPr>
        <w:spacing w:line="480" w:lineRule="auto"/>
        <w:rPr>
          <w:rFonts w:ascii="Times New Roman" w:hAnsi="Times New Roman" w:cs="Times New Roman"/>
        </w:rPr>
      </w:pPr>
      <w:r w:rsidRPr="00B5392A">
        <w:rPr>
          <w:rFonts w:ascii="Times New Roman" w:hAnsi="Times New Roman" w:cs="Times New Roman"/>
        </w:rPr>
        <w:t xml:space="preserve">     American mythology was profound and large from the start. In a sense, it had to be. America had no feudal past to draw from, no dominant religion, and no </w:t>
      </w:r>
      <w:r w:rsidR="331360C1" w:rsidRPr="00B5392A">
        <w:rPr>
          <w:rFonts w:ascii="Times New Roman" w:hAnsi="Times New Roman" w:cs="Times New Roman"/>
        </w:rPr>
        <w:t xml:space="preserve">clearly defined </w:t>
      </w:r>
      <w:r w:rsidRPr="00B5392A">
        <w:rPr>
          <w:rFonts w:ascii="Times New Roman" w:hAnsi="Times New Roman" w:cs="Times New Roman"/>
        </w:rPr>
        <w:t>ethnic identity. It was a land of transplanted persons. And here we encounter a central myth; the idea that America was devoid of persons prior to white settlement. Myths related to Native Americans are plentiful, and cut in many directions, but the myth of an empty expanse of land, ripe for exploitation helps to both justify that activity and to ignore completely the decimation of native tribes in the process.</w:t>
      </w:r>
    </w:p>
    <w:p w14:paraId="42F83E9C" w14:textId="77777777" w:rsidR="00B10FA3" w:rsidRPr="00B5392A" w:rsidRDefault="00B10FA3" w:rsidP="00252CDA">
      <w:pPr>
        <w:spacing w:line="480" w:lineRule="auto"/>
        <w:rPr>
          <w:rFonts w:ascii="Times New Roman" w:hAnsi="Times New Roman" w:cs="Times New Roman"/>
        </w:rPr>
      </w:pPr>
      <w:r w:rsidRPr="00B5392A">
        <w:rPr>
          <w:rFonts w:ascii="Times New Roman" w:hAnsi="Times New Roman" w:cs="Times New Roman"/>
        </w:rPr>
        <w:t xml:space="preserve">      To the extent that an exceptionalist ideology or mythology led to chauvinism, intolerance or conquest, “American Exceptionalism” might be, in retrospect, a major, long-term poison to the culture, insofar as it rendered its inhabitants’ psychology incapable of cooperation with other deemed not like them – which was, by definition, </w:t>
      </w:r>
      <w:r w:rsidRPr="00B5392A">
        <w:rPr>
          <w:rFonts w:ascii="Times New Roman" w:hAnsi="Times New Roman" w:cs="Times New Roman"/>
          <w:i/>
          <w:iCs/>
        </w:rPr>
        <w:t>no one</w:t>
      </w:r>
      <w:r w:rsidRPr="00B5392A">
        <w:rPr>
          <w:rFonts w:ascii="Times New Roman" w:hAnsi="Times New Roman" w:cs="Times New Roman"/>
        </w:rPr>
        <w:t xml:space="preserve">. Moreover, exceptionalism led (how could it not) to a sense of not only superiority, but also of definitiveness – of cultural and social infallibility, driven by religious fervor. Today we see how ISIS employs similar dogma. </w:t>
      </w:r>
    </w:p>
    <w:p w14:paraId="4886B293" w14:textId="77777777" w:rsidR="00B10FA3" w:rsidRDefault="00B10FA3" w:rsidP="00252CDA">
      <w:pPr>
        <w:spacing w:line="480" w:lineRule="auto"/>
        <w:rPr>
          <w:rFonts w:ascii="Times New Roman" w:hAnsi="Times New Roman" w:cs="Times New Roman"/>
          <w:b/>
          <w:bCs/>
          <w:i/>
          <w:iCs/>
          <w:sz w:val="28"/>
          <w:szCs w:val="28"/>
        </w:rPr>
      </w:pPr>
    </w:p>
    <w:p w14:paraId="0BDEED91" w14:textId="77777777" w:rsidR="005A1F77" w:rsidRPr="00B5392A" w:rsidRDefault="005A1F77" w:rsidP="00252CDA">
      <w:pPr>
        <w:spacing w:line="480" w:lineRule="auto"/>
        <w:rPr>
          <w:rFonts w:ascii="Times New Roman" w:hAnsi="Times New Roman" w:cs="Times New Roman"/>
          <w:b/>
          <w:bCs/>
          <w:i/>
          <w:iCs/>
          <w:sz w:val="28"/>
          <w:szCs w:val="28"/>
        </w:rPr>
      </w:pPr>
    </w:p>
    <w:p w14:paraId="727D8B50" w14:textId="77777777" w:rsidR="00B10FA3" w:rsidRPr="00B5392A" w:rsidRDefault="00B10FA3" w:rsidP="00252CDA">
      <w:pPr>
        <w:spacing w:line="480" w:lineRule="auto"/>
        <w:rPr>
          <w:rFonts w:ascii="Times New Roman" w:hAnsi="Times New Roman" w:cs="Times New Roman"/>
          <w:b/>
          <w:bCs/>
          <w:i/>
          <w:iCs/>
          <w:sz w:val="28"/>
          <w:szCs w:val="28"/>
        </w:rPr>
      </w:pPr>
      <w:r w:rsidRPr="00B5392A">
        <w:rPr>
          <w:rFonts w:ascii="Times New Roman" w:hAnsi="Times New Roman" w:cs="Times New Roman"/>
          <w:b/>
          <w:bCs/>
          <w:i/>
          <w:iCs/>
          <w:sz w:val="28"/>
          <w:szCs w:val="28"/>
        </w:rPr>
        <w:lastRenderedPageBreak/>
        <w:t>Exceptionalism Meets Expansionism</w:t>
      </w:r>
    </w:p>
    <w:p w14:paraId="55567B11" w14:textId="77777777" w:rsidR="00B10FA3" w:rsidRPr="00B5392A" w:rsidRDefault="00B10FA3" w:rsidP="00252CDA">
      <w:pPr>
        <w:spacing w:line="480" w:lineRule="auto"/>
        <w:rPr>
          <w:rFonts w:ascii="Times New Roman" w:hAnsi="Times New Roman" w:cs="Times New Roman"/>
        </w:rPr>
      </w:pPr>
      <w:r w:rsidRPr="00B5392A">
        <w:rPr>
          <w:rFonts w:ascii="Times New Roman" w:hAnsi="Times New Roman" w:cs="Times New Roman"/>
        </w:rPr>
        <w:t xml:space="preserve">      </w:t>
      </w:r>
      <w:r w:rsidRPr="00B5392A">
        <w:rPr>
          <w:rFonts w:ascii="Times New Roman" w:hAnsi="Times New Roman" w:cs="Times New Roman"/>
          <w:i/>
          <w:iCs/>
        </w:rPr>
        <w:t>Expansionist</w:t>
      </w:r>
      <w:r w:rsidRPr="00B5392A">
        <w:rPr>
          <w:rFonts w:ascii="Times New Roman" w:hAnsi="Times New Roman" w:cs="Times New Roman"/>
        </w:rPr>
        <w:t xml:space="preserve"> ideas took shape early on – long before the Revolutionary War. These ideas had, at their base, the idea that – as a divinely inspired nation, that the US had the right – perhaps the responsibility – to serve as a “beacon of liberty” for the rest of the world. As such, the expansion of the 1830s westward – and the “Trail of Tears” resulting in the forcible removal of native tribes from the eastern seaboard was justified by President Andrew Jackson, a slaveholder, who even defied the 1832 </w:t>
      </w:r>
      <w:proofErr w:type="spellStart"/>
      <w:r w:rsidRPr="00B5392A">
        <w:rPr>
          <w:rFonts w:ascii="Times New Roman" w:hAnsi="Times New Roman" w:cs="Times New Roman"/>
          <w:i/>
          <w:iCs/>
        </w:rPr>
        <w:t>Worcestor</w:t>
      </w:r>
      <w:proofErr w:type="spellEnd"/>
      <w:r w:rsidRPr="00B5392A">
        <w:rPr>
          <w:rFonts w:ascii="Times New Roman" w:hAnsi="Times New Roman" w:cs="Times New Roman"/>
          <w:i/>
          <w:iCs/>
        </w:rPr>
        <w:t xml:space="preserve"> vs. Georgia </w:t>
      </w:r>
      <w:r w:rsidRPr="00B5392A">
        <w:rPr>
          <w:rFonts w:ascii="Times New Roman" w:hAnsi="Times New Roman" w:cs="Times New Roman"/>
        </w:rPr>
        <w:t xml:space="preserve"> Supreme Court ruling in favor of the Cherokee Nation, prior to the removal, stating “(Chef Justice) John Marshall has issued his ruling. Now let him enforce it.”</w:t>
      </w:r>
      <w:r w:rsidRPr="00B5392A">
        <w:rPr>
          <w:rStyle w:val="FootnoteReference"/>
          <w:rFonts w:ascii="Times New Roman" w:hAnsi="Times New Roman" w:cs="Times New Roman"/>
        </w:rPr>
        <w:footnoteReference w:id="40"/>
      </w:r>
      <w:r w:rsidRPr="00B5392A">
        <w:rPr>
          <w:rFonts w:ascii="Times New Roman" w:hAnsi="Times New Roman" w:cs="Times New Roman"/>
        </w:rPr>
        <w:t xml:space="preserve"> </w:t>
      </w:r>
    </w:p>
    <w:p w14:paraId="71BC1084" w14:textId="77777777" w:rsidR="00B10FA3" w:rsidRPr="00B5392A" w:rsidRDefault="00B10FA3" w:rsidP="00252CDA">
      <w:pPr>
        <w:spacing w:line="480" w:lineRule="auto"/>
        <w:rPr>
          <w:rFonts w:ascii="Times New Roman" w:hAnsi="Times New Roman" w:cs="Times New Roman"/>
        </w:rPr>
      </w:pPr>
      <w:r w:rsidRPr="00B5392A">
        <w:rPr>
          <w:rFonts w:ascii="Times New Roman" w:hAnsi="Times New Roman" w:cs="Times New Roman"/>
        </w:rPr>
        <w:t xml:space="preserve">     The doctrine of </w:t>
      </w:r>
      <w:r w:rsidRPr="00B5392A">
        <w:rPr>
          <w:rFonts w:ascii="Times New Roman" w:hAnsi="Times New Roman" w:cs="Times New Roman"/>
          <w:i/>
          <w:iCs/>
        </w:rPr>
        <w:t>Manifest Destiny</w:t>
      </w:r>
      <w:r w:rsidRPr="00B5392A">
        <w:rPr>
          <w:rFonts w:ascii="Times New Roman" w:hAnsi="Times New Roman" w:cs="Times New Roman"/>
        </w:rPr>
        <w:t>, or, the idea that the US was destined  — even obligated  to expand and prosper, spreading its democratic message (however misconstrued)  – was already in vogue by the time of A. Jackson. More on this in a minute.</w:t>
      </w:r>
    </w:p>
    <w:p w14:paraId="56D293E2" w14:textId="77777777" w:rsidR="00B10FA3" w:rsidRPr="00B5392A" w:rsidRDefault="00B10FA3" w:rsidP="00252CDA">
      <w:pPr>
        <w:spacing w:line="480" w:lineRule="auto"/>
        <w:rPr>
          <w:rFonts w:ascii="Times New Roman" w:hAnsi="Times New Roman" w:cs="Times New Roman"/>
          <w:b/>
          <w:bCs/>
          <w:i/>
          <w:iCs/>
          <w:sz w:val="28"/>
          <w:szCs w:val="28"/>
        </w:rPr>
      </w:pPr>
    </w:p>
    <w:p w14:paraId="67802FB9" w14:textId="77777777" w:rsidR="00B10FA3" w:rsidRPr="00B5392A" w:rsidRDefault="00B10FA3" w:rsidP="00252CDA">
      <w:pPr>
        <w:spacing w:line="480" w:lineRule="auto"/>
        <w:rPr>
          <w:rFonts w:ascii="Times New Roman" w:hAnsi="Times New Roman" w:cs="Times New Roman"/>
        </w:rPr>
      </w:pPr>
      <w:r w:rsidRPr="00B5392A">
        <w:rPr>
          <w:rFonts w:ascii="Times New Roman" w:hAnsi="Times New Roman" w:cs="Times New Roman"/>
          <w:b/>
          <w:bCs/>
          <w:i/>
          <w:iCs/>
          <w:sz w:val="28"/>
          <w:szCs w:val="28"/>
        </w:rPr>
        <w:t>Conspiracy Theories</w:t>
      </w:r>
    </w:p>
    <w:p w14:paraId="3BB3B841" w14:textId="77777777" w:rsidR="00B10FA3" w:rsidRPr="00B5392A" w:rsidRDefault="00B10FA3" w:rsidP="00252CDA">
      <w:pPr>
        <w:spacing w:line="480" w:lineRule="auto"/>
        <w:rPr>
          <w:rFonts w:ascii="Times New Roman" w:hAnsi="Times New Roman" w:cs="Times New Roman"/>
        </w:rPr>
      </w:pPr>
      <w:r w:rsidRPr="00B5392A">
        <w:rPr>
          <w:rFonts w:ascii="Times New Roman" w:hAnsi="Times New Roman" w:cs="Times New Roman"/>
        </w:rPr>
        <w:t xml:space="preserve">     If myths are timeless, conspiracy theories are recurrent; they are related to myths in that they draw upon cultural norms, prejudices and fears, but they tend to involve purported </w:t>
      </w:r>
      <w:r w:rsidRPr="00B5392A">
        <w:rPr>
          <w:rFonts w:ascii="Times New Roman" w:hAnsi="Times New Roman" w:cs="Times New Roman"/>
          <w:i/>
          <w:iCs/>
        </w:rPr>
        <w:t xml:space="preserve">action, </w:t>
      </w:r>
      <w:r w:rsidRPr="00B5392A">
        <w:rPr>
          <w:rFonts w:ascii="Times New Roman" w:hAnsi="Times New Roman" w:cs="Times New Roman"/>
        </w:rPr>
        <w:t xml:space="preserve">usually of a clandestine sort. Conspiracy theories are not neutral; they express the anxiety of the moment, and hence, tend to proliferate during times of national economic or social strain. Such theories tend to be empirically false; that is, they are demonstrably incorrect, but they tend to hold enough familiarity of topic that they may be seen by a least a portion of the population as </w:t>
      </w:r>
      <w:r w:rsidRPr="00B5392A">
        <w:rPr>
          <w:rFonts w:ascii="Times New Roman" w:hAnsi="Times New Roman" w:cs="Times New Roman"/>
          <w:i/>
          <w:iCs/>
        </w:rPr>
        <w:t xml:space="preserve">plausible. </w:t>
      </w:r>
      <w:r w:rsidRPr="00B5392A">
        <w:rPr>
          <w:rFonts w:ascii="Times New Roman" w:hAnsi="Times New Roman" w:cs="Times New Roman"/>
        </w:rPr>
        <w:t xml:space="preserve">In other words, conspiracy theories often contain a </w:t>
      </w:r>
      <w:r w:rsidRPr="00B5392A">
        <w:rPr>
          <w:rFonts w:ascii="Times New Roman" w:hAnsi="Times New Roman" w:cs="Times New Roman"/>
        </w:rPr>
        <w:lastRenderedPageBreak/>
        <w:t>grain of truth, and this provides legitimacy for the idea, regardless of its outlandishness. In the end, conspiracy theories use myths as a springboard to the unreal, the fantastical and the truly weird.</w:t>
      </w:r>
    </w:p>
    <w:p w14:paraId="78B06C9A" w14:textId="77777777" w:rsidR="00B10FA3" w:rsidRPr="00B5392A" w:rsidRDefault="00B10FA3" w:rsidP="00252CDA">
      <w:pPr>
        <w:spacing w:line="480" w:lineRule="auto"/>
        <w:rPr>
          <w:rFonts w:ascii="Times New Roman" w:hAnsi="Times New Roman" w:cs="Times New Roman"/>
        </w:rPr>
      </w:pPr>
      <w:r w:rsidRPr="00B5392A">
        <w:rPr>
          <w:rFonts w:ascii="Times New Roman" w:hAnsi="Times New Roman" w:cs="Times New Roman"/>
        </w:rPr>
        <w:t xml:space="preserve">     Conspiracy theories tend also to be general, so that many interpretations may be invoked to “prove” their veracity. If such proof cannot be made, the very secrecy of the theory can be held up as “proof” of its insidious nature, and the foolishness of those who don’t perceive it.</w:t>
      </w:r>
    </w:p>
    <w:p w14:paraId="23434BBB" w14:textId="479D4D0B" w:rsidR="00B10FA3" w:rsidRPr="00B5392A" w:rsidRDefault="00B10FA3" w:rsidP="00781266">
      <w:pPr>
        <w:spacing w:line="480" w:lineRule="auto"/>
        <w:rPr>
          <w:rFonts w:ascii="Times New Roman" w:hAnsi="Times New Roman" w:cs="Times New Roman"/>
        </w:rPr>
      </w:pPr>
      <w:r w:rsidRPr="00B5392A">
        <w:rPr>
          <w:rFonts w:ascii="Times New Roman" w:hAnsi="Times New Roman" w:cs="Times New Roman"/>
          <w:color w:val="FF0000"/>
          <w14:textOutline w14:w="9525" w14:cap="rnd" w14:cmpd="sng" w14:algn="ctr">
            <w14:solidFill>
              <w14:schemeClr w14:val="tx1"/>
            </w14:solidFill>
            <w14:prstDash w14:val="solid"/>
            <w14:bevel/>
          </w14:textOutline>
        </w:rPr>
        <w:t xml:space="preserve"> </w:t>
      </w:r>
      <w:r w:rsidRPr="00B5392A">
        <w:rPr>
          <w:rFonts w:ascii="Times New Roman" w:hAnsi="Times New Roman" w:cs="Times New Roman"/>
        </w:rPr>
        <w:t xml:space="preserve">     The late 18</w:t>
      </w:r>
      <w:r w:rsidRPr="00B5392A">
        <w:rPr>
          <w:rFonts w:ascii="Times New Roman" w:hAnsi="Times New Roman" w:cs="Times New Roman"/>
          <w:vertAlign w:val="superscript"/>
        </w:rPr>
        <w:t>th</w:t>
      </w:r>
      <w:r w:rsidRPr="00B5392A">
        <w:rPr>
          <w:rFonts w:ascii="Times New Roman" w:hAnsi="Times New Roman" w:cs="Times New Roman"/>
        </w:rPr>
        <w:t xml:space="preserve"> and early 19</w:t>
      </w:r>
      <w:r w:rsidRPr="00B5392A">
        <w:rPr>
          <w:rFonts w:ascii="Times New Roman" w:hAnsi="Times New Roman" w:cs="Times New Roman"/>
          <w:vertAlign w:val="superscript"/>
        </w:rPr>
        <w:t>th</w:t>
      </w:r>
      <w:r w:rsidRPr="00B5392A">
        <w:rPr>
          <w:rFonts w:ascii="Times New Roman" w:hAnsi="Times New Roman" w:cs="Times New Roman"/>
        </w:rPr>
        <w:t xml:space="preserve"> centuries introduced several powerful conspiracy theories into the US. One of these was the</w:t>
      </w:r>
      <w:r w:rsidRPr="00B5392A">
        <w:rPr>
          <w:rFonts w:ascii="Times New Roman" w:hAnsi="Times New Roman" w:cs="Times New Roman"/>
          <w:i/>
          <w:iCs/>
        </w:rPr>
        <w:t xml:space="preserve"> Illuminati</w:t>
      </w:r>
      <w:r w:rsidRPr="00B5392A">
        <w:rPr>
          <w:rFonts w:ascii="Times New Roman" w:hAnsi="Times New Roman" w:cs="Times New Roman"/>
        </w:rPr>
        <w:t>, a by-product of the French Revolution and its accompanying rationalism and anti-clericalism. Aug</w:t>
      </w:r>
      <w:r w:rsidR="00766826" w:rsidRPr="00B5392A">
        <w:rPr>
          <w:rFonts w:ascii="Times New Roman" w:hAnsi="Times New Roman" w:cs="Times New Roman"/>
        </w:rPr>
        <w:t>s</w:t>
      </w:r>
      <w:r w:rsidRPr="00B5392A">
        <w:rPr>
          <w:rFonts w:ascii="Times New Roman" w:hAnsi="Times New Roman" w:cs="Times New Roman"/>
        </w:rPr>
        <w:t>burg Jesuits in the US took led the charge.</w:t>
      </w:r>
      <w:r w:rsidR="01A1A2D0" w:rsidRPr="00B5392A">
        <w:rPr>
          <w:rFonts w:ascii="Times New Roman" w:hAnsi="Times New Roman" w:cs="Times New Roman"/>
        </w:rPr>
        <w:t xml:space="preserve"> </w:t>
      </w:r>
      <w:r w:rsidRPr="00B5392A">
        <w:rPr>
          <w:rStyle w:val="FootnoteReference"/>
          <w:rFonts w:ascii="Times New Roman" w:hAnsi="Times New Roman" w:cs="Times New Roman"/>
        </w:rPr>
        <w:footnoteReference w:id="41"/>
      </w:r>
      <w:r w:rsidRPr="00B5392A">
        <w:rPr>
          <w:rFonts w:ascii="Times New Roman" w:hAnsi="Times New Roman" w:cs="Times New Roman"/>
        </w:rPr>
        <w:t xml:space="preserve"> Their position was that the </w:t>
      </w:r>
      <w:r w:rsidRPr="00B5392A">
        <w:rPr>
          <w:rFonts w:ascii="Times New Roman" w:hAnsi="Times New Roman" w:cs="Times New Roman"/>
          <w:i/>
          <w:iCs/>
        </w:rPr>
        <w:t xml:space="preserve">Illuminati, </w:t>
      </w:r>
      <w:r w:rsidRPr="00B5392A">
        <w:rPr>
          <w:rFonts w:ascii="Times New Roman" w:hAnsi="Times New Roman" w:cs="Times New Roman"/>
        </w:rPr>
        <w:t xml:space="preserve">a purported elite, secret society, had spread ideas to the </w:t>
      </w:r>
      <w:r w:rsidR="0F16878C" w:rsidRPr="00B5392A">
        <w:rPr>
          <w:rFonts w:ascii="Times New Roman" w:hAnsi="Times New Roman" w:cs="Times New Roman"/>
        </w:rPr>
        <w:t>e</w:t>
      </w:r>
      <w:r w:rsidRPr="00B5392A">
        <w:rPr>
          <w:rFonts w:ascii="Times New Roman" w:hAnsi="Times New Roman" w:cs="Times New Roman"/>
        </w:rPr>
        <w:t xml:space="preserve">ffect that religion and order were threatened.  The plot of the Illuminati was introduced into the US in 1798 by Jebidiah Morse, who claimed the world was under the influence of a world conspiracy to overthrow all world governments and religions. </w:t>
      </w:r>
    </w:p>
    <w:p w14:paraId="67BCFB1B" w14:textId="72641FBF" w:rsidR="00B10FA3" w:rsidRPr="00B5392A" w:rsidRDefault="00B10FA3" w:rsidP="00781266">
      <w:pPr>
        <w:spacing w:line="480" w:lineRule="auto"/>
        <w:rPr>
          <w:rFonts w:ascii="Times New Roman" w:hAnsi="Times New Roman" w:cs="Times New Roman"/>
          <w:color w:val="000000" w:themeColor="text1"/>
        </w:rPr>
      </w:pPr>
      <w:r w:rsidRPr="00B5392A">
        <w:rPr>
          <w:rFonts w:ascii="Times New Roman" w:hAnsi="Times New Roman" w:cs="Times New Roman"/>
        </w:rPr>
        <w:t xml:space="preserve">     Morse claimed that the conspiracy had existed for some time in the US, having been provoked by France.</w:t>
      </w:r>
      <w:r w:rsidRPr="00B5392A">
        <w:rPr>
          <w:rStyle w:val="FootnoteReference"/>
          <w:rFonts w:ascii="Times New Roman" w:hAnsi="Times New Roman" w:cs="Times New Roman"/>
        </w:rPr>
        <w:footnoteReference w:id="42"/>
      </w:r>
      <w:r w:rsidRPr="00B5392A">
        <w:rPr>
          <w:rFonts w:ascii="Times New Roman" w:hAnsi="Times New Roman" w:cs="Times New Roman"/>
          <w:b/>
          <w:bCs/>
        </w:rPr>
        <w:t xml:space="preserve"> </w:t>
      </w:r>
      <w:r w:rsidRPr="00B5392A">
        <w:rPr>
          <w:rFonts w:ascii="Times New Roman" w:hAnsi="Times New Roman" w:cs="Times New Roman"/>
        </w:rPr>
        <w:t xml:space="preserve">The preacher announced that “the world was in the grip of a secret revolutionary conspiracy, engineered by the Order of the Illuminati…which labored at all times to overthrow all government and all religion: </w:t>
      </w:r>
      <w:r w:rsidRPr="00B5392A">
        <w:rPr>
          <w:rFonts w:ascii="Times New Roman" w:hAnsi="Times New Roman" w:cs="Times New Roman"/>
          <w:b/>
          <w:bCs/>
          <w:i/>
          <w:iCs/>
        </w:rPr>
        <w:t xml:space="preserve"> </w:t>
      </w:r>
      <w:r w:rsidRPr="00B5392A">
        <w:rPr>
          <w:rFonts w:ascii="Times New Roman" w:hAnsi="Times New Roman" w:cs="Times New Roman"/>
          <w:i/>
          <w:iCs/>
        </w:rPr>
        <w:t xml:space="preserve">The world is in the grip of a secret revolutionary conspiracy, engineered by the Order of the </w:t>
      </w:r>
      <w:proofErr w:type="spellStart"/>
      <w:r w:rsidRPr="00B5392A">
        <w:rPr>
          <w:rFonts w:ascii="Times New Roman" w:hAnsi="Times New Roman" w:cs="Times New Roman"/>
          <w:i/>
          <w:iCs/>
        </w:rPr>
        <w:t>Iluminati</w:t>
      </w:r>
      <w:proofErr w:type="spellEnd"/>
      <w:r w:rsidRPr="00B5392A">
        <w:rPr>
          <w:rFonts w:ascii="Times New Roman" w:hAnsi="Times New Roman" w:cs="Times New Roman"/>
        </w:rPr>
        <w:t>.</w:t>
      </w:r>
      <w:r w:rsidRPr="00B5392A">
        <w:rPr>
          <w:rStyle w:val="FootnoteReference"/>
          <w:rFonts w:ascii="Times New Roman" w:hAnsi="Times New Roman" w:cs="Times New Roman"/>
        </w:rPr>
        <w:footnoteReference w:id="43"/>
      </w:r>
    </w:p>
    <w:p w14:paraId="57FA2129" w14:textId="77777777" w:rsidR="00B10FA3" w:rsidRPr="00B5392A" w:rsidRDefault="00B10FA3" w:rsidP="00781266">
      <w:pPr>
        <w:spacing w:line="480" w:lineRule="auto"/>
        <w:rPr>
          <w:rFonts w:ascii="Times New Roman" w:hAnsi="Times New Roman" w:cs="Times New Roman"/>
        </w:rPr>
      </w:pPr>
      <w:r w:rsidRPr="00B5392A">
        <w:rPr>
          <w:rFonts w:ascii="Times New Roman" w:hAnsi="Times New Roman" w:cs="Times New Roman"/>
        </w:rPr>
        <w:t xml:space="preserve">     Morse claimed that secret societies, under the direction of France, held principles that undermined the morals, religion and government of the US. Morse made claims that resonated </w:t>
      </w:r>
      <w:r w:rsidRPr="00B5392A">
        <w:rPr>
          <w:rFonts w:ascii="Times New Roman" w:hAnsi="Times New Roman" w:cs="Times New Roman"/>
        </w:rPr>
        <w:lastRenderedPageBreak/>
        <w:t xml:space="preserve">later with those of Sen. Joe McCarthy of the 1950s, during the days of the communist witch hunts: </w:t>
      </w:r>
    </w:p>
    <w:p w14:paraId="31D70061" w14:textId="64BCF699" w:rsidR="00B10FA3" w:rsidRPr="00B5392A" w:rsidRDefault="00B10FA3" w:rsidP="6375CABF">
      <w:pPr>
        <w:spacing w:line="480" w:lineRule="auto"/>
        <w:rPr>
          <w:rFonts w:ascii="Times New Roman" w:hAnsi="Times New Roman" w:cs="Times New Roman"/>
          <w:i/>
          <w:iCs/>
          <w:color w:val="000000" w:themeColor="text1"/>
        </w:rPr>
      </w:pPr>
      <w:r w:rsidRPr="00B5392A">
        <w:rPr>
          <w:rFonts w:ascii="Times New Roman" w:hAnsi="Times New Roman" w:cs="Times New Roman"/>
          <w:i/>
          <w:iCs/>
        </w:rPr>
        <w:t>I have now in my possession complete and indubitable proof that such societies do exist…in the United States</w:t>
      </w:r>
      <w:r w:rsidR="5818290C" w:rsidRPr="00B5392A">
        <w:rPr>
          <w:rFonts w:ascii="Times New Roman" w:hAnsi="Times New Roman" w:cs="Times New Roman"/>
          <w:i/>
          <w:iCs/>
        </w:rPr>
        <w:t xml:space="preserve">. </w:t>
      </w:r>
      <w:r w:rsidRPr="00B5392A">
        <w:rPr>
          <w:rStyle w:val="FootnoteReference"/>
          <w:rFonts w:ascii="Times New Roman" w:hAnsi="Times New Roman" w:cs="Times New Roman"/>
          <w:i/>
          <w:iCs/>
        </w:rPr>
        <w:footnoteReference w:id="44"/>
      </w:r>
    </w:p>
    <w:p w14:paraId="203664F4" w14:textId="5CC132AC" w:rsidR="00B10FA3" w:rsidRPr="00B5392A" w:rsidRDefault="00B10FA3" w:rsidP="009674ED">
      <w:pPr>
        <w:spacing w:line="480" w:lineRule="auto"/>
        <w:rPr>
          <w:rFonts w:ascii="Times New Roman" w:hAnsi="Times New Roman" w:cs="Times New Roman"/>
        </w:rPr>
      </w:pPr>
      <w:r w:rsidRPr="00B5392A">
        <w:rPr>
          <w:rFonts w:ascii="Times New Roman" w:hAnsi="Times New Roman" w:cs="Times New Roman"/>
          <w:i/>
          <w:iCs/>
        </w:rPr>
        <w:t xml:space="preserve">   </w:t>
      </w:r>
      <w:r w:rsidRPr="00B5392A">
        <w:rPr>
          <w:rFonts w:ascii="Times New Roman" w:hAnsi="Times New Roman" w:cs="Times New Roman"/>
        </w:rPr>
        <w:t xml:space="preserve">In the end, the US, in response to Illuminati threats, passed the </w:t>
      </w:r>
      <w:r w:rsidRPr="00B5392A">
        <w:rPr>
          <w:rFonts w:ascii="Times New Roman" w:hAnsi="Times New Roman" w:cs="Times New Roman"/>
          <w:i/>
          <w:iCs/>
        </w:rPr>
        <w:t xml:space="preserve">Alien and Sedition Acts, </w:t>
      </w:r>
      <w:r w:rsidRPr="00B5392A">
        <w:rPr>
          <w:rFonts w:ascii="Times New Roman" w:hAnsi="Times New Roman" w:cs="Times New Roman"/>
        </w:rPr>
        <w:t>essentially shutting down freedom of speech, in a reaction to supposed enemies both internal and external to the US from abroad.</w:t>
      </w:r>
      <w:r w:rsidR="2FAE51EA" w:rsidRPr="00B5392A">
        <w:rPr>
          <w:rFonts w:ascii="Times New Roman" w:hAnsi="Times New Roman" w:cs="Times New Roman"/>
        </w:rPr>
        <w:t xml:space="preserve"> </w:t>
      </w:r>
      <w:r w:rsidRPr="00B5392A">
        <w:rPr>
          <w:rStyle w:val="FootnoteReference"/>
          <w:rFonts w:ascii="Times New Roman" w:hAnsi="Times New Roman" w:cs="Times New Roman"/>
        </w:rPr>
        <w:footnoteReference w:id="45"/>
      </w:r>
      <w:r w:rsidRPr="00B5392A">
        <w:rPr>
          <w:rFonts w:ascii="Times New Roman" w:hAnsi="Times New Roman" w:cs="Times New Roman"/>
        </w:rPr>
        <w:t xml:space="preserve"> Conspiracies attributing activities to the </w:t>
      </w:r>
      <w:r w:rsidRPr="00B5392A">
        <w:rPr>
          <w:rFonts w:ascii="Times New Roman" w:hAnsi="Times New Roman" w:cs="Times New Roman"/>
          <w:i/>
          <w:iCs/>
        </w:rPr>
        <w:t>Illuminati</w:t>
      </w:r>
      <w:r w:rsidRPr="00B5392A">
        <w:rPr>
          <w:rFonts w:ascii="Times New Roman" w:hAnsi="Times New Roman" w:cs="Times New Roman"/>
        </w:rPr>
        <w:t xml:space="preserve"> continue to the present day.</w:t>
      </w:r>
    </w:p>
    <w:p w14:paraId="61CBA4B4" w14:textId="77777777" w:rsidR="00B10FA3" w:rsidRPr="00B5392A" w:rsidRDefault="00B10FA3" w:rsidP="009674ED">
      <w:pPr>
        <w:spacing w:line="480" w:lineRule="auto"/>
        <w:rPr>
          <w:rFonts w:ascii="Times New Roman" w:hAnsi="Times New Roman" w:cs="Times New Roman"/>
        </w:rPr>
      </w:pPr>
      <w:r w:rsidRPr="00B5392A">
        <w:rPr>
          <w:rFonts w:ascii="Times New Roman" w:hAnsi="Times New Roman" w:cs="Times New Roman"/>
        </w:rPr>
        <w:t xml:space="preserve">      Conspiracies often involve a boogeyman; there must be an instigator of evil deeds to the body politic. Such demons might be of a racial or religious makeup – Catholics and blacks being the targets of the Ku Klux Klan since the Civil War. </w:t>
      </w:r>
    </w:p>
    <w:p w14:paraId="5C7A72D8" w14:textId="7657B74C" w:rsidR="00B10FA3" w:rsidRPr="00B5392A" w:rsidRDefault="00B10FA3" w:rsidP="009674ED">
      <w:pPr>
        <w:spacing w:line="480" w:lineRule="auto"/>
        <w:rPr>
          <w:rFonts w:ascii="Times New Roman" w:hAnsi="Times New Roman" w:cs="Times New Roman"/>
        </w:rPr>
      </w:pPr>
      <w:r w:rsidRPr="00B5392A">
        <w:rPr>
          <w:rFonts w:ascii="Times New Roman" w:hAnsi="Times New Roman" w:cs="Times New Roman"/>
        </w:rPr>
        <w:t xml:space="preserve">     Jews were always a favorite target of European conspiracies and pogroms. By the end of the 19</w:t>
      </w:r>
      <w:r w:rsidRPr="00B5392A">
        <w:rPr>
          <w:rFonts w:ascii="Times New Roman" w:hAnsi="Times New Roman" w:cs="Times New Roman"/>
          <w:vertAlign w:val="superscript"/>
        </w:rPr>
        <w:t>th</w:t>
      </w:r>
      <w:r w:rsidRPr="00B5392A">
        <w:rPr>
          <w:rFonts w:ascii="Times New Roman" w:hAnsi="Times New Roman" w:cs="Times New Roman"/>
        </w:rPr>
        <w:t xml:space="preserve"> century, age old European </w:t>
      </w:r>
      <w:r w:rsidR="00BE5AD6">
        <w:rPr>
          <w:rFonts w:ascii="Times New Roman" w:hAnsi="Times New Roman" w:cs="Times New Roman"/>
        </w:rPr>
        <w:t>a</w:t>
      </w:r>
      <w:r w:rsidRPr="00B5392A">
        <w:rPr>
          <w:rFonts w:ascii="Times New Roman" w:hAnsi="Times New Roman" w:cs="Times New Roman"/>
        </w:rPr>
        <w:t>ntisem</w:t>
      </w:r>
      <w:r w:rsidR="00766826" w:rsidRPr="00B5392A">
        <w:rPr>
          <w:rFonts w:ascii="Times New Roman" w:hAnsi="Times New Roman" w:cs="Times New Roman"/>
        </w:rPr>
        <w:t>i</w:t>
      </w:r>
      <w:r w:rsidRPr="00B5392A">
        <w:rPr>
          <w:rFonts w:ascii="Times New Roman" w:hAnsi="Times New Roman" w:cs="Times New Roman"/>
        </w:rPr>
        <w:t>tism had revived in the US. Of course, it had always been there: Jews were not allowed to vote or hold office in colonial America.</w:t>
      </w:r>
      <w:r w:rsidRPr="00B5392A">
        <w:rPr>
          <w:rStyle w:val="FootnoteReference"/>
          <w:rFonts w:ascii="Times New Roman" w:hAnsi="Times New Roman" w:cs="Times New Roman"/>
        </w:rPr>
        <w:footnoteReference w:id="46"/>
      </w:r>
      <w:r w:rsidRPr="00B5392A">
        <w:rPr>
          <w:rFonts w:ascii="Times New Roman" w:hAnsi="Times New Roman" w:cs="Times New Roman"/>
        </w:rPr>
        <w:t xml:space="preserve"> By 1920, carmaker Henry Ford was espousing active antisemitism, claiming that Jews had a plan for world takeover. His Detroit based radicalism was augmented in the Depression Era 1930s by Father Charles Coughlin, who argued a right-wing populist position that claimed to be anti-capitalist, anti-communist and anti-Jewish.</w:t>
      </w:r>
      <w:r w:rsidRPr="00B5392A">
        <w:rPr>
          <w:rStyle w:val="FootnoteReference"/>
          <w:rFonts w:ascii="Times New Roman" w:hAnsi="Times New Roman" w:cs="Times New Roman"/>
        </w:rPr>
        <w:footnoteReference w:id="47"/>
      </w:r>
    </w:p>
    <w:p w14:paraId="6094A00F" w14:textId="77777777" w:rsidR="00B10FA3" w:rsidRPr="00B5392A" w:rsidRDefault="00B10FA3" w:rsidP="009674ED">
      <w:pPr>
        <w:spacing w:line="480" w:lineRule="auto"/>
        <w:rPr>
          <w:rFonts w:ascii="Times New Roman" w:hAnsi="Times New Roman" w:cs="Times New Roman"/>
        </w:rPr>
      </w:pPr>
      <w:r w:rsidRPr="00B5392A">
        <w:rPr>
          <w:rFonts w:ascii="Times New Roman" w:hAnsi="Times New Roman" w:cs="Times New Roman"/>
        </w:rPr>
        <w:t xml:space="preserve">     Right-wing agitator and one time US Senate candidate Gerrald K. Smith held anti-Jewish right-wing beliefs from the 1930s until his death in 1976, often to great acclaim. Smith had </w:t>
      </w:r>
      <w:r w:rsidRPr="00B5392A">
        <w:rPr>
          <w:rFonts w:ascii="Times New Roman" w:hAnsi="Times New Roman" w:cs="Times New Roman"/>
        </w:rPr>
        <w:lastRenderedPageBreak/>
        <w:t>served as an assistant to radical US Senator from Louisiana, Huey Long, in the early 1930s, before Long’s assassination.</w:t>
      </w:r>
      <w:r w:rsidRPr="00B5392A">
        <w:rPr>
          <w:rStyle w:val="FootnoteReference"/>
          <w:rFonts w:ascii="Times New Roman" w:hAnsi="Times New Roman" w:cs="Times New Roman"/>
        </w:rPr>
        <w:footnoteReference w:id="48"/>
      </w:r>
    </w:p>
    <w:p w14:paraId="40CD4640" w14:textId="77777777" w:rsidR="00B10FA3" w:rsidRPr="00B5392A" w:rsidRDefault="00B10FA3" w:rsidP="00252CDA">
      <w:pPr>
        <w:spacing w:line="480" w:lineRule="auto"/>
        <w:rPr>
          <w:rFonts w:ascii="Times New Roman" w:hAnsi="Times New Roman" w:cs="Times New Roman"/>
        </w:rPr>
      </w:pPr>
      <w:r w:rsidRPr="00B5392A">
        <w:rPr>
          <w:rFonts w:ascii="Times New Roman" w:hAnsi="Times New Roman" w:cs="Times New Roman"/>
          <w:b/>
          <w:bCs/>
          <w:i/>
          <w:iCs/>
          <w:sz w:val="28"/>
          <w:szCs w:val="28"/>
        </w:rPr>
        <w:t xml:space="preserve">     </w:t>
      </w:r>
      <w:r w:rsidRPr="00B5392A">
        <w:rPr>
          <w:rFonts w:ascii="Times New Roman" w:hAnsi="Times New Roman" w:cs="Times New Roman"/>
        </w:rPr>
        <w:t xml:space="preserve">The late 1940s and 1950s ushered in the Cold War and the accompanying fear and paranoia brought out by the nuclear age. Communist paranoia, conspiracies about ‘sleeper cells’ and ‘fifth columnists’ were replete and careers were ruined by the right-wing anti-communist campaign by US Sen. Joe McCarthy. When communist aliens weren’t the issue, aliens from outer space were, and the early Cold War is replete with conspiracy, paranoia and insecurity about The Other. </w:t>
      </w:r>
    </w:p>
    <w:p w14:paraId="1E0CE72F" w14:textId="7F173DBE" w:rsidR="00B10FA3" w:rsidRDefault="00B10FA3" w:rsidP="00252CDA">
      <w:pPr>
        <w:spacing w:line="480" w:lineRule="auto"/>
        <w:rPr>
          <w:rFonts w:ascii="Times New Roman" w:hAnsi="Times New Roman" w:cs="Times New Roman"/>
        </w:rPr>
      </w:pPr>
      <w:r w:rsidRPr="00B5392A">
        <w:rPr>
          <w:rFonts w:ascii="Times New Roman" w:hAnsi="Times New Roman" w:cs="Times New Roman"/>
          <w:b/>
          <w:bCs/>
          <w:i/>
          <w:iCs/>
          <w:sz w:val="28"/>
          <w:szCs w:val="28"/>
        </w:rPr>
        <w:t xml:space="preserve">     </w:t>
      </w:r>
      <w:r w:rsidRPr="00B5392A">
        <w:rPr>
          <w:rFonts w:ascii="Times New Roman" w:hAnsi="Times New Roman" w:cs="Times New Roman"/>
        </w:rPr>
        <w:t>In 2024, the US is enjoying many conspiratorial adventures – including the charge by Q-Anon supporters that actor Tom Hanks eats babies, that a pizzeria in Washington, DC was used as a center of pedophilia by the Democratic Party and Hillary Clinton, that the January 6 insurrection at the US Capitol was a “false flag” event, that the Italians were involved in US election interference, not to mention Jewish space la</w:t>
      </w:r>
      <w:r w:rsidR="005A1F77">
        <w:rPr>
          <w:rFonts w:ascii="Times New Roman" w:hAnsi="Times New Roman" w:cs="Times New Roman"/>
        </w:rPr>
        <w:t>z</w:t>
      </w:r>
      <w:r w:rsidRPr="00B5392A">
        <w:rPr>
          <w:rFonts w:ascii="Times New Roman" w:hAnsi="Times New Roman" w:cs="Times New Roman"/>
        </w:rPr>
        <w:t>ars. So, there is plenty of crazy to go around at present.</w:t>
      </w:r>
    </w:p>
    <w:p w14:paraId="44218C6F" w14:textId="77777777" w:rsidR="00BE5AD6" w:rsidRPr="00B5392A" w:rsidRDefault="00BE5AD6" w:rsidP="00252CDA">
      <w:pPr>
        <w:spacing w:line="480" w:lineRule="auto"/>
        <w:rPr>
          <w:rFonts w:ascii="Times New Roman" w:hAnsi="Times New Roman" w:cs="Times New Roman"/>
        </w:rPr>
      </w:pPr>
    </w:p>
    <w:p w14:paraId="38D66D33" w14:textId="77777777" w:rsidR="00B10FA3" w:rsidRPr="00B5392A" w:rsidRDefault="00B10FA3" w:rsidP="00252CDA">
      <w:pPr>
        <w:spacing w:line="480" w:lineRule="auto"/>
        <w:rPr>
          <w:rFonts w:ascii="Times New Roman" w:hAnsi="Times New Roman" w:cs="Times New Roman"/>
        </w:rPr>
      </w:pPr>
      <w:r w:rsidRPr="00B5392A">
        <w:rPr>
          <w:rFonts w:ascii="Times New Roman" w:hAnsi="Times New Roman" w:cs="Times New Roman"/>
          <w:b/>
          <w:bCs/>
          <w:i/>
          <w:iCs/>
          <w:sz w:val="28"/>
          <w:szCs w:val="28"/>
        </w:rPr>
        <w:t>Home Grown Myth: Manifest Destiny</w:t>
      </w:r>
    </w:p>
    <w:p w14:paraId="15280516" w14:textId="77777777" w:rsidR="00B10FA3" w:rsidRPr="00B5392A" w:rsidRDefault="00B10FA3" w:rsidP="00252CDA">
      <w:pPr>
        <w:spacing w:line="480" w:lineRule="auto"/>
        <w:rPr>
          <w:rFonts w:ascii="Times New Roman" w:hAnsi="Times New Roman" w:cs="Times New Roman"/>
        </w:rPr>
      </w:pPr>
      <w:r w:rsidRPr="00B5392A">
        <w:rPr>
          <w:rFonts w:ascii="Times New Roman" w:hAnsi="Times New Roman" w:cs="Times New Roman"/>
        </w:rPr>
        <w:t xml:space="preserve">     Before the young US had an ideology for expansion, it had an impulse. What was needed was a justification, an imperative, a call to arms, a moral imperative.</w:t>
      </w:r>
      <w:r w:rsidRPr="00B5392A">
        <w:rPr>
          <w:rFonts w:ascii="Times New Roman" w:hAnsi="Times New Roman" w:cs="Times New Roman"/>
          <w:b/>
          <w:bCs/>
          <w:i/>
          <w:iCs/>
          <w:sz w:val="28"/>
          <w:szCs w:val="28"/>
        </w:rPr>
        <w:t xml:space="preserve"> </w:t>
      </w:r>
      <w:r w:rsidRPr="00B5392A">
        <w:rPr>
          <w:rFonts w:ascii="Times New Roman" w:hAnsi="Times New Roman" w:cs="Times New Roman"/>
        </w:rPr>
        <w:t xml:space="preserve">There was land, apparently free for the taking, and it was </w:t>
      </w:r>
      <w:r w:rsidRPr="00B5392A">
        <w:rPr>
          <w:rFonts w:ascii="Times New Roman" w:hAnsi="Times New Roman" w:cs="Times New Roman"/>
          <w:i/>
          <w:iCs/>
        </w:rPr>
        <w:t>ours.</w:t>
      </w:r>
    </w:p>
    <w:p w14:paraId="3B57E260" w14:textId="77777777" w:rsidR="00B10FA3" w:rsidRPr="00B5392A" w:rsidRDefault="00B10FA3" w:rsidP="00252CDA">
      <w:pPr>
        <w:spacing w:line="480" w:lineRule="auto"/>
        <w:rPr>
          <w:rFonts w:ascii="Times New Roman" w:hAnsi="Times New Roman" w:cs="Times New Roman"/>
        </w:rPr>
      </w:pPr>
      <w:r w:rsidRPr="00B5392A">
        <w:rPr>
          <w:rFonts w:ascii="Times New Roman" w:hAnsi="Times New Roman" w:cs="Times New Roman"/>
          <w:b/>
          <w:bCs/>
          <w:i/>
          <w:iCs/>
          <w:sz w:val="28"/>
          <w:szCs w:val="28"/>
        </w:rPr>
        <w:t xml:space="preserve">   </w:t>
      </w:r>
      <w:r w:rsidRPr="00B5392A">
        <w:rPr>
          <w:rFonts w:ascii="Times New Roman" w:hAnsi="Times New Roman" w:cs="Times New Roman"/>
        </w:rPr>
        <w:t xml:space="preserve">At bay was an indicator for ideology that maintained a legitimate for decades, if not centuries. It held, in obvious, direct form, the ideas of racial, economic, social and political supremacy. Journalist John L. O’Sullivan wrote, in 1839 that the US has a “divine destiny,” </w:t>
      </w:r>
      <w:r w:rsidRPr="00B5392A">
        <w:rPr>
          <w:rFonts w:ascii="Times New Roman" w:hAnsi="Times New Roman" w:cs="Times New Roman"/>
        </w:rPr>
        <w:lastRenderedPageBreak/>
        <w:t>based on equality, rights of conscience and personal liberty. “Well, the idea stuck, perhaps because of its propaganda line, but more likely because of its direct appeal to the base goals fostered by the lowest political participants at that time.”</w:t>
      </w:r>
      <w:r w:rsidRPr="00B5392A">
        <w:rPr>
          <w:rStyle w:val="FootnoteReference"/>
          <w:rFonts w:ascii="Times New Roman" w:hAnsi="Times New Roman" w:cs="Times New Roman"/>
        </w:rPr>
        <w:footnoteReference w:id="49"/>
      </w:r>
      <w:r w:rsidRPr="00B5392A">
        <w:rPr>
          <w:rFonts w:ascii="Times New Roman" w:hAnsi="Times New Roman" w:cs="Times New Roman"/>
        </w:rPr>
        <w:t xml:space="preserve"> Yes, the supposition of divinity, driven by moral superiority, trumped all other interpretations.</w:t>
      </w:r>
    </w:p>
    <w:p w14:paraId="35945E5C" w14:textId="77777777" w:rsidR="00B10FA3" w:rsidRPr="00B5392A" w:rsidRDefault="00B10FA3" w:rsidP="00252CDA">
      <w:pPr>
        <w:spacing w:line="480" w:lineRule="auto"/>
        <w:rPr>
          <w:rFonts w:ascii="Times New Roman" w:hAnsi="Times New Roman" w:cs="Times New Roman"/>
        </w:rPr>
      </w:pPr>
      <w:r w:rsidRPr="00B5392A">
        <w:rPr>
          <w:rFonts w:ascii="Times New Roman" w:hAnsi="Times New Roman" w:cs="Times New Roman"/>
        </w:rPr>
        <w:t xml:space="preserve">     Over time, the term stuck.</w:t>
      </w:r>
    </w:p>
    <w:p w14:paraId="17F4AEF7" w14:textId="77777777" w:rsidR="00B10FA3" w:rsidRPr="00B5392A" w:rsidRDefault="00B10FA3" w:rsidP="00252CDA">
      <w:pPr>
        <w:spacing w:line="480" w:lineRule="auto"/>
        <w:rPr>
          <w:rFonts w:ascii="Times New Roman" w:hAnsi="Times New Roman" w:cs="Times New Roman"/>
        </w:rPr>
      </w:pPr>
      <w:r w:rsidRPr="00B5392A">
        <w:rPr>
          <w:rFonts w:ascii="Times New Roman" w:hAnsi="Times New Roman" w:cs="Times New Roman"/>
        </w:rPr>
        <w:t xml:space="preserve">     If one examines US foreign policy over the past two centuries, one can easily fathom the means by which the US demonstrated its “moral superiority,” from the Mexican War to Iraq.</w:t>
      </w:r>
    </w:p>
    <w:p w14:paraId="20E8EE68" w14:textId="1EEC6CB4" w:rsidR="00B10FA3" w:rsidRPr="00B5392A" w:rsidRDefault="00B10FA3" w:rsidP="00252CDA">
      <w:pPr>
        <w:spacing w:line="480" w:lineRule="auto"/>
        <w:rPr>
          <w:rFonts w:ascii="Times New Roman" w:hAnsi="Times New Roman" w:cs="Times New Roman"/>
        </w:rPr>
      </w:pPr>
      <w:r w:rsidRPr="00B5392A">
        <w:rPr>
          <w:rFonts w:ascii="Times New Roman" w:hAnsi="Times New Roman" w:cs="Times New Roman"/>
        </w:rPr>
        <w:t xml:space="preserve">     Of course, one could extrapolate official US doctrine, just since the Second World War and it would fill an entire book - and, in fact fills many pages.</w:t>
      </w:r>
      <w:r w:rsidRPr="00B5392A">
        <w:rPr>
          <w:rStyle w:val="FootnoteReference"/>
          <w:rFonts w:ascii="Times New Roman" w:hAnsi="Times New Roman" w:cs="Times New Roman"/>
        </w:rPr>
        <w:footnoteReference w:id="50"/>
      </w:r>
      <w:r w:rsidRPr="00B5392A">
        <w:rPr>
          <w:rFonts w:ascii="Times New Roman" w:hAnsi="Times New Roman" w:cs="Times New Roman"/>
        </w:rPr>
        <w:t xml:space="preserve"> In our lifetime, various administrations, both Democratic and Republican, have justified foreign intervention – or intentional political, economic and military </w:t>
      </w:r>
      <w:r w:rsidRPr="00B5392A">
        <w:rPr>
          <w:rFonts w:ascii="Times New Roman" w:hAnsi="Times New Roman" w:cs="Times New Roman"/>
          <w:i/>
          <w:iCs/>
        </w:rPr>
        <w:t>inaction</w:t>
      </w:r>
      <w:r w:rsidRPr="00B5392A">
        <w:rPr>
          <w:rFonts w:ascii="Times New Roman" w:hAnsi="Times New Roman" w:cs="Times New Roman"/>
        </w:rPr>
        <w:t xml:space="preserve"> in the name of ‘democracy,’ ‘freedom,’ ‘liberation’ or other descriptors. These countries include (but are not limited to) Guat</w:t>
      </w:r>
      <w:r w:rsidR="005A1F77">
        <w:rPr>
          <w:rFonts w:ascii="Times New Roman" w:hAnsi="Times New Roman" w:cs="Times New Roman"/>
        </w:rPr>
        <w:t>e</w:t>
      </w:r>
      <w:r w:rsidRPr="00B5392A">
        <w:rPr>
          <w:rFonts w:ascii="Times New Roman" w:hAnsi="Times New Roman" w:cs="Times New Roman"/>
        </w:rPr>
        <w:t xml:space="preserve">mala, Cuba, Columbia, Nicaragua, Panama, Grenada, and, lately, Iraq: not a great record. Add Iran, Cambodia, the Philippines, Vietnam, and even South Africa to it, and the list becomes criminal. </w:t>
      </w:r>
    </w:p>
    <w:p w14:paraId="230ED9DC" w14:textId="77777777" w:rsidR="00B10FA3" w:rsidRPr="00B5392A" w:rsidRDefault="00B10FA3" w:rsidP="00252CDA">
      <w:pPr>
        <w:spacing w:line="480" w:lineRule="auto"/>
        <w:rPr>
          <w:rFonts w:ascii="Times New Roman" w:hAnsi="Times New Roman" w:cs="Times New Roman"/>
        </w:rPr>
      </w:pPr>
      <w:r w:rsidRPr="00B5392A">
        <w:rPr>
          <w:rFonts w:ascii="Times New Roman" w:hAnsi="Times New Roman" w:cs="Times New Roman"/>
        </w:rPr>
        <w:t xml:space="preserve"> </w:t>
      </w:r>
    </w:p>
    <w:p w14:paraId="0BC88ABE" w14:textId="77777777" w:rsidR="00B10FA3" w:rsidRPr="00B5392A" w:rsidRDefault="00B10FA3" w:rsidP="00252CDA">
      <w:pPr>
        <w:spacing w:line="480" w:lineRule="auto"/>
        <w:rPr>
          <w:rFonts w:ascii="Times New Roman" w:hAnsi="Times New Roman" w:cs="Times New Roman"/>
          <w:b/>
          <w:bCs/>
          <w:i/>
          <w:iCs/>
          <w:sz w:val="28"/>
          <w:szCs w:val="28"/>
        </w:rPr>
      </w:pPr>
      <w:r w:rsidRPr="00B5392A">
        <w:rPr>
          <w:rFonts w:ascii="Times New Roman" w:hAnsi="Times New Roman" w:cs="Times New Roman"/>
        </w:rPr>
        <w:t xml:space="preserve">    </w:t>
      </w:r>
      <w:r w:rsidRPr="00B5392A">
        <w:rPr>
          <w:rFonts w:ascii="Times New Roman" w:hAnsi="Times New Roman" w:cs="Times New Roman"/>
          <w:b/>
          <w:bCs/>
          <w:i/>
          <w:iCs/>
          <w:sz w:val="28"/>
          <w:szCs w:val="28"/>
        </w:rPr>
        <w:t>Frontier Myths</w:t>
      </w:r>
    </w:p>
    <w:p w14:paraId="277F48E2" w14:textId="77777777" w:rsidR="00B10FA3" w:rsidRPr="00B5392A" w:rsidRDefault="00B10FA3" w:rsidP="00252CDA">
      <w:pPr>
        <w:spacing w:line="480" w:lineRule="auto"/>
        <w:rPr>
          <w:rFonts w:ascii="Times New Roman" w:hAnsi="Times New Roman" w:cs="Times New Roman"/>
        </w:rPr>
      </w:pPr>
      <w:r w:rsidRPr="00B5392A">
        <w:rPr>
          <w:rFonts w:ascii="Times New Roman" w:hAnsi="Times New Roman" w:cs="Times New Roman"/>
          <w:b/>
          <w:bCs/>
          <w:i/>
          <w:iCs/>
          <w:sz w:val="28"/>
          <w:szCs w:val="28"/>
        </w:rPr>
        <w:t xml:space="preserve">     </w:t>
      </w:r>
      <w:r w:rsidRPr="00B5392A">
        <w:rPr>
          <w:rFonts w:ascii="Times New Roman" w:hAnsi="Times New Roman" w:cs="Times New Roman"/>
        </w:rPr>
        <w:t xml:space="preserve">Traditionally, American frontier myths have concerned the expansiveness of American land and culture, about the limitless possibilities therein; the opportunities of individual initiative and drive; a way forward into the unknown. These myths are related to expansion myths, but tend to focus on the perceived or imagined </w:t>
      </w:r>
      <w:r w:rsidRPr="00B5392A">
        <w:rPr>
          <w:rFonts w:ascii="Times New Roman" w:hAnsi="Times New Roman" w:cs="Times New Roman"/>
          <w:i/>
          <w:iCs/>
        </w:rPr>
        <w:t xml:space="preserve">idea </w:t>
      </w:r>
      <w:r w:rsidRPr="00B5392A">
        <w:rPr>
          <w:rFonts w:ascii="Times New Roman" w:hAnsi="Times New Roman" w:cs="Times New Roman"/>
        </w:rPr>
        <w:t xml:space="preserve">of the frontier, along with </w:t>
      </w:r>
      <w:r w:rsidRPr="00B5392A">
        <w:rPr>
          <w:rFonts w:ascii="Times New Roman" w:hAnsi="Times New Roman" w:cs="Times New Roman"/>
        </w:rPr>
        <w:lastRenderedPageBreak/>
        <w:t xml:space="preserve">containing a moral message about the right – or obligation – for the new settlers to take advantage of the ‘free territory.’ </w:t>
      </w:r>
    </w:p>
    <w:p w14:paraId="189CA994" w14:textId="5306F72D" w:rsidR="00B10FA3" w:rsidRPr="00B5392A" w:rsidRDefault="00B10FA3" w:rsidP="00252CDA">
      <w:pPr>
        <w:spacing w:line="480" w:lineRule="auto"/>
        <w:rPr>
          <w:rFonts w:ascii="Times New Roman" w:hAnsi="Times New Roman" w:cs="Times New Roman"/>
        </w:rPr>
      </w:pPr>
      <w:r w:rsidRPr="00B5392A">
        <w:rPr>
          <w:rFonts w:ascii="Times New Roman" w:hAnsi="Times New Roman" w:cs="Times New Roman"/>
        </w:rPr>
        <w:t xml:space="preserve">     The great American poet, Walt Whitman, was a devotee of the frontier mythology, wrote in his seminal work from 1865 </w:t>
      </w:r>
      <w:r w:rsidRPr="00B5392A">
        <w:rPr>
          <w:rFonts w:ascii="Times New Roman" w:hAnsi="Times New Roman" w:cs="Times New Roman"/>
          <w:i/>
          <w:iCs/>
        </w:rPr>
        <w:t>Leaves of Grass</w:t>
      </w:r>
      <w:r w:rsidRPr="00B5392A">
        <w:rPr>
          <w:rFonts w:ascii="Times New Roman" w:hAnsi="Times New Roman" w:cs="Times New Roman"/>
        </w:rPr>
        <w:t xml:space="preserve"> an excerpt from the following piece, regarding the </w:t>
      </w:r>
      <w:r w:rsidR="7C4E9142" w:rsidRPr="00B5392A">
        <w:rPr>
          <w:rFonts w:ascii="Times New Roman" w:hAnsi="Times New Roman" w:cs="Times New Roman"/>
        </w:rPr>
        <w:t>e</w:t>
      </w:r>
      <w:r w:rsidRPr="00B5392A">
        <w:rPr>
          <w:rFonts w:ascii="Times New Roman" w:hAnsi="Times New Roman" w:cs="Times New Roman"/>
        </w:rPr>
        <w:t xml:space="preserve">xpansion of American life and culture: </w:t>
      </w:r>
    </w:p>
    <w:p w14:paraId="4D2244E4" w14:textId="77777777" w:rsidR="00B10FA3" w:rsidRPr="00B5392A" w:rsidRDefault="00B10FA3" w:rsidP="008E6C81">
      <w:pPr>
        <w:spacing w:after="0" w:line="240" w:lineRule="auto"/>
        <w:rPr>
          <w:rFonts w:ascii="Times New Roman" w:eastAsia="Times New Roman" w:hAnsi="Times New Roman" w:cs="Times New Roman"/>
          <w:i/>
          <w:iCs/>
          <w:lang w:eastAsia="en-CA"/>
        </w:rPr>
      </w:pPr>
    </w:p>
    <w:p w14:paraId="36B9CC86" w14:textId="77777777" w:rsidR="00B10FA3" w:rsidRPr="00B5392A" w:rsidRDefault="00B10FA3" w:rsidP="008E6C81">
      <w:pPr>
        <w:spacing w:after="0" w:line="240" w:lineRule="auto"/>
        <w:rPr>
          <w:rFonts w:ascii="Times New Roman" w:eastAsia="Times New Roman" w:hAnsi="Times New Roman" w:cs="Times New Roman"/>
          <w:i/>
          <w:iCs/>
          <w:lang w:eastAsia="en-CA"/>
        </w:rPr>
      </w:pPr>
      <w:r w:rsidRPr="00B5392A">
        <w:rPr>
          <w:rFonts w:ascii="Times New Roman" w:eastAsia="Times New Roman" w:hAnsi="Times New Roman" w:cs="Times New Roman"/>
          <w:i/>
          <w:iCs/>
          <w:lang w:eastAsia="en-CA"/>
        </w:rPr>
        <w:t xml:space="preserve">Come my tan-faced children, </w:t>
      </w:r>
    </w:p>
    <w:p w14:paraId="10E80786" w14:textId="77777777" w:rsidR="00B10FA3" w:rsidRPr="00B5392A" w:rsidRDefault="00B10FA3" w:rsidP="008E6C81">
      <w:pPr>
        <w:spacing w:before="100" w:beforeAutospacing="1" w:after="100" w:afterAutospacing="1" w:line="240" w:lineRule="auto"/>
        <w:rPr>
          <w:rFonts w:ascii="Times New Roman" w:eastAsia="Times New Roman" w:hAnsi="Times New Roman" w:cs="Times New Roman"/>
          <w:i/>
          <w:iCs/>
          <w:lang w:eastAsia="en-CA"/>
        </w:rPr>
      </w:pPr>
      <w:r w:rsidRPr="00B5392A">
        <w:rPr>
          <w:rFonts w:ascii="Times New Roman" w:eastAsia="Times New Roman" w:hAnsi="Times New Roman" w:cs="Times New Roman"/>
          <w:i/>
          <w:iCs/>
          <w:lang w:eastAsia="en-CA"/>
        </w:rPr>
        <w:t xml:space="preserve">Follow well in order, get your weapons ready, </w:t>
      </w:r>
      <w:r w:rsidRPr="00B5392A">
        <w:rPr>
          <w:rFonts w:ascii="Times New Roman" w:eastAsia="Times New Roman" w:hAnsi="Times New Roman" w:cs="Times New Roman"/>
          <w:i/>
          <w:iCs/>
          <w:lang w:eastAsia="en-CA"/>
        </w:rPr>
        <w:br/>
        <w:t xml:space="preserve">Have you your pistols? have you your sharp-edged axes? </w:t>
      </w:r>
      <w:r w:rsidRPr="00B5392A">
        <w:rPr>
          <w:rFonts w:ascii="Times New Roman" w:eastAsia="Times New Roman" w:hAnsi="Times New Roman" w:cs="Times New Roman"/>
          <w:i/>
          <w:iCs/>
          <w:lang w:eastAsia="en-CA"/>
        </w:rPr>
        <w:br/>
        <w:t xml:space="preserve">Pioneers! O pioneers! </w:t>
      </w:r>
    </w:p>
    <w:p w14:paraId="3075672A" w14:textId="77777777" w:rsidR="00B10FA3" w:rsidRPr="00B5392A" w:rsidRDefault="00B10FA3" w:rsidP="008E6C81">
      <w:pPr>
        <w:spacing w:before="100" w:beforeAutospacing="1" w:after="100" w:afterAutospacing="1" w:line="240" w:lineRule="auto"/>
        <w:rPr>
          <w:rFonts w:ascii="Times New Roman" w:eastAsia="Times New Roman" w:hAnsi="Times New Roman" w:cs="Times New Roman"/>
          <w:i/>
          <w:iCs/>
          <w:lang w:eastAsia="en-CA"/>
        </w:rPr>
      </w:pPr>
      <w:r w:rsidRPr="00B5392A">
        <w:rPr>
          <w:rFonts w:ascii="Times New Roman" w:eastAsia="Times New Roman" w:hAnsi="Times New Roman" w:cs="Times New Roman"/>
          <w:i/>
          <w:iCs/>
          <w:lang w:eastAsia="en-CA"/>
        </w:rPr>
        <w:t xml:space="preserve">For we cannot tarry here, </w:t>
      </w:r>
      <w:r w:rsidRPr="00B5392A">
        <w:rPr>
          <w:rFonts w:ascii="Times New Roman" w:eastAsia="Times New Roman" w:hAnsi="Times New Roman" w:cs="Times New Roman"/>
          <w:i/>
          <w:iCs/>
          <w:lang w:eastAsia="en-CA"/>
        </w:rPr>
        <w:br/>
        <w:t xml:space="preserve">We must march my darlings, we must bear the brunt of danger, </w:t>
      </w:r>
      <w:r w:rsidRPr="00B5392A">
        <w:rPr>
          <w:rFonts w:ascii="Times New Roman" w:eastAsia="Times New Roman" w:hAnsi="Times New Roman" w:cs="Times New Roman"/>
          <w:i/>
          <w:iCs/>
          <w:lang w:eastAsia="en-CA"/>
        </w:rPr>
        <w:br/>
        <w:t xml:space="preserve">We the youthful sinewy races, all the rest on us depend, </w:t>
      </w:r>
      <w:r w:rsidRPr="00B5392A">
        <w:rPr>
          <w:rFonts w:ascii="Times New Roman" w:eastAsia="Times New Roman" w:hAnsi="Times New Roman" w:cs="Times New Roman"/>
          <w:i/>
          <w:iCs/>
          <w:lang w:eastAsia="en-CA"/>
        </w:rPr>
        <w:br/>
        <w:t xml:space="preserve">Pioneers! O pioneers! </w:t>
      </w:r>
    </w:p>
    <w:p w14:paraId="230374AD" w14:textId="77777777" w:rsidR="00B10FA3" w:rsidRPr="00B5392A" w:rsidRDefault="00B10FA3" w:rsidP="008E6C81">
      <w:pPr>
        <w:spacing w:before="100" w:beforeAutospacing="1" w:after="100" w:afterAutospacing="1" w:line="240" w:lineRule="auto"/>
        <w:rPr>
          <w:rFonts w:ascii="Times New Roman" w:eastAsia="Times New Roman" w:hAnsi="Times New Roman" w:cs="Times New Roman"/>
          <w:i/>
          <w:iCs/>
          <w:lang w:eastAsia="en-CA"/>
        </w:rPr>
      </w:pPr>
      <w:r w:rsidRPr="00B5392A">
        <w:rPr>
          <w:rFonts w:ascii="Times New Roman" w:eastAsia="Times New Roman" w:hAnsi="Times New Roman" w:cs="Times New Roman"/>
          <w:i/>
          <w:iCs/>
          <w:lang w:eastAsia="en-CA"/>
        </w:rPr>
        <w:t xml:space="preserve">O you youths, Western youths, </w:t>
      </w:r>
      <w:r w:rsidRPr="00B5392A">
        <w:rPr>
          <w:rFonts w:ascii="Times New Roman" w:eastAsia="Times New Roman" w:hAnsi="Times New Roman" w:cs="Times New Roman"/>
          <w:i/>
          <w:iCs/>
          <w:lang w:eastAsia="en-CA"/>
        </w:rPr>
        <w:br/>
        <w:t>So impatient, full of action, full of manly pride and friendship,</w:t>
      </w:r>
      <w:r w:rsidRPr="00B5392A">
        <w:rPr>
          <w:rFonts w:ascii="Times New Roman" w:eastAsia="Times New Roman" w:hAnsi="Times New Roman" w:cs="Times New Roman"/>
          <w:i/>
          <w:iCs/>
          <w:lang w:eastAsia="en-CA"/>
        </w:rPr>
        <w:br/>
        <w:t xml:space="preserve">Plain I see you Western youths, see you tramping with the foremost, </w:t>
      </w:r>
      <w:r w:rsidRPr="00B5392A">
        <w:rPr>
          <w:rFonts w:ascii="Times New Roman" w:eastAsia="Times New Roman" w:hAnsi="Times New Roman" w:cs="Times New Roman"/>
          <w:i/>
          <w:iCs/>
          <w:lang w:eastAsia="en-CA"/>
        </w:rPr>
        <w:br/>
        <w:t xml:space="preserve">Pioneers! O pioneers! </w:t>
      </w:r>
    </w:p>
    <w:p w14:paraId="569FD016" w14:textId="77777777" w:rsidR="00B10FA3" w:rsidRPr="00B5392A" w:rsidRDefault="00B10FA3" w:rsidP="008E6C81">
      <w:pPr>
        <w:spacing w:before="100" w:beforeAutospacing="1" w:after="100" w:afterAutospacing="1" w:line="240" w:lineRule="auto"/>
        <w:rPr>
          <w:rFonts w:ascii="Times New Roman" w:eastAsia="Times New Roman" w:hAnsi="Times New Roman" w:cs="Times New Roman"/>
          <w:i/>
          <w:iCs/>
          <w:lang w:eastAsia="en-CA"/>
        </w:rPr>
      </w:pPr>
      <w:r w:rsidRPr="00B5392A">
        <w:rPr>
          <w:rFonts w:ascii="Times New Roman" w:eastAsia="Times New Roman" w:hAnsi="Times New Roman" w:cs="Times New Roman"/>
          <w:i/>
          <w:iCs/>
          <w:lang w:eastAsia="en-CA"/>
        </w:rPr>
        <w:t xml:space="preserve">Have the elder races halted? </w:t>
      </w:r>
      <w:r w:rsidRPr="00B5392A">
        <w:rPr>
          <w:rFonts w:ascii="Times New Roman" w:eastAsia="Times New Roman" w:hAnsi="Times New Roman" w:cs="Times New Roman"/>
          <w:i/>
          <w:iCs/>
          <w:lang w:eastAsia="en-CA"/>
        </w:rPr>
        <w:br/>
        <w:t xml:space="preserve">Do they droop and end their lesson, wearied over there beyond the seas? </w:t>
      </w:r>
      <w:r w:rsidRPr="00B5392A">
        <w:rPr>
          <w:rFonts w:ascii="Times New Roman" w:eastAsia="Times New Roman" w:hAnsi="Times New Roman" w:cs="Times New Roman"/>
          <w:i/>
          <w:iCs/>
          <w:lang w:eastAsia="en-CA"/>
        </w:rPr>
        <w:br/>
        <w:t xml:space="preserve">We take up the task eternal, and the burden and the lesson, </w:t>
      </w:r>
      <w:r w:rsidRPr="00B5392A">
        <w:rPr>
          <w:rFonts w:ascii="Times New Roman" w:eastAsia="Times New Roman" w:hAnsi="Times New Roman" w:cs="Times New Roman"/>
          <w:i/>
          <w:iCs/>
          <w:lang w:eastAsia="en-CA"/>
        </w:rPr>
        <w:br/>
        <w:t xml:space="preserve">Pioneers! O pioneers! </w:t>
      </w:r>
    </w:p>
    <w:p w14:paraId="4BFEC185" w14:textId="77777777" w:rsidR="00B10FA3" w:rsidRPr="00B5392A" w:rsidRDefault="00B10FA3" w:rsidP="008E6C81">
      <w:pPr>
        <w:spacing w:before="100" w:beforeAutospacing="1" w:after="100" w:afterAutospacing="1" w:line="240" w:lineRule="auto"/>
        <w:rPr>
          <w:rFonts w:ascii="Times New Roman" w:eastAsia="Times New Roman" w:hAnsi="Times New Roman" w:cs="Times New Roman"/>
          <w:i/>
          <w:iCs/>
          <w:lang w:eastAsia="en-CA"/>
        </w:rPr>
      </w:pPr>
      <w:r w:rsidRPr="00B5392A">
        <w:rPr>
          <w:rFonts w:ascii="Times New Roman" w:eastAsia="Times New Roman" w:hAnsi="Times New Roman" w:cs="Times New Roman"/>
          <w:i/>
          <w:iCs/>
          <w:lang w:eastAsia="en-CA"/>
        </w:rPr>
        <w:t xml:space="preserve">All the past we leave behind, </w:t>
      </w:r>
      <w:r w:rsidRPr="00B5392A">
        <w:rPr>
          <w:rFonts w:ascii="Times New Roman" w:eastAsia="Times New Roman" w:hAnsi="Times New Roman" w:cs="Times New Roman"/>
          <w:i/>
          <w:iCs/>
          <w:lang w:eastAsia="en-CA"/>
        </w:rPr>
        <w:br/>
        <w:t xml:space="preserve">We debouch upon a newer mightier world, varied world, </w:t>
      </w:r>
      <w:r w:rsidRPr="00B5392A">
        <w:rPr>
          <w:rFonts w:ascii="Times New Roman" w:eastAsia="Times New Roman" w:hAnsi="Times New Roman" w:cs="Times New Roman"/>
          <w:i/>
          <w:iCs/>
          <w:lang w:eastAsia="en-CA"/>
        </w:rPr>
        <w:br/>
        <w:t xml:space="preserve">Fresh and strong the world we seize, world of labor and the march, </w:t>
      </w:r>
      <w:r w:rsidRPr="00B5392A">
        <w:rPr>
          <w:rFonts w:ascii="Times New Roman" w:eastAsia="Times New Roman" w:hAnsi="Times New Roman" w:cs="Times New Roman"/>
          <w:i/>
          <w:iCs/>
          <w:lang w:eastAsia="en-CA"/>
        </w:rPr>
        <w:br/>
        <w:t>Pioneers! O pioneers!</w:t>
      </w:r>
      <w:r w:rsidRPr="00B5392A">
        <w:rPr>
          <w:rStyle w:val="FootnoteReference"/>
          <w:rFonts w:ascii="Times New Roman" w:eastAsia="Times New Roman" w:hAnsi="Times New Roman" w:cs="Times New Roman"/>
          <w:i/>
          <w:iCs/>
          <w:lang w:eastAsia="en-CA"/>
        </w:rPr>
        <w:footnoteReference w:id="51"/>
      </w:r>
    </w:p>
    <w:p w14:paraId="0752E9E1" w14:textId="77777777" w:rsidR="00B10FA3" w:rsidRPr="00B5392A" w:rsidRDefault="00B10FA3" w:rsidP="008E6C81">
      <w:pPr>
        <w:spacing w:before="100" w:beforeAutospacing="1" w:after="100" w:afterAutospacing="1" w:line="240" w:lineRule="auto"/>
        <w:rPr>
          <w:rFonts w:ascii="Times New Roman" w:eastAsia="Times New Roman" w:hAnsi="Times New Roman" w:cs="Times New Roman"/>
          <w:i/>
          <w:iCs/>
          <w:lang w:eastAsia="en-CA"/>
        </w:rPr>
      </w:pPr>
    </w:p>
    <w:p w14:paraId="12E3190F" w14:textId="61098BE1" w:rsidR="00B10FA3" w:rsidRPr="00B5392A" w:rsidRDefault="00B10FA3" w:rsidP="00252CDA">
      <w:pPr>
        <w:spacing w:line="480" w:lineRule="auto"/>
        <w:rPr>
          <w:rFonts w:ascii="Times New Roman" w:hAnsi="Times New Roman" w:cs="Times New Roman"/>
        </w:rPr>
      </w:pPr>
      <w:r w:rsidRPr="00B5392A">
        <w:rPr>
          <w:rFonts w:ascii="Times New Roman" w:hAnsi="Times New Roman" w:cs="Times New Roman"/>
        </w:rPr>
        <w:t xml:space="preserve">    Henry David Thoreau also admired in 1854 the seemingly limitless boundaries of the frontier, writing in </w:t>
      </w:r>
      <w:r w:rsidRPr="00B5392A">
        <w:rPr>
          <w:rFonts w:ascii="Times New Roman" w:hAnsi="Times New Roman" w:cs="Times New Roman"/>
          <w:i/>
          <w:iCs/>
        </w:rPr>
        <w:t>Waldon</w:t>
      </w:r>
      <w:r w:rsidRPr="00B5392A">
        <w:rPr>
          <w:rFonts w:ascii="Times New Roman" w:hAnsi="Times New Roman" w:cs="Times New Roman"/>
        </w:rPr>
        <w:t xml:space="preserve"> the advantages of the simple life, afforded by perfect nature, a self-</w:t>
      </w:r>
      <w:r w:rsidRPr="00B5392A">
        <w:rPr>
          <w:rFonts w:ascii="Times New Roman" w:hAnsi="Times New Roman" w:cs="Times New Roman"/>
        </w:rPr>
        <w:lastRenderedPageBreak/>
        <w:t>built cabin, and self</w:t>
      </w:r>
      <w:r w:rsidR="002656E4" w:rsidRPr="00B5392A">
        <w:rPr>
          <w:rFonts w:ascii="Times New Roman" w:hAnsi="Times New Roman" w:cs="Times New Roman"/>
        </w:rPr>
        <w:t>-</w:t>
      </w:r>
      <w:r w:rsidRPr="00B5392A">
        <w:rPr>
          <w:rFonts w:ascii="Times New Roman" w:hAnsi="Times New Roman" w:cs="Times New Roman"/>
        </w:rPr>
        <w:t>reliance. Thoreau expressed a form of male independence that persists to this day.</w:t>
      </w:r>
      <w:r w:rsidRPr="00B5392A">
        <w:rPr>
          <w:rStyle w:val="FootnoteReference"/>
          <w:rFonts w:ascii="Times New Roman" w:hAnsi="Times New Roman" w:cs="Times New Roman"/>
        </w:rPr>
        <w:footnoteReference w:id="52"/>
      </w:r>
    </w:p>
    <w:p w14:paraId="2D451065" w14:textId="77777777" w:rsidR="00B10FA3" w:rsidRPr="00B5392A" w:rsidRDefault="00B10FA3" w:rsidP="00252CDA">
      <w:pPr>
        <w:spacing w:line="480" w:lineRule="auto"/>
        <w:rPr>
          <w:rFonts w:ascii="Times New Roman" w:hAnsi="Times New Roman" w:cs="Times New Roman"/>
        </w:rPr>
      </w:pPr>
      <w:r w:rsidRPr="00B5392A">
        <w:rPr>
          <w:rFonts w:ascii="Times New Roman" w:hAnsi="Times New Roman" w:cs="Times New Roman"/>
        </w:rPr>
        <w:t xml:space="preserve">     James Fenimore Cooper also provided a positive assessment of the early republic, in its expansionist mode: </w:t>
      </w:r>
    </w:p>
    <w:p w14:paraId="4D92B228" w14:textId="01610D4D" w:rsidR="00B10FA3" w:rsidRPr="00B5392A" w:rsidRDefault="00B10FA3" w:rsidP="6375CABF">
      <w:pPr>
        <w:spacing w:line="240" w:lineRule="auto"/>
        <w:rPr>
          <w:rFonts w:ascii="Times New Roman" w:hAnsi="Times New Roman" w:cs="Times New Roman"/>
          <w:i/>
          <w:iCs/>
        </w:rPr>
      </w:pPr>
      <w:r w:rsidRPr="00B5392A">
        <w:rPr>
          <w:rFonts w:ascii="Times New Roman" w:hAnsi="Times New Roman" w:cs="Times New Roman"/>
        </w:rPr>
        <w:t xml:space="preserve">     "This perennial rebirth, this fluidity of American life, this expansion westward with its new opportunities, its continuous touch with the simplicity of primitive society, furnish the forces dominating American character.... It begins with the Indian and the hunter; it goes on to tell of the disintegration of savagery by the entrance of the trader, the pathfinder of civilization..."</w:t>
      </w:r>
      <w:bookmarkStart w:id="0" w:name="22"/>
      <w:bookmarkEnd w:id="0"/>
      <w:r w:rsidRPr="00B5392A">
        <w:rPr>
          <w:rStyle w:val="FootnoteReference"/>
          <w:rFonts w:ascii="Times New Roman" w:hAnsi="Times New Roman" w:cs="Times New Roman"/>
        </w:rPr>
        <w:footnoteReference w:id="53"/>
      </w:r>
      <w:r w:rsidRPr="00B5392A">
        <w:rPr>
          <w:rFonts w:ascii="Times New Roman" w:hAnsi="Times New Roman" w:cs="Times New Roman"/>
          <w:i/>
          <w:iCs/>
        </w:rPr>
        <w:t xml:space="preserve"> </w:t>
      </w:r>
    </w:p>
    <w:p w14:paraId="0FC97C9B" w14:textId="77777777" w:rsidR="00B10FA3" w:rsidRPr="00B5392A" w:rsidRDefault="00B10FA3" w:rsidP="001C57AF">
      <w:pPr>
        <w:spacing w:line="240" w:lineRule="auto"/>
        <w:rPr>
          <w:rFonts w:ascii="Times New Roman" w:hAnsi="Times New Roman" w:cs="Times New Roman"/>
          <w:i/>
          <w:iCs/>
        </w:rPr>
      </w:pPr>
    </w:p>
    <w:p w14:paraId="3FBDF224" w14:textId="77777777" w:rsidR="00B10FA3" w:rsidRPr="00B5392A" w:rsidRDefault="00B10FA3" w:rsidP="00252CDA">
      <w:pPr>
        <w:spacing w:line="480" w:lineRule="auto"/>
        <w:rPr>
          <w:rFonts w:ascii="Times New Roman" w:hAnsi="Times New Roman" w:cs="Times New Roman"/>
          <w:color w:val="FF0000"/>
        </w:rPr>
      </w:pPr>
      <w:r w:rsidRPr="00B5392A">
        <w:rPr>
          <w:rFonts w:ascii="Times New Roman" w:hAnsi="Times New Roman" w:cs="Times New Roman"/>
          <w:color w:val="000000" w:themeColor="text1"/>
        </w:rPr>
        <w:t xml:space="preserve">     In 1893, at a speech before the American Historical Society, Frederick Jackson Turner gave voice to the idea of a ‘frontier identity’ in American culture. The expanse of western territory, he argued, gave rise to a democratic energy and individualism that was culturally defining. White people possessed the right and the will to expand, to develop democratic individualism, and to set an example for all of the western world, rejecting the elitism of Europe.</w:t>
      </w:r>
      <w:r w:rsidRPr="00B5392A">
        <w:rPr>
          <w:rFonts w:ascii="Times New Roman" w:hAnsi="Times New Roman" w:cs="Times New Roman"/>
          <w:color w:val="FF0000"/>
        </w:rPr>
        <w:t xml:space="preserve"> </w:t>
      </w:r>
    </w:p>
    <w:p w14:paraId="74FF32E1" w14:textId="38661542" w:rsidR="00B10FA3" w:rsidRPr="00B5392A" w:rsidRDefault="00B10FA3" w:rsidP="00252CDA">
      <w:pPr>
        <w:spacing w:line="480" w:lineRule="auto"/>
        <w:rPr>
          <w:rFonts w:ascii="Times New Roman" w:hAnsi="Times New Roman" w:cs="Times New Roman"/>
          <w:color w:val="000000" w:themeColor="text1"/>
        </w:rPr>
      </w:pPr>
      <w:r w:rsidRPr="00B5392A">
        <w:rPr>
          <w:rFonts w:ascii="Times New Roman" w:hAnsi="Times New Roman" w:cs="Times New Roman"/>
          <w:color w:val="FF0000"/>
        </w:rPr>
        <w:t xml:space="preserve">    </w:t>
      </w:r>
      <w:r w:rsidRPr="00B5392A">
        <w:rPr>
          <w:rFonts w:ascii="Times New Roman" w:hAnsi="Times New Roman" w:cs="Times New Roman"/>
          <w:color w:val="000000" w:themeColor="text1"/>
        </w:rPr>
        <w:t>Historian Ch</w:t>
      </w:r>
      <w:r w:rsidR="00BE5AD6">
        <w:rPr>
          <w:rFonts w:ascii="Times New Roman" w:hAnsi="Times New Roman" w:cs="Times New Roman"/>
          <w:color w:val="000000" w:themeColor="text1"/>
        </w:rPr>
        <w:t>a</w:t>
      </w:r>
      <w:r w:rsidRPr="00B5392A">
        <w:rPr>
          <w:rFonts w:ascii="Times New Roman" w:hAnsi="Times New Roman" w:cs="Times New Roman"/>
          <w:color w:val="000000" w:themeColor="text1"/>
        </w:rPr>
        <w:t>rles Beard was a leading advocate of the ideas of Frederick Jackson Turner, believing that America had evolved through “waves” of expansion, first through the eastern Alleghenies and then further westward. He bought into the idea that the American frontier was a barren expanse, one that lent itself to survivalism, innovation and a levelling equality, leading to democratic values.</w:t>
      </w:r>
      <w:r w:rsidRPr="00B5392A">
        <w:rPr>
          <w:rStyle w:val="FootnoteReference"/>
          <w:rFonts w:ascii="Times New Roman" w:hAnsi="Times New Roman" w:cs="Times New Roman"/>
          <w:color w:val="000000" w:themeColor="text1"/>
        </w:rPr>
        <w:footnoteReference w:id="54"/>
      </w:r>
    </w:p>
    <w:p w14:paraId="7D4FDFD7" w14:textId="77777777" w:rsidR="00B10FA3" w:rsidRDefault="00B10FA3" w:rsidP="00252CDA">
      <w:pPr>
        <w:spacing w:line="480" w:lineRule="auto"/>
        <w:rPr>
          <w:rFonts w:ascii="Times New Roman" w:hAnsi="Times New Roman" w:cs="Times New Roman"/>
          <w:color w:val="000000" w:themeColor="text1"/>
        </w:rPr>
      </w:pPr>
      <w:r w:rsidRPr="00B5392A">
        <w:rPr>
          <w:rFonts w:ascii="Times New Roman" w:hAnsi="Times New Roman" w:cs="Times New Roman"/>
          <w:color w:val="FF0000"/>
        </w:rPr>
        <w:t xml:space="preserve">     </w:t>
      </w:r>
      <w:r w:rsidRPr="00B5392A">
        <w:rPr>
          <w:rFonts w:ascii="Times New Roman" w:hAnsi="Times New Roman" w:cs="Times New Roman"/>
          <w:color w:val="000000" w:themeColor="text1"/>
        </w:rPr>
        <w:t xml:space="preserve">The point here is that, within the American psyche is an idea of dominance, militarism, and righteousness that affects not just the psychology of the country, but that lives deeply in the </w:t>
      </w:r>
      <w:r w:rsidRPr="00B5392A">
        <w:rPr>
          <w:rFonts w:ascii="Times New Roman" w:hAnsi="Times New Roman" w:cs="Times New Roman"/>
          <w:color w:val="000000" w:themeColor="text1"/>
        </w:rPr>
        <w:lastRenderedPageBreak/>
        <w:t>minds of Americans on the day to day. Imbedded within that mindset are notions of gender roles, masculinity and power. We will return to this.</w:t>
      </w:r>
    </w:p>
    <w:p w14:paraId="21BA19E5" w14:textId="77777777" w:rsidR="00BE5AD6" w:rsidRPr="00B5392A" w:rsidRDefault="00BE5AD6" w:rsidP="00252CDA">
      <w:pPr>
        <w:spacing w:line="480" w:lineRule="auto"/>
        <w:rPr>
          <w:rFonts w:ascii="Times New Roman" w:hAnsi="Times New Roman" w:cs="Times New Roman"/>
          <w:color w:val="000000" w:themeColor="text1"/>
        </w:rPr>
      </w:pPr>
    </w:p>
    <w:p w14:paraId="6B7A2B1A" w14:textId="72DBB349" w:rsidR="00B10FA3" w:rsidRPr="00B5392A" w:rsidRDefault="00B10FA3" w:rsidP="00252CDA">
      <w:pPr>
        <w:spacing w:line="480" w:lineRule="auto"/>
        <w:rPr>
          <w:rFonts w:ascii="Times New Roman" w:hAnsi="Times New Roman" w:cs="Times New Roman"/>
          <w:b/>
          <w:bCs/>
          <w:i/>
          <w:iCs/>
          <w:color w:val="000000" w:themeColor="text1"/>
          <w:sz w:val="28"/>
          <w:szCs w:val="28"/>
        </w:rPr>
      </w:pPr>
      <w:r w:rsidRPr="00B5392A">
        <w:rPr>
          <w:rFonts w:ascii="Times New Roman" w:hAnsi="Times New Roman" w:cs="Times New Roman"/>
          <w:b/>
          <w:bCs/>
          <w:i/>
          <w:iCs/>
          <w:color w:val="000000" w:themeColor="text1"/>
          <w:sz w:val="28"/>
          <w:szCs w:val="28"/>
        </w:rPr>
        <w:t>The Frontier Myth - Today</w:t>
      </w:r>
    </w:p>
    <w:p w14:paraId="48D47177" w14:textId="77777777" w:rsidR="00B10FA3" w:rsidRPr="00B5392A" w:rsidRDefault="00B10FA3" w:rsidP="00252CDA">
      <w:pPr>
        <w:spacing w:line="480" w:lineRule="auto"/>
        <w:rPr>
          <w:rFonts w:ascii="Times New Roman" w:hAnsi="Times New Roman" w:cs="Times New Roman"/>
          <w:color w:val="000000" w:themeColor="text1"/>
        </w:rPr>
      </w:pPr>
      <w:r w:rsidRPr="00B5392A">
        <w:rPr>
          <w:rFonts w:ascii="Times New Roman" w:hAnsi="Times New Roman" w:cs="Times New Roman"/>
          <w:color w:val="000000" w:themeColor="text1"/>
        </w:rPr>
        <w:t xml:space="preserve">          In modern America, the frontier myth still exists, but in a convoluted form. Since the 1980s, notions of conquest outside of US borders helped to fuel aggressive actions in Grenada, twice in Iraq, Panama and Afghanistan, along with numerous proxy encounters, such as Iran, Nicaragua, El Salvador, to name but a few. But the establishment of the US Space Force by President Donald Trump, suggested that the conquering ethos of the frontier had not yet been put to bed. </w:t>
      </w:r>
    </w:p>
    <w:p w14:paraId="1911C729" w14:textId="77777777" w:rsidR="00B10FA3" w:rsidRPr="00B5392A" w:rsidRDefault="00B10FA3" w:rsidP="00252CDA">
      <w:pPr>
        <w:spacing w:line="480" w:lineRule="auto"/>
        <w:rPr>
          <w:rFonts w:ascii="Times New Roman" w:hAnsi="Times New Roman" w:cs="Times New Roman"/>
          <w:color w:val="000000" w:themeColor="text1"/>
        </w:rPr>
      </w:pPr>
      <w:r w:rsidRPr="00B5392A">
        <w:rPr>
          <w:rFonts w:ascii="Times New Roman" w:hAnsi="Times New Roman" w:cs="Times New Roman"/>
          <w:color w:val="000000" w:themeColor="text1"/>
        </w:rPr>
        <w:t xml:space="preserve">     The “Space Force” seemed to emerge from nowhere; a wide-eyed effort to wow the public and present a modern, futuristic vision of the United States over the course of a new frontier. Why a military wing of government was needed for this was debated, as it had already been with the establishment of the Air Force in 1947. Undoubtedly, communications in the modern world rely upon satellites and ‘space’ to be effective. Still, the suddenness and superficial presentation of the Space Force left one to wonder if </w:t>
      </w:r>
      <w:r w:rsidRPr="00B5392A">
        <w:rPr>
          <w:rFonts w:ascii="Times New Roman" w:hAnsi="Times New Roman" w:cs="Times New Roman"/>
          <w:i/>
          <w:iCs/>
          <w:color w:val="000000" w:themeColor="text1"/>
        </w:rPr>
        <w:t>all that was being proffered was an old telling of the Frontier Myth in new language</w:t>
      </w:r>
      <w:r w:rsidRPr="00B5392A">
        <w:rPr>
          <w:rFonts w:ascii="Times New Roman" w:hAnsi="Times New Roman" w:cs="Times New Roman"/>
          <w:color w:val="000000" w:themeColor="text1"/>
        </w:rPr>
        <w:t>.</w:t>
      </w:r>
      <w:r w:rsidRPr="00B5392A">
        <w:rPr>
          <w:rStyle w:val="FootnoteReference"/>
          <w:rFonts w:ascii="Times New Roman" w:hAnsi="Times New Roman" w:cs="Times New Roman"/>
          <w:color w:val="000000" w:themeColor="text1"/>
        </w:rPr>
        <w:footnoteReference w:id="55"/>
      </w:r>
    </w:p>
    <w:p w14:paraId="7F67E421" w14:textId="77777777" w:rsidR="00BE5AD6" w:rsidRDefault="00BE5AD6" w:rsidP="00252CDA">
      <w:pPr>
        <w:spacing w:line="480" w:lineRule="auto"/>
        <w:rPr>
          <w:rFonts w:ascii="Times New Roman" w:hAnsi="Times New Roman" w:cs="Times New Roman"/>
          <w:b/>
          <w:bCs/>
          <w:i/>
          <w:iCs/>
          <w:color w:val="000000" w:themeColor="text1"/>
          <w:sz w:val="28"/>
          <w:szCs w:val="28"/>
        </w:rPr>
      </w:pPr>
    </w:p>
    <w:p w14:paraId="73960A18" w14:textId="77777777" w:rsidR="00BE5AD6" w:rsidRDefault="00BE5AD6" w:rsidP="00252CDA">
      <w:pPr>
        <w:spacing w:line="480" w:lineRule="auto"/>
        <w:rPr>
          <w:rFonts w:ascii="Times New Roman" w:hAnsi="Times New Roman" w:cs="Times New Roman"/>
          <w:b/>
          <w:bCs/>
          <w:i/>
          <w:iCs/>
          <w:color w:val="000000" w:themeColor="text1"/>
          <w:sz w:val="28"/>
          <w:szCs w:val="28"/>
        </w:rPr>
      </w:pPr>
    </w:p>
    <w:p w14:paraId="08BDB8D4" w14:textId="4FA7CDFC" w:rsidR="00B10FA3" w:rsidRPr="00B5392A" w:rsidRDefault="00B10FA3" w:rsidP="00252CDA">
      <w:pPr>
        <w:spacing w:line="480" w:lineRule="auto"/>
        <w:rPr>
          <w:rFonts w:ascii="Times New Roman" w:hAnsi="Times New Roman" w:cs="Times New Roman"/>
          <w:color w:val="000000" w:themeColor="text1"/>
        </w:rPr>
      </w:pPr>
      <w:r w:rsidRPr="00B5392A">
        <w:rPr>
          <w:rFonts w:ascii="Times New Roman" w:hAnsi="Times New Roman" w:cs="Times New Roman"/>
          <w:b/>
          <w:bCs/>
          <w:i/>
          <w:iCs/>
          <w:color w:val="000000" w:themeColor="text1"/>
          <w:sz w:val="28"/>
          <w:szCs w:val="28"/>
        </w:rPr>
        <w:lastRenderedPageBreak/>
        <w:t>Reversal</w:t>
      </w:r>
    </w:p>
    <w:p w14:paraId="716855F5" w14:textId="3C76396E" w:rsidR="00B10FA3" w:rsidRPr="00B5392A" w:rsidRDefault="00B10FA3" w:rsidP="00252CDA">
      <w:pPr>
        <w:spacing w:line="480" w:lineRule="auto"/>
        <w:rPr>
          <w:rFonts w:ascii="Times New Roman" w:hAnsi="Times New Roman" w:cs="Times New Roman"/>
          <w:color w:val="000000" w:themeColor="text1"/>
        </w:rPr>
      </w:pPr>
      <w:r w:rsidRPr="00B5392A">
        <w:rPr>
          <w:rFonts w:ascii="Times New Roman" w:hAnsi="Times New Roman" w:cs="Times New Roman"/>
          <w:color w:val="000000" w:themeColor="text1"/>
        </w:rPr>
        <w:t xml:space="preserve">     Since 9-11, and perhaps before, much of the </w:t>
      </w:r>
      <w:r w:rsidR="003D3D37" w:rsidRPr="00B5392A">
        <w:rPr>
          <w:rFonts w:ascii="Times New Roman" w:hAnsi="Times New Roman" w:cs="Times New Roman"/>
          <w:color w:val="000000" w:themeColor="text1"/>
        </w:rPr>
        <w:t xml:space="preserve">national, </w:t>
      </w:r>
      <w:r w:rsidRPr="00B5392A">
        <w:rPr>
          <w:rFonts w:ascii="Times New Roman" w:hAnsi="Times New Roman" w:cs="Times New Roman"/>
          <w:color w:val="000000" w:themeColor="text1"/>
        </w:rPr>
        <w:t>mythological emphasis on self</w:t>
      </w:r>
      <w:r w:rsidR="112A7802" w:rsidRPr="00B5392A">
        <w:rPr>
          <w:rFonts w:ascii="Times New Roman" w:hAnsi="Times New Roman" w:cs="Times New Roman"/>
          <w:color w:val="000000" w:themeColor="text1"/>
        </w:rPr>
        <w:t>-</w:t>
      </w:r>
      <w:r w:rsidRPr="00B5392A">
        <w:rPr>
          <w:rFonts w:ascii="Times New Roman" w:hAnsi="Times New Roman" w:cs="Times New Roman"/>
          <w:color w:val="000000" w:themeColor="text1"/>
        </w:rPr>
        <w:t xml:space="preserve">sufficiency, bravery, stoicism and innovation has been undermined. Specifically, as white male power has been perceived to have been diminished in the US, popular media celebrities such as Rush Limbaugh have actually </w:t>
      </w:r>
      <w:r w:rsidRPr="00B5392A">
        <w:rPr>
          <w:rFonts w:ascii="Times New Roman" w:hAnsi="Times New Roman" w:cs="Times New Roman"/>
          <w:i/>
          <w:iCs/>
          <w:color w:val="000000" w:themeColor="text1"/>
        </w:rPr>
        <w:t>retreated on</w:t>
      </w:r>
      <w:r w:rsidRPr="00B5392A">
        <w:rPr>
          <w:rFonts w:ascii="Times New Roman" w:hAnsi="Times New Roman" w:cs="Times New Roman"/>
          <w:color w:val="000000" w:themeColor="text1"/>
        </w:rPr>
        <w:t xml:space="preserve"> many of the early tenets of frontier mythology. </w:t>
      </w:r>
      <w:r w:rsidR="7054F3D5" w:rsidRPr="00B5392A">
        <w:rPr>
          <w:rFonts w:ascii="Times New Roman" w:hAnsi="Times New Roman" w:cs="Times New Roman"/>
          <w:color w:val="000000" w:themeColor="text1"/>
        </w:rPr>
        <w:t xml:space="preserve">The full import: </w:t>
      </w:r>
      <w:r w:rsidRPr="00B5392A">
        <w:rPr>
          <w:rFonts w:ascii="Times New Roman" w:hAnsi="Times New Roman" w:cs="Times New Roman"/>
          <w:i/>
          <w:iCs/>
          <w:color w:val="000000" w:themeColor="text1"/>
        </w:rPr>
        <w:t>Men are no longer conquerors; they are victims</w:t>
      </w:r>
      <w:r w:rsidRPr="00B5392A">
        <w:rPr>
          <w:rFonts w:ascii="Times New Roman" w:hAnsi="Times New Roman" w:cs="Times New Roman"/>
          <w:color w:val="000000" w:themeColor="text1"/>
        </w:rPr>
        <w:t xml:space="preserve">. The outside world is frightening, and one must “build a wall,” be it a gated community or other form of protection against The Other. The rhetoric emanating from the G. W. Bush administration was all about fear, paranoia and perpetual vigilance. Vice President Dick Cheney seemed to fear a terrorist lurking behind every bush. </w:t>
      </w:r>
    </w:p>
    <w:p w14:paraId="4AB69A01" w14:textId="44F291C4" w:rsidR="00B10FA3" w:rsidRPr="00B5392A" w:rsidRDefault="00B10FA3" w:rsidP="00252CDA">
      <w:pPr>
        <w:spacing w:line="480" w:lineRule="auto"/>
        <w:rPr>
          <w:rFonts w:ascii="Times New Roman" w:hAnsi="Times New Roman" w:cs="Times New Roman"/>
          <w:color w:val="000000" w:themeColor="text1"/>
        </w:rPr>
      </w:pPr>
      <w:r w:rsidRPr="00B5392A">
        <w:rPr>
          <w:rFonts w:ascii="Times New Roman" w:hAnsi="Times New Roman" w:cs="Times New Roman"/>
          <w:color w:val="000000" w:themeColor="text1"/>
        </w:rPr>
        <w:t xml:space="preserve">     So, in some influential circles, white men have been transformed into </w:t>
      </w:r>
      <w:r w:rsidRPr="00B5392A">
        <w:rPr>
          <w:rFonts w:ascii="Times New Roman" w:hAnsi="Times New Roman" w:cs="Times New Roman"/>
          <w:i/>
          <w:iCs/>
          <w:color w:val="000000" w:themeColor="text1"/>
        </w:rPr>
        <w:t>victims</w:t>
      </w:r>
      <w:r w:rsidRPr="00B5392A">
        <w:rPr>
          <w:rFonts w:ascii="Times New Roman" w:hAnsi="Times New Roman" w:cs="Times New Roman"/>
          <w:color w:val="000000" w:themeColor="text1"/>
        </w:rPr>
        <w:t xml:space="preserve"> of their culture. No longer the hunter/gatherers, the heroes, the brave innovators – they were now the left behind, the forgotten, the irrelevant. Importantly, </w:t>
      </w:r>
      <w:r w:rsidRPr="00B5392A">
        <w:rPr>
          <w:rFonts w:ascii="Times New Roman" w:hAnsi="Times New Roman" w:cs="Times New Roman"/>
          <w:i/>
          <w:iCs/>
          <w:color w:val="000000" w:themeColor="text1"/>
        </w:rPr>
        <w:t xml:space="preserve">they made a point of </w:t>
      </w:r>
      <w:r w:rsidRPr="00B5392A">
        <w:rPr>
          <w:rFonts w:ascii="Times New Roman" w:hAnsi="Times New Roman" w:cs="Times New Roman"/>
          <w:i/>
          <w:iCs/>
          <w:color w:val="000000" w:themeColor="text1"/>
          <w:u w:val="single"/>
        </w:rPr>
        <w:t>not</w:t>
      </w:r>
      <w:r w:rsidRPr="00B5392A">
        <w:rPr>
          <w:rFonts w:ascii="Times New Roman" w:hAnsi="Times New Roman" w:cs="Times New Roman"/>
          <w:i/>
          <w:iCs/>
          <w:color w:val="000000" w:themeColor="text1"/>
        </w:rPr>
        <w:t xml:space="preserve"> being effeminized</w:t>
      </w:r>
      <w:r w:rsidRPr="00B5392A">
        <w:rPr>
          <w:rFonts w:ascii="Times New Roman" w:hAnsi="Times New Roman" w:cs="Times New Roman"/>
          <w:color w:val="000000" w:themeColor="text1"/>
        </w:rPr>
        <w:t xml:space="preserve">. Their victimization is presented in </w:t>
      </w:r>
      <w:r w:rsidRPr="00B5392A">
        <w:rPr>
          <w:rFonts w:ascii="Times New Roman" w:hAnsi="Times New Roman" w:cs="Times New Roman"/>
          <w:i/>
          <w:iCs/>
          <w:color w:val="000000" w:themeColor="text1"/>
        </w:rPr>
        <w:t>macho</w:t>
      </w:r>
      <w:r w:rsidRPr="00B5392A">
        <w:rPr>
          <w:rFonts w:ascii="Times New Roman" w:hAnsi="Times New Roman" w:cs="Times New Roman"/>
          <w:color w:val="000000" w:themeColor="text1"/>
        </w:rPr>
        <w:t xml:space="preserve"> terms, strange as that may seem. The odd part about this transformation is that the adoption of an essentially reactive, passive, victimization was accompanied by tremendous anger, vitriol, large scale weapons purchases, and social media organization. Guns (and, by extension, self</w:t>
      </w:r>
      <w:r w:rsidR="091684B0" w:rsidRPr="00B5392A">
        <w:rPr>
          <w:rFonts w:ascii="Times New Roman" w:hAnsi="Times New Roman" w:cs="Times New Roman"/>
          <w:color w:val="000000" w:themeColor="text1"/>
        </w:rPr>
        <w:t>-</w:t>
      </w:r>
      <w:r w:rsidRPr="00B5392A">
        <w:rPr>
          <w:rFonts w:ascii="Times New Roman" w:hAnsi="Times New Roman" w:cs="Times New Roman"/>
          <w:color w:val="000000" w:themeColor="text1"/>
        </w:rPr>
        <w:t xml:space="preserve">protection) might be the glue that connected the “old” frontier mythology of American manhood to the “new” ideology of resentment, displacement and victimization. In bygone days, guns provided security in a hostile, unknown environment; in modern times, they provide assurance that that </w:t>
      </w:r>
      <w:r w:rsidRPr="00B5392A">
        <w:rPr>
          <w:rFonts w:ascii="Times New Roman" w:hAnsi="Times New Roman" w:cs="Times New Roman"/>
          <w:i/>
          <w:iCs/>
          <w:color w:val="000000" w:themeColor="text1"/>
        </w:rPr>
        <w:t>known</w:t>
      </w:r>
      <w:r w:rsidRPr="00B5392A">
        <w:rPr>
          <w:rFonts w:ascii="Times New Roman" w:hAnsi="Times New Roman" w:cs="Times New Roman"/>
          <w:color w:val="000000" w:themeColor="text1"/>
        </w:rPr>
        <w:t xml:space="preserve"> environment won’t further impinge on their rights.</w:t>
      </w:r>
      <w:r w:rsidRPr="00B5392A">
        <w:rPr>
          <w:rStyle w:val="FootnoteReference"/>
          <w:rFonts w:ascii="Times New Roman" w:hAnsi="Times New Roman" w:cs="Times New Roman"/>
          <w:color w:val="000000" w:themeColor="text1"/>
        </w:rPr>
        <w:footnoteReference w:id="56"/>
      </w:r>
    </w:p>
    <w:p w14:paraId="5A3EF7E5" w14:textId="77777777" w:rsidR="00B10FA3" w:rsidRPr="00B5392A" w:rsidRDefault="00B10FA3" w:rsidP="00252CDA">
      <w:pPr>
        <w:spacing w:line="480" w:lineRule="auto"/>
        <w:rPr>
          <w:rFonts w:ascii="Times New Roman" w:hAnsi="Times New Roman" w:cs="Times New Roman"/>
          <w:color w:val="000000" w:themeColor="text1"/>
        </w:rPr>
      </w:pPr>
      <w:r w:rsidRPr="00B5392A">
        <w:rPr>
          <w:rFonts w:ascii="Times New Roman" w:hAnsi="Times New Roman" w:cs="Times New Roman"/>
          <w:color w:val="000000" w:themeColor="text1"/>
        </w:rPr>
        <w:lastRenderedPageBreak/>
        <w:t xml:space="preserve">     The Trump period laid many of the frontier myths to rest, as the Commander in Chief appeared to invert the American expansionist tradition to a reactionary one, fearful of outside influence and infiltration.</w:t>
      </w:r>
      <w:r w:rsidRPr="00B5392A">
        <w:rPr>
          <w:rStyle w:val="FootnoteReference"/>
          <w:rFonts w:ascii="Times New Roman" w:hAnsi="Times New Roman" w:cs="Times New Roman"/>
          <w:color w:val="000000" w:themeColor="text1"/>
        </w:rPr>
        <w:footnoteReference w:id="57"/>
      </w:r>
    </w:p>
    <w:p w14:paraId="3CB8FCBC" w14:textId="77777777" w:rsidR="00B10FA3" w:rsidRPr="00B5392A" w:rsidRDefault="00B10FA3" w:rsidP="00EB36EC">
      <w:pPr>
        <w:spacing w:line="240" w:lineRule="auto"/>
        <w:rPr>
          <w:rFonts w:ascii="Times New Roman" w:hAnsi="Times New Roman" w:cs="Times New Roman"/>
        </w:rPr>
      </w:pPr>
    </w:p>
    <w:p w14:paraId="1FC48B65" w14:textId="4615DC6B" w:rsidR="00B10FA3" w:rsidRPr="00B5392A" w:rsidRDefault="00B10FA3" w:rsidP="6375CABF">
      <w:pPr>
        <w:spacing w:line="240" w:lineRule="auto"/>
        <w:rPr>
          <w:rFonts w:ascii="Times New Roman" w:hAnsi="Times New Roman" w:cs="Times New Roman"/>
          <w:i/>
          <w:iCs/>
        </w:rPr>
      </w:pPr>
      <w:r w:rsidRPr="00B5392A">
        <w:rPr>
          <w:rFonts w:ascii="Times New Roman" w:hAnsi="Times New Roman" w:cs="Times New Roman"/>
        </w:rPr>
        <w:t xml:space="preserve">     </w:t>
      </w:r>
      <w:r w:rsidRPr="00B5392A">
        <w:rPr>
          <w:rStyle w:val="wpsdc-drop-cap"/>
          <w:rFonts w:ascii="Times New Roman" w:hAnsi="Times New Roman" w:cs="Times New Roman"/>
          <w:i/>
          <w:iCs/>
        </w:rPr>
        <w:t>“W</w:t>
      </w:r>
      <w:r w:rsidRPr="00B5392A">
        <w:rPr>
          <w:rFonts w:ascii="Times New Roman" w:hAnsi="Times New Roman" w:cs="Times New Roman"/>
          <w:i/>
          <w:iCs/>
        </w:rPr>
        <w:t xml:space="preserve">e’re going to confront the national-security crisis on our southern border,” </w:t>
      </w:r>
      <w:r w:rsidRPr="00B5392A">
        <w:rPr>
          <w:rFonts w:ascii="Times New Roman" w:hAnsi="Times New Roman" w:cs="Times New Roman"/>
        </w:rPr>
        <w:t>President Trump said on February 15, as he announced a state of emergency under the National Emergencies Act</w:t>
      </w:r>
      <w:r w:rsidRPr="00B5392A">
        <w:rPr>
          <w:rFonts w:ascii="Times New Roman" w:hAnsi="Times New Roman" w:cs="Times New Roman"/>
          <w:i/>
          <w:iCs/>
        </w:rPr>
        <w:t>. “We’re talking about an invasion of our country</w:t>
      </w:r>
      <w:r w:rsidRPr="00B5392A">
        <w:rPr>
          <w:rFonts w:ascii="Times New Roman" w:hAnsi="Times New Roman" w:cs="Times New Roman"/>
        </w:rPr>
        <w:t>,” he continued</w:t>
      </w:r>
      <w:r w:rsidRPr="00B5392A">
        <w:rPr>
          <w:rFonts w:ascii="Times New Roman" w:hAnsi="Times New Roman" w:cs="Times New Roman"/>
          <w:i/>
          <w:iCs/>
        </w:rPr>
        <w:t>, “with drugs, with human traffickers, with all types of criminals and gangs.”</w:t>
      </w:r>
      <w:r w:rsidR="71411FDD" w:rsidRPr="00B5392A">
        <w:rPr>
          <w:rFonts w:ascii="Times New Roman" w:hAnsi="Times New Roman" w:cs="Times New Roman"/>
          <w:i/>
          <w:iCs/>
        </w:rPr>
        <w:t xml:space="preserve"> </w:t>
      </w:r>
      <w:r w:rsidRPr="00B5392A">
        <w:rPr>
          <w:rStyle w:val="FootnoteReference"/>
          <w:rFonts w:ascii="Times New Roman" w:hAnsi="Times New Roman" w:cs="Times New Roman"/>
          <w:i/>
          <w:iCs/>
        </w:rPr>
        <w:footnoteReference w:id="58"/>
      </w:r>
    </w:p>
    <w:p w14:paraId="52246606" w14:textId="77777777" w:rsidR="00B10FA3" w:rsidRPr="00B5392A" w:rsidRDefault="00B10FA3" w:rsidP="00252CDA">
      <w:pPr>
        <w:spacing w:line="480" w:lineRule="auto"/>
        <w:rPr>
          <w:rFonts w:ascii="Times New Roman" w:hAnsi="Times New Roman" w:cs="Times New Roman"/>
        </w:rPr>
      </w:pPr>
    </w:p>
    <w:p w14:paraId="596AE732" w14:textId="77777777" w:rsidR="00B10FA3" w:rsidRPr="00B5392A" w:rsidRDefault="00B10FA3" w:rsidP="00252CDA">
      <w:pPr>
        <w:spacing w:line="480" w:lineRule="auto"/>
        <w:rPr>
          <w:rFonts w:ascii="Times New Roman" w:hAnsi="Times New Roman" w:cs="Times New Roman"/>
        </w:rPr>
      </w:pPr>
      <w:r w:rsidRPr="00B5392A">
        <w:rPr>
          <w:rFonts w:ascii="Times New Roman" w:hAnsi="Times New Roman" w:cs="Times New Roman"/>
        </w:rPr>
        <w:t xml:space="preserve">     By the onset of the Trump administration, white male America had been, in much of the major media, reduced to a whining, passive victim, helpless to confront threats from without. But at least part of this odd </w:t>
      </w:r>
      <w:r w:rsidRPr="00B5392A">
        <w:rPr>
          <w:rFonts w:ascii="Times New Roman" w:hAnsi="Times New Roman" w:cs="Times New Roman"/>
          <w:i/>
          <w:iCs/>
        </w:rPr>
        <w:t>process of emasculation</w:t>
      </w:r>
      <w:r w:rsidRPr="00B5392A">
        <w:rPr>
          <w:rFonts w:ascii="Times New Roman" w:hAnsi="Times New Roman" w:cs="Times New Roman"/>
        </w:rPr>
        <w:t xml:space="preserve"> came straight from the most reactionary political forces of the country.                     </w:t>
      </w:r>
    </w:p>
    <w:p w14:paraId="75343C08" w14:textId="77777777" w:rsidR="00B10FA3" w:rsidRPr="00B5392A" w:rsidRDefault="00B10FA3" w:rsidP="00252CDA">
      <w:pPr>
        <w:spacing w:line="480" w:lineRule="auto"/>
        <w:rPr>
          <w:rFonts w:ascii="Times New Roman" w:hAnsi="Times New Roman" w:cs="Times New Roman"/>
        </w:rPr>
      </w:pPr>
      <w:r w:rsidRPr="00B5392A">
        <w:rPr>
          <w:rFonts w:ascii="Times New Roman" w:hAnsi="Times New Roman" w:cs="Times New Roman"/>
          <w:i/>
          <w:iCs/>
        </w:rPr>
        <w:t xml:space="preserve">   </w:t>
      </w:r>
      <w:r w:rsidRPr="00B5392A">
        <w:rPr>
          <w:rFonts w:ascii="Times New Roman" w:hAnsi="Times New Roman" w:cs="Times New Roman"/>
        </w:rPr>
        <w:t xml:space="preserve">In the end, the US, in response to Illuminati threats, passed the </w:t>
      </w:r>
      <w:r w:rsidRPr="00B5392A">
        <w:rPr>
          <w:rFonts w:ascii="Times New Roman" w:hAnsi="Times New Roman" w:cs="Times New Roman"/>
          <w:i/>
          <w:iCs/>
        </w:rPr>
        <w:t xml:space="preserve">Alien and Sedition Acts of 1798, </w:t>
      </w:r>
      <w:r w:rsidRPr="00B5392A">
        <w:rPr>
          <w:rFonts w:ascii="Times New Roman" w:hAnsi="Times New Roman" w:cs="Times New Roman"/>
        </w:rPr>
        <w:t>essentially shutting down freedom of speech, in a reaction to supposed enemies both internal and external to the US from abroad.</w:t>
      </w:r>
      <w:r w:rsidRPr="00B5392A">
        <w:rPr>
          <w:rStyle w:val="FootnoteReference"/>
          <w:rFonts w:ascii="Times New Roman" w:hAnsi="Times New Roman" w:cs="Times New Roman"/>
        </w:rPr>
        <w:footnoteReference w:id="59"/>
      </w:r>
      <w:r w:rsidRPr="00B5392A">
        <w:rPr>
          <w:rFonts w:ascii="Times New Roman" w:hAnsi="Times New Roman" w:cs="Times New Roman"/>
        </w:rPr>
        <w:t xml:space="preserve"> But I digress. </w:t>
      </w:r>
    </w:p>
    <w:p w14:paraId="3B4D419F" w14:textId="7A5070EA" w:rsidR="6375CABF" w:rsidRPr="00B5392A" w:rsidRDefault="6375CABF" w:rsidP="6375CABF">
      <w:pPr>
        <w:spacing w:line="480" w:lineRule="auto"/>
        <w:rPr>
          <w:rFonts w:ascii="Times New Roman" w:hAnsi="Times New Roman" w:cs="Times New Roman"/>
          <w:b/>
          <w:bCs/>
          <w:i/>
          <w:iCs/>
          <w:sz w:val="28"/>
          <w:szCs w:val="28"/>
        </w:rPr>
      </w:pPr>
    </w:p>
    <w:p w14:paraId="647F6DE6" w14:textId="77777777" w:rsidR="00B10FA3" w:rsidRPr="00B5392A" w:rsidRDefault="00B10FA3" w:rsidP="00252CDA">
      <w:pPr>
        <w:spacing w:line="480" w:lineRule="auto"/>
        <w:rPr>
          <w:rFonts w:ascii="Times New Roman" w:hAnsi="Times New Roman" w:cs="Times New Roman"/>
          <w:b/>
          <w:bCs/>
          <w:i/>
          <w:iCs/>
          <w:sz w:val="28"/>
          <w:szCs w:val="28"/>
        </w:rPr>
      </w:pPr>
      <w:r w:rsidRPr="00B5392A">
        <w:rPr>
          <w:rFonts w:ascii="Times New Roman" w:hAnsi="Times New Roman" w:cs="Times New Roman"/>
          <w:b/>
          <w:bCs/>
          <w:i/>
          <w:iCs/>
          <w:sz w:val="28"/>
          <w:szCs w:val="28"/>
        </w:rPr>
        <w:t>The Masons</w:t>
      </w:r>
    </w:p>
    <w:p w14:paraId="07A80FB6" w14:textId="6647F8B1" w:rsidR="00B10FA3" w:rsidRPr="00B5392A" w:rsidRDefault="00B10FA3" w:rsidP="00252CDA">
      <w:pPr>
        <w:spacing w:line="480" w:lineRule="auto"/>
        <w:rPr>
          <w:rFonts w:ascii="Times New Roman" w:hAnsi="Times New Roman" w:cs="Times New Roman"/>
        </w:rPr>
      </w:pPr>
      <w:r w:rsidRPr="00B5392A">
        <w:rPr>
          <w:rFonts w:ascii="Times New Roman" w:hAnsi="Times New Roman" w:cs="Times New Roman"/>
          <w:b/>
          <w:bCs/>
          <w:i/>
          <w:iCs/>
          <w:sz w:val="28"/>
          <w:szCs w:val="28"/>
        </w:rPr>
        <w:t xml:space="preserve">     </w:t>
      </w:r>
      <w:r w:rsidRPr="00B5392A">
        <w:rPr>
          <w:rFonts w:ascii="Times New Roman" w:hAnsi="Times New Roman" w:cs="Times New Roman"/>
        </w:rPr>
        <w:t>Let’s get back to historical antecedents. One of the major developments of the Jacksonian period in US history was the Masonic movement and the efforts against it. During a reform period that promoted the everyman, the elimination of prison for debt, the abolition of the death penalty, the struggle for worker</w:t>
      </w:r>
      <w:r w:rsidR="00735D55">
        <w:rPr>
          <w:rFonts w:ascii="Times New Roman" w:hAnsi="Times New Roman" w:cs="Times New Roman"/>
        </w:rPr>
        <w:t>’</w:t>
      </w:r>
      <w:r w:rsidRPr="00B5392A">
        <w:rPr>
          <w:rFonts w:ascii="Times New Roman" w:hAnsi="Times New Roman" w:cs="Times New Roman"/>
        </w:rPr>
        <w:t xml:space="preserve">s rights, and the promotion of temperance, the Masons </w:t>
      </w:r>
      <w:r w:rsidRPr="00B5392A">
        <w:rPr>
          <w:rFonts w:ascii="Times New Roman" w:hAnsi="Times New Roman" w:cs="Times New Roman"/>
        </w:rPr>
        <w:lastRenderedPageBreak/>
        <w:t>were seen as an outdated and alien secret society of “a select class of the community.”</w:t>
      </w:r>
      <w:r w:rsidRPr="00B5392A">
        <w:rPr>
          <w:rStyle w:val="FootnoteReference"/>
          <w:rFonts w:ascii="Times New Roman" w:hAnsi="Times New Roman" w:cs="Times New Roman"/>
        </w:rPr>
        <w:footnoteReference w:id="60"/>
      </w:r>
      <w:r w:rsidRPr="00B5392A">
        <w:rPr>
          <w:rFonts w:ascii="Times New Roman" w:hAnsi="Times New Roman" w:cs="Times New Roman"/>
        </w:rPr>
        <w:t xml:space="preserve"> The Masons were widely seen as working against the interests of traditional – and often evangelical – protestants. In this sense, Anti-Masonry represented an early reaction of a populist base against a perceived elite class. Similar changes would take place later, with the rise of the 20</w:t>
      </w:r>
      <w:r w:rsidRPr="00B5392A">
        <w:rPr>
          <w:rFonts w:ascii="Times New Roman" w:hAnsi="Times New Roman" w:cs="Times New Roman"/>
          <w:vertAlign w:val="superscript"/>
        </w:rPr>
        <w:t>th</w:t>
      </w:r>
      <w:r w:rsidRPr="00B5392A">
        <w:rPr>
          <w:rFonts w:ascii="Times New Roman" w:hAnsi="Times New Roman" w:cs="Times New Roman"/>
        </w:rPr>
        <w:t xml:space="preserve"> century Ku Klux Klan, which would espouse a brand of racist, nativist, anti-Catholic vitriol that would last late into the 20</w:t>
      </w:r>
      <w:r w:rsidRPr="00B5392A">
        <w:rPr>
          <w:rFonts w:ascii="Times New Roman" w:hAnsi="Times New Roman" w:cs="Times New Roman"/>
          <w:vertAlign w:val="superscript"/>
        </w:rPr>
        <w:t>th</w:t>
      </w:r>
      <w:r w:rsidRPr="00B5392A">
        <w:rPr>
          <w:rFonts w:ascii="Times New Roman" w:hAnsi="Times New Roman" w:cs="Times New Roman"/>
        </w:rPr>
        <w:t xml:space="preserve"> century.</w:t>
      </w:r>
    </w:p>
    <w:p w14:paraId="556F75F5" w14:textId="77777777" w:rsidR="00B10FA3" w:rsidRPr="00B5392A" w:rsidRDefault="00B10FA3" w:rsidP="00252CDA">
      <w:pPr>
        <w:spacing w:line="480" w:lineRule="auto"/>
        <w:rPr>
          <w:rFonts w:ascii="Times New Roman" w:hAnsi="Times New Roman" w:cs="Times New Roman"/>
          <w:b/>
          <w:bCs/>
          <w:i/>
          <w:iCs/>
          <w:sz w:val="28"/>
          <w:szCs w:val="28"/>
        </w:rPr>
      </w:pPr>
    </w:p>
    <w:p w14:paraId="300D24BA" w14:textId="77777777" w:rsidR="00B10FA3" w:rsidRPr="00B5392A" w:rsidRDefault="00B10FA3" w:rsidP="00252CDA">
      <w:pPr>
        <w:spacing w:line="480" w:lineRule="auto"/>
        <w:rPr>
          <w:rFonts w:ascii="Times New Roman" w:hAnsi="Times New Roman" w:cs="Times New Roman"/>
          <w:b/>
          <w:bCs/>
          <w:i/>
          <w:iCs/>
          <w:sz w:val="28"/>
          <w:szCs w:val="28"/>
        </w:rPr>
      </w:pPr>
      <w:r w:rsidRPr="00B5392A">
        <w:rPr>
          <w:rFonts w:ascii="Times New Roman" w:hAnsi="Times New Roman" w:cs="Times New Roman"/>
          <w:b/>
          <w:bCs/>
          <w:i/>
          <w:iCs/>
          <w:sz w:val="28"/>
          <w:szCs w:val="28"/>
        </w:rPr>
        <w:t>Moral Myths</w:t>
      </w:r>
    </w:p>
    <w:p w14:paraId="0346BC8E" w14:textId="77ADAD70" w:rsidR="00B10FA3" w:rsidRPr="00B5392A" w:rsidRDefault="00B10FA3" w:rsidP="00252CDA">
      <w:pPr>
        <w:spacing w:line="480" w:lineRule="auto"/>
        <w:rPr>
          <w:rFonts w:ascii="Times New Roman" w:hAnsi="Times New Roman" w:cs="Times New Roman"/>
        </w:rPr>
      </w:pPr>
      <w:r w:rsidRPr="00B5392A">
        <w:rPr>
          <w:rFonts w:ascii="Times New Roman" w:hAnsi="Times New Roman" w:cs="Times New Roman"/>
          <w:sz w:val="28"/>
          <w:szCs w:val="28"/>
        </w:rPr>
        <w:t xml:space="preserve">   </w:t>
      </w:r>
      <w:r w:rsidRPr="00B5392A">
        <w:rPr>
          <w:rFonts w:ascii="Times New Roman" w:hAnsi="Times New Roman" w:cs="Times New Roman"/>
        </w:rPr>
        <w:t xml:space="preserve">Tied in closely to the myths of </w:t>
      </w:r>
      <w:r w:rsidRPr="00B5392A">
        <w:rPr>
          <w:rFonts w:ascii="Times New Roman" w:hAnsi="Times New Roman" w:cs="Times New Roman"/>
          <w:i/>
          <w:iCs/>
        </w:rPr>
        <w:t>exceptionalism</w:t>
      </w:r>
      <w:r w:rsidRPr="00B5392A">
        <w:rPr>
          <w:rFonts w:ascii="Times New Roman" w:hAnsi="Times New Roman" w:cs="Times New Roman"/>
        </w:rPr>
        <w:t xml:space="preserve"> (such as </w:t>
      </w:r>
      <w:r w:rsidRPr="00B5392A">
        <w:rPr>
          <w:rFonts w:ascii="Times New Roman" w:hAnsi="Times New Roman" w:cs="Times New Roman"/>
          <w:i/>
          <w:iCs/>
        </w:rPr>
        <w:t>Manifest Destiny)</w:t>
      </w:r>
      <w:r w:rsidRPr="00B5392A">
        <w:rPr>
          <w:rFonts w:ascii="Times New Roman" w:hAnsi="Times New Roman" w:cs="Times New Roman"/>
        </w:rPr>
        <w:t xml:space="preserve"> is the belief in </w:t>
      </w:r>
      <w:r w:rsidRPr="00B5392A">
        <w:rPr>
          <w:rFonts w:ascii="Times New Roman" w:hAnsi="Times New Roman" w:cs="Times New Roman"/>
          <w:i/>
          <w:iCs/>
        </w:rPr>
        <w:t>moral perfectibility.</w:t>
      </w:r>
      <w:r w:rsidRPr="00B5392A">
        <w:rPr>
          <w:rFonts w:ascii="Times New Roman" w:hAnsi="Times New Roman" w:cs="Times New Roman"/>
        </w:rPr>
        <w:t xml:space="preserve"> It seems sensible; exceptional people should demonstrate exceptional morality, ever striving to perfect themselves. In the US, the discourse of perfectibility was led, in the 19</w:t>
      </w:r>
      <w:r w:rsidRPr="00B5392A">
        <w:rPr>
          <w:rFonts w:ascii="Times New Roman" w:hAnsi="Times New Roman" w:cs="Times New Roman"/>
          <w:vertAlign w:val="superscript"/>
        </w:rPr>
        <w:t>th</w:t>
      </w:r>
      <w:r w:rsidRPr="00B5392A">
        <w:rPr>
          <w:rFonts w:ascii="Times New Roman" w:hAnsi="Times New Roman" w:cs="Times New Roman"/>
        </w:rPr>
        <w:t xml:space="preserve"> century, by Ralph Waldo Emerson, a New England clergyman and intellectual. Emerson saw the individual (always key in American mythology) as engaging in a perpetual struggle, between self</w:t>
      </w:r>
      <w:r w:rsidR="51D30AD2" w:rsidRPr="00B5392A">
        <w:rPr>
          <w:rFonts w:ascii="Times New Roman" w:hAnsi="Times New Roman" w:cs="Times New Roman"/>
        </w:rPr>
        <w:t>-</w:t>
      </w:r>
      <w:r w:rsidRPr="00B5392A">
        <w:rPr>
          <w:rFonts w:ascii="Times New Roman" w:hAnsi="Times New Roman" w:cs="Times New Roman"/>
        </w:rPr>
        <w:t>reliance, and social conformity, with the ultimate goal being the establishment of the former.</w:t>
      </w:r>
      <w:r w:rsidRPr="00B5392A">
        <w:rPr>
          <w:rStyle w:val="FootnoteReference"/>
          <w:rFonts w:ascii="Times New Roman" w:hAnsi="Times New Roman" w:cs="Times New Roman"/>
        </w:rPr>
        <w:footnoteReference w:id="61"/>
      </w:r>
      <w:r w:rsidRPr="00B5392A">
        <w:rPr>
          <w:rFonts w:ascii="Times New Roman" w:hAnsi="Times New Roman" w:cs="Times New Roman"/>
        </w:rPr>
        <w:t xml:space="preserve"> </w:t>
      </w:r>
    </w:p>
    <w:p w14:paraId="4BBC43EA" w14:textId="4E600E9C" w:rsidR="00B10FA3" w:rsidRPr="00B5392A" w:rsidRDefault="00B10FA3" w:rsidP="00252CDA">
      <w:pPr>
        <w:spacing w:line="480" w:lineRule="auto"/>
        <w:rPr>
          <w:rFonts w:ascii="Times New Roman" w:hAnsi="Times New Roman" w:cs="Times New Roman"/>
        </w:rPr>
      </w:pPr>
      <w:r w:rsidRPr="00B5392A">
        <w:rPr>
          <w:rFonts w:ascii="Times New Roman" w:hAnsi="Times New Roman" w:cs="Times New Roman"/>
        </w:rPr>
        <w:t xml:space="preserve">     Emersonian perfectionism has been interpreted as a “response to the sense that one is lost in the world,” and that, in order to find ourselves, we must renounce the world and find our own way – hence the emphasis on self</w:t>
      </w:r>
      <w:r w:rsidR="520967BA" w:rsidRPr="00B5392A">
        <w:rPr>
          <w:rFonts w:ascii="Times New Roman" w:hAnsi="Times New Roman" w:cs="Times New Roman"/>
        </w:rPr>
        <w:t>-</w:t>
      </w:r>
      <w:r w:rsidRPr="00B5392A">
        <w:rPr>
          <w:rFonts w:ascii="Times New Roman" w:hAnsi="Times New Roman" w:cs="Times New Roman"/>
        </w:rPr>
        <w:t xml:space="preserve">reliance. This process leads to the development of the </w:t>
      </w:r>
      <w:r w:rsidRPr="00B5392A">
        <w:rPr>
          <w:rFonts w:ascii="Times New Roman" w:hAnsi="Times New Roman" w:cs="Times New Roman"/>
          <w:i/>
          <w:iCs/>
        </w:rPr>
        <w:t>self</w:t>
      </w:r>
      <w:r w:rsidRPr="00B5392A">
        <w:rPr>
          <w:rFonts w:ascii="Times New Roman" w:hAnsi="Times New Roman" w:cs="Times New Roman"/>
        </w:rPr>
        <w:t>, a complex amalgam of present and future; our present self is that which we have attained, and that which interacts with the extant world. Conversely, the future self is that which we are becoming, to that which we aspire. The future self “thinks another, new world.”</w:t>
      </w:r>
      <w:r w:rsidRPr="00B5392A">
        <w:rPr>
          <w:rStyle w:val="FootnoteReference"/>
          <w:rFonts w:ascii="Times New Roman" w:hAnsi="Times New Roman" w:cs="Times New Roman"/>
        </w:rPr>
        <w:footnoteReference w:id="62"/>
      </w:r>
    </w:p>
    <w:p w14:paraId="108647EC" w14:textId="24175C63" w:rsidR="00B10FA3" w:rsidRPr="00B5392A" w:rsidRDefault="00B10FA3" w:rsidP="00252CDA">
      <w:pPr>
        <w:spacing w:line="480" w:lineRule="auto"/>
        <w:rPr>
          <w:rFonts w:ascii="Times New Roman" w:hAnsi="Times New Roman" w:cs="Times New Roman"/>
        </w:rPr>
      </w:pPr>
      <w:r w:rsidRPr="00B5392A">
        <w:rPr>
          <w:rFonts w:ascii="Times New Roman" w:hAnsi="Times New Roman" w:cs="Times New Roman"/>
        </w:rPr>
        <w:lastRenderedPageBreak/>
        <w:t xml:space="preserve">     Emerson read Descartes: “I am a being who, to exist must say I exist, or must acknowledge my existence – claim it, stake it, enact it.” One must speak with the voice of oneself; we ‘take possession’ of the world when we speak in our true voice, and we commensurately escape the tedium of social conformity. Thus, by speaking our truth, we enter into an act of </w:t>
      </w:r>
      <w:r w:rsidRPr="00B5392A">
        <w:rPr>
          <w:rFonts w:ascii="Times New Roman" w:hAnsi="Times New Roman" w:cs="Times New Roman"/>
          <w:i/>
          <w:iCs/>
        </w:rPr>
        <w:t>conversion</w:t>
      </w:r>
      <w:r w:rsidRPr="00B5392A">
        <w:rPr>
          <w:rFonts w:ascii="Times New Roman" w:hAnsi="Times New Roman" w:cs="Times New Roman"/>
        </w:rPr>
        <w:t>, whereby we perfect ourselves in the mode of self</w:t>
      </w:r>
      <w:r w:rsidR="58EE36ED" w:rsidRPr="00B5392A">
        <w:rPr>
          <w:rFonts w:ascii="Times New Roman" w:hAnsi="Times New Roman" w:cs="Times New Roman"/>
        </w:rPr>
        <w:t>-</w:t>
      </w:r>
      <w:r w:rsidRPr="00B5392A">
        <w:rPr>
          <w:rFonts w:ascii="Times New Roman" w:hAnsi="Times New Roman" w:cs="Times New Roman"/>
        </w:rPr>
        <w:t>reliance. It may seem a logical stretch, by Emerson believed that “to believe your own thought, to believe that what is true for you is true for all men – that is genius.”</w:t>
      </w:r>
      <w:r w:rsidRPr="00B5392A">
        <w:rPr>
          <w:rStyle w:val="FootnoteReference"/>
          <w:rFonts w:ascii="Times New Roman" w:hAnsi="Times New Roman" w:cs="Times New Roman"/>
        </w:rPr>
        <w:footnoteReference w:id="63"/>
      </w:r>
      <w:r w:rsidRPr="00B5392A">
        <w:rPr>
          <w:rFonts w:ascii="Times New Roman" w:hAnsi="Times New Roman" w:cs="Times New Roman"/>
        </w:rPr>
        <w:t xml:space="preserve"> Now, today, one might look at that statement and see the seeds of a conspiracy theory or an empirically shaky way of looking at reality. But, in the context of Emerson’s pre-industrial – and pre-Darwinian – theological world, he was able to establish a tangible base for morale certitude – the individual. And that base carried on mightily in Antebellum America. </w:t>
      </w:r>
    </w:p>
    <w:p w14:paraId="0A81E009" w14:textId="0C3FA9AD" w:rsidR="00B10FA3" w:rsidRPr="00B5392A" w:rsidRDefault="00B10FA3" w:rsidP="00252CDA">
      <w:pPr>
        <w:spacing w:line="480" w:lineRule="auto"/>
        <w:rPr>
          <w:rFonts w:ascii="Times New Roman" w:hAnsi="Times New Roman" w:cs="Times New Roman"/>
        </w:rPr>
      </w:pPr>
      <w:r w:rsidRPr="00B5392A">
        <w:rPr>
          <w:rFonts w:ascii="Times New Roman" w:hAnsi="Times New Roman" w:cs="Times New Roman"/>
        </w:rPr>
        <w:t xml:space="preserve">     Frederick Nietzsche tore down many western conventions in his 19</w:t>
      </w:r>
      <w:r w:rsidRPr="00B5392A">
        <w:rPr>
          <w:rFonts w:ascii="Times New Roman" w:hAnsi="Times New Roman" w:cs="Times New Roman"/>
          <w:vertAlign w:val="superscript"/>
        </w:rPr>
        <w:t>th</w:t>
      </w:r>
      <w:r w:rsidRPr="00B5392A">
        <w:rPr>
          <w:rFonts w:ascii="Times New Roman" w:hAnsi="Times New Roman" w:cs="Times New Roman"/>
        </w:rPr>
        <w:t xml:space="preserve"> century works, namely religion and equality. Nietzsche represented a different form of philosophical perfectionism; that of the </w:t>
      </w:r>
      <w:r w:rsidRPr="00B5392A">
        <w:rPr>
          <w:rFonts w:ascii="Times New Roman" w:hAnsi="Times New Roman" w:cs="Times New Roman"/>
          <w:i/>
          <w:iCs/>
        </w:rPr>
        <w:t>elite</w:t>
      </w:r>
      <w:r w:rsidRPr="00B5392A">
        <w:rPr>
          <w:rFonts w:ascii="Times New Roman" w:hAnsi="Times New Roman" w:cs="Times New Roman"/>
        </w:rPr>
        <w:t>, of the well</w:t>
      </w:r>
      <w:r w:rsidR="7BFD61ED" w:rsidRPr="00B5392A">
        <w:rPr>
          <w:rFonts w:ascii="Times New Roman" w:hAnsi="Times New Roman" w:cs="Times New Roman"/>
        </w:rPr>
        <w:t>-</w:t>
      </w:r>
      <w:r w:rsidRPr="00B5392A">
        <w:rPr>
          <w:rFonts w:ascii="Times New Roman" w:hAnsi="Times New Roman" w:cs="Times New Roman"/>
        </w:rPr>
        <w:t xml:space="preserve">bred. His ideas of transcendence were presupposed on the idea that there were classes, delineations within culture, the smart and the dumb, and nothing was equal is this universe. </w:t>
      </w:r>
    </w:p>
    <w:p w14:paraId="337C6EB2" w14:textId="750B4AAB" w:rsidR="00B10FA3" w:rsidRPr="00B5392A" w:rsidRDefault="00B10FA3" w:rsidP="00252CDA">
      <w:pPr>
        <w:spacing w:line="480" w:lineRule="auto"/>
        <w:rPr>
          <w:rFonts w:ascii="Times New Roman" w:hAnsi="Times New Roman" w:cs="Times New Roman"/>
        </w:rPr>
      </w:pPr>
      <w:r w:rsidRPr="00B5392A">
        <w:rPr>
          <w:rFonts w:ascii="Times New Roman" w:hAnsi="Times New Roman" w:cs="Times New Roman"/>
        </w:rPr>
        <w:t xml:space="preserve">     Nietzsche admired Emerson, and their respective philosophies swam is similar waters – albeit with very different conclusions. Emerson’s conception of individual freedom contained non</w:t>
      </w:r>
      <w:r w:rsidR="024C9168" w:rsidRPr="00B5392A">
        <w:rPr>
          <w:rFonts w:ascii="Times New Roman" w:hAnsi="Times New Roman" w:cs="Times New Roman"/>
        </w:rPr>
        <w:t xml:space="preserve">e </w:t>
      </w:r>
      <w:r w:rsidRPr="00B5392A">
        <w:rPr>
          <w:rFonts w:ascii="Times New Roman" w:hAnsi="Times New Roman" w:cs="Times New Roman"/>
        </w:rPr>
        <w:t>of the elitism of Nietzsche; it was fully democratic, non-elitist and egalitarian.</w:t>
      </w:r>
      <w:r w:rsidRPr="00B5392A">
        <w:rPr>
          <w:rStyle w:val="FootnoteReference"/>
          <w:rFonts w:ascii="Times New Roman" w:hAnsi="Times New Roman" w:cs="Times New Roman"/>
        </w:rPr>
        <w:footnoteReference w:id="64"/>
      </w:r>
      <w:r w:rsidRPr="00B5392A">
        <w:rPr>
          <w:rFonts w:ascii="Times New Roman" w:hAnsi="Times New Roman" w:cs="Times New Roman"/>
        </w:rPr>
        <w:t xml:space="preserve"> Emerson spoke of the “gleam of light,” by which he meant the endless journey of learning about oneself, overcoming adversity and inner conflict, and to focus on the here and now, as a means to developing the self.</w:t>
      </w:r>
      <w:r w:rsidRPr="00B5392A">
        <w:rPr>
          <w:rStyle w:val="FootnoteReference"/>
          <w:rFonts w:ascii="Times New Roman" w:hAnsi="Times New Roman" w:cs="Times New Roman"/>
        </w:rPr>
        <w:footnoteReference w:id="65"/>
      </w:r>
      <w:r w:rsidRPr="00B5392A">
        <w:rPr>
          <w:rFonts w:ascii="Times New Roman" w:hAnsi="Times New Roman" w:cs="Times New Roman"/>
        </w:rPr>
        <w:t xml:space="preserve"> Unlike Nietzsche, Emerson saw genius in every man, and this </w:t>
      </w:r>
      <w:r w:rsidRPr="00B5392A">
        <w:rPr>
          <w:rFonts w:ascii="Times New Roman" w:hAnsi="Times New Roman" w:cs="Times New Roman"/>
        </w:rPr>
        <w:lastRenderedPageBreak/>
        <w:t>individualistic intelligence was what he meant by the “gleam of light.” In stating this, Emerson was glorifying not the profound and transcendent, but rather the uniqueness and mystery of every</w:t>
      </w:r>
      <w:r w:rsidR="6C74D07F" w:rsidRPr="00B5392A">
        <w:rPr>
          <w:rFonts w:ascii="Times New Roman" w:hAnsi="Times New Roman" w:cs="Times New Roman"/>
        </w:rPr>
        <w:t>-</w:t>
      </w:r>
      <w:r w:rsidRPr="00B5392A">
        <w:rPr>
          <w:rFonts w:ascii="Times New Roman" w:hAnsi="Times New Roman" w:cs="Times New Roman"/>
        </w:rPr>
        <w:t xml:space="preserve">day experience. </w:t>
      </w:r>
    </w:p>
    <w:p w14:paraId="47AF69B2" w14:textId="77777777" w:rsidR="00B10FA3" w:rsidRPr="00B5392A" w:rsidRDefault="00B10FA3" w:rsidP="00252CDA">
      <w:pPr>
        <w:spacing w:line="480" w:lineRule="auto"/>
        <w:rPr>
          <w:rFonts w:ascii="Times New Roman" w:hAnsi="Times New Roman" w:cs="Times New Roman"/>
        </w:rPr>
      </w:pPr>
      <w:r w:rsidRPr="00B5392A">
        <w:rPr>
          <w:rFonts w:ascii="Times New Roman" w:hAnsi="Times New Roman" w:cs="Times New Roman"/>
        </w:rPr>
        <w:t xml:space="preserve">     In the 20</w:t>
      </w:r>
      <w:r w:rsidRPr="00B5392A">
        <w:rPr>
          <w:rFonts w:ascii="Times New Roman" w:hAnsi="Times New Roman" w:cs="Times New Roman"/>
          <w:vertAlign w:val="superscript"/>
        </w:rPr>
        <w:t>th</w:t>
      </w:r>
      <w:r w:rsidRPr="00B5392A">
        <w:rPr>
          <w:rFonts w:ascii="Times New Roman" w:hAnsi="Times New Roman" w:cs="Times New Roman"/>
        </w:rPr>
        <w:t xml:space="preserve"> century, philosopher John Dewey re-examined Emerson, noting that education provided the impetus to conversion, to personal development that would “rekindle” the energies of the gleam of light that Emerson had espoused. Dewey wanted to release a non-conformism among individuals, as a means of “bringing something fresh into the world.” In this way, he endorsed the highly individualistic idea of perfectibility – a goal unto itself without any ultimate goal of absolute perfection – in the </w:t>
      </w:r>
      <w:r w:rsidRPr="00B5392A">
        <w:rPr>
          <w:rFonts w:ascii="Times New Roman" w:hAnsi="Times New Roman" w:cs="Times New Roman"/>
          <w:i/>
          <w:iCs/>
        </w:rPr>
        <w:t>natural genius of every man</w:t>
      </w:r>
      <w:r w:rsidRPr="00B5392A">
        <w:rPr>
          <w:rFonts w:ascii="Times New Roman" w:hAnsi="Times New Roman" w:cs="Times New Roman"/>
        </w:rPr>
        <w:t>. The 19</w:t>
      </w:r>
      <w:r w:rsidRPr="00B5392A">
        <w:rPr>
          <w:rFonts w:ascii="Times New Roman" w:hAnsi="Times New Roman" w:cs="Times New Roman"/>
          <w:vertAlign w:val="superscript"/>
        </w:rPr>
        <w:t>th</w:t>
      </w:r>
      <w:r w:rsidRPr="00B5392A">
        <w:rPr>
          <w:rFonts w:ascii="Times New Roman" w:hAnsi="Times New Roman" w:cs="Times New Roman"/>
        </w:rPr>
        <w:t xml:space="preserve"> century individualism of Emerson fit well with the 20</w:t>
      </w:r>
      <w:r w:rsidRPr="00B5392A">
        <w:rPr>
          <w:rFonts w:ascii="Times New Roman" w:hAnsi="Times New Roman" w:cs="Times New Roman"/>
          <w:vertAlign w:val="superscript"/>
        </w:rPr>
        <w:t>th</w:t>
      </w:r>
      <w:r w:rsidRPr="00B5392A">
        <w:rPr>
          <w:rFonts w:ascii="Times New Roman" w:hAnsi="Times New Roman" w:cs="Times New Roman"/>
        </w:rPr>
        <w:t xml:space="preserve"> century progressivism of Dewey. In both cases, the mythology of the individual – and of the individualism and genius of the everyman – was reinforced.</w:t>
      </w:r>
      <w:r w:rsidRPr="00B5392A">
        <w:rPr>
          <w:rStyle w:val="FootnoteReference"/>
          <w:rFonts w:ascii="Times New Roman" w:hAnsi="Times New Roman" w:cs="Times New Roman"/>
        </w:rPr>
        <w:footnoteReference w:id="66"/>
      </w:r>
    </w:p>
    <w:p w14:paraId="2F76B2FF" w14:textId="77777777" w:rsidR="00B10FA3" w:rsidRPr="00B5392A" w:rsidRDefault="00B10FA3" w:rsidP="00252CDA">
      <w:pPr>
        <w:spacing w:line="480" w:lineRule="auto"/>
        <w:rPr>
          <w:rFonts w:ascii="Times New Roman" w:hAnsi="Times New Roman" w:cs="Times New Roman"/>
        </w:rPr>
      </w:pPr>
      <w:r w:rsidRPr="00B5392A">
        <w:rPr>
          <w:rFonts w:ascii="Times New Roman" w:hAnsi="Times New Roman" w:cs="Times New Roman"/>
        </w:rPr>
        <w:t xml:space="preserve">  </w:t>
      </w:r>
      <w:r w:rsidRPr="00B5392A">
        <w:rPr>
          <w:rFonts w:ascii="Times New Roman" w:hAnsi="Times New Roman" w:cs="Times New Roman"/>
          <w:i/>
          <w:iCs/>
        </w:rPr>
        <w:t xml:space="preserve">  Perfectionism </w:t>
      </w:r>
      <w:r w:rsidRPr="00B5392A">
        <w:rPr>
          <w:rFonts w:ascii="Times New Roman" w:hAnsi="Times New Roman" w:cs="Times New Roman"/>
        </w:rPr>
        <w:t>was also a theme in antebellum America within the antislavery movement. The combined power of antislavery militancy, evangelical separatism and religious perfectionism drove the abolition movement in New York and elsewhere. Such belief was exhibited through ats of “moral purity,” often leading to the founding of external, often utopian communities. In their eyes, antislavery was merely the first step in a universal reform of spirit that would inaugurate the return of god’s centrality in the church and in society.</w:t>
      </w:r>
      <w:r w:rsidRPr="00B5392A">
        <w:rPr>
          <w:rStyle w:val="FootnoteReference"/>
          <w:rFonts w:ascii="Times New Roman" w:hAnsi="Times New Roman" w:cs="Times New Roman"/>
        </w:rPr>
        <w:footnoteReference w:id="67"/>
      </w:r>
    </w:p>
    <w:p w14:paraId="77BDB899" w14:textId="77777777" w:rsidR="00B10FA3" w:rsidRPr="00B5392A" w:rsidRDefault="00B10FA3" w:rsidP="6375CABF">
      <w:pPr>
        <w:spacing w:line="480" w:lineRule="auto"/>
        <w:rPr>
          <w:rStyle w:val="FootnoteReference"/>
          <w:rFonts w:ascii="Times New Roman" w:hAnsi="Times New Roman" w:cs="Times New Roman"/>
        </w:rPr>
      </w:pPr>
      <w:r w:rsidRPr="00B5392A">
        <w:rPr>
          <w:rFonts w:ascii="Times New Roman" w:hAnsi="Times New Roman" w:cs="Times New Roman"/>
        </w:rPr>
        <w:t xml:space="preserve">     Other proponents of moral perfectionism in the 19</w:t>
      </w:r>
      <w:r w:rsidRPr="00B5392A">
        <w:rPr>
          <w:rFonts w:ascii="Times New Roman" w:hAnsi="Times New Roman" w:cs="Times New Roman"/>
          <w:vertAlign w:val="superscript"/>
        </w:rPr>
        <w:t>th</w:t>
      </w:r>
      <w:r w:rsidRPr="00B5392A">
        <w:rPr>
          <w:rFonts w:ascii="Times New Roman" w:hAnsi="Times New Roman" w:cs="Times New Roman"/>
        </w:rPr>
        <w:t xml:space="preserve"> century included John Humphrey Noyes, who founded the Oneida community. Noyes’ conception of perfectionism was based in part on sexuality, and the separation of “amative” sex from “propagative” sex. Translated, that </w:t>
      </w:r>
      <w:r w:rsidRPr="00B5392A">
        <w:rPr>
          <w:rFonts w:ascii="Times New Roman" w:hAnsi="Times New Roman" w:cs="Times New Roman"/>
        </w:rPr>
        <w:lastRenderedPageBreak/>
        <w:t>meant that sex for procreation could be separated from the ‘social’ act of sex, where a man would practice “continence,” and withhold himself from ejaculation. The Oneida community was a sexually pluralistic one, with many rules and strictures regarding their unorthodox sexual practices.</w:t>
      </w:r>
      <w:r w:rsidRPr="00B5392A">
        <w:rPr>
          <w:rStyle w:val="FootnoteReference"/>
          <w:rFonts w:ascii="Times New Roman" w:hAnsi="Times New Roman" w:cs="Times New Roman"/>
        </w:rPr>
        <w:t xml:space="preserve"> </w:t>
      </w:r>
      <w:r w:rsidRPr="00B5392A">
        <w:rPr>
          <w:rStyle w:val="FootnoteReference"/>
          <w:rFonts w:ascii="Times New Roman" w:hAnsi="Times New Roman" w:cs="Times New Roman"/>
        </w:rPr>
        <w:footnoteReference w:id="68"/>
      </w:r>
    </w:p>
    <w:p w14:paraId="376B2061" w14:textId="77777777" w:rsidR="00BE5AD6" w:rsidRDefault="00BE5AD6" w:rsidP="00E76F37">
      <w:pPr>
        <w:spacing w:line="480" w:lineRule="auto"/>
        <w:ind w:left="1440" w:hanging="1440"/>
        <w:rPr>
          <w:rFonts w:ascii="Times New Roman" w:hAnsi="Times New Roman" w:cs="Times New Roman"/>
          <w:b/>
          <w:bCs/>
          <w:i/>
          <w:iCs/>
          <w:sz w:val="28"/>
          <w:szCs w:val="28"/>
        </w:rPr>
      </w:pPr>
    </w:p>
    <w:p w14:paraId="7EAE3AC8" w14:textId="0A0686B9" w:rsidR="00B10FA3" w:rsidRPr="00B5392A" w:rsidRDefault="00B10FA3" w:rsidP="00E76F37">
      <w:pPr>
        <w:spacing w:line="480" w:lineRule="auto"/>
        <w:ind w:left="1440" w:hanging="1440"/>
        <w:rPr>
          <w:rFonts w:ascii="Times New Roman" w:hAnsi="Times New Roman" w:cs="Times New Roman"/>
        </w:rPr>
      </w:pPr>
      <w:r w:rsidRPr="00B5392A">
        <w:rPr>
          <w:rFonts w:ascii="Times New Roman" w:hAnsi="Times New Roman" w:cs="Times New Roman"/>
          <w:b/>
          <w:bCs/>
          <w:i/>
          <w:iCs/>
          <w:sz w:val="28"/>
          <w:szCs w:val="28"/>
        </w:rPr>
        <w:t>The Myth of the Self-Made Man</w:t>
      </w:r>
    </w:p>
    <w:p w14:paraId="7D1203F6" w14:textId="77777777" w:rsidR="00B10FA3" w:rsidRPr="00B5392A" w:rsidRDefault="00B10FA3" w:rsidP="00153645">
      <w:pPr>
        <w:pStyle w:val="NormalWeb"/>
        <w:spacing w:line="480" w:lineRule="auto"/>
      </w:pPr>
      <w:r w:rsidRPr="00B5392A">
        <w:t xml:space="preserve">     The term </w:t>
      </w:r>
      <w:r w:rsidRPr="00B5392A">
        <w:rPr>
          <w:rStyle w:val="Strong"/>
        </w:rPr>
        <w:t>“</w:t>
      </w:r>
      <w:r w:rsidRPr="00735D55">
        <w:rPr>
          <w:rStyle w:val="Strong"/>
        </w:rPr>
        <w:t>self</w:t>
      </w:r>
      <w:r w:rsidRPr="00B5392A">
        <w:rPr>
          <w:rStyle w:val="Strong"/>
        </w:rPr>
        <w:t>-made man”</w:t>
      </w:r>
      <w:r w:rsidRPr="00B5392A">
        <w:t xml:space="preserve"> is a classic phrase first coined on February 2, 1832 by United States senator Henry Clay who referred to the self-made man in the United States Senate, to describe individuals in the manufacturing sector whose success lay within the individuals themselves, and their own efforts, rather than with external help or assistance. Preceding Clay was none other than Ben Franklin, who lived a life based on the principles of thrift, self reliance and innovation. </w:t>
      </w:r>
    </w:p>
    <w:p w14:paraId="372EF791" w14:textId="77777777" w:rsidR="00B10FA3" w:rsidRPr="00B5392A" w:rsidRDefault="00B10FA3" w:rsidP="00153645">
      <w:pPr>
        <w:pStyle w:val="NormalWeb"/>
        <w:spacing w:line="480" w:lineRule="auto"/>
      </w:pPr>
      <w:r w:rsidRPr="00B5392A">
        <w:t xml:space="preserve">       The mythical properties of the self-made man extended to freed slaves: Frederick Douglass endorsed the concept in the 1850s, hoping to inspire a generation of freed slaves to benefit from the fruits of their own labor. </w:t>
      </w:r>
    </w:p>
    <w:p w14:paraId="1FDC519D" w14:textId="77777777" w:rsidR="00B10FA3" w:rsidRPr="00B5392A" w:rsidRDefault="00B10FA3" w:rsidP="00153645">
      <w:pPr>
        <w:pStyle w:val="NormalWeb"/>
        <w:spacing w:line="480" w:lineRule="auto"/>
      </w:pPr>
      <w:r w:rsidRPr="00B5392A">
        <w:t xml:space="preserve">      By the 20</w:t>
      </w:r>
      <w:r w:rsidRPr="00B5392A">
        <w:rPr>
          <w:vertAlign w:val="superscript"/>
        </w:rPr>
        <w:t>th</w:t>
      </w:r>
      <w:r w:rsidRPr="00B5392A">
        <w:t xml:space="preserve"> century, a ‘self made man’ was usually conceived as one who had conquered the business world, rather than the Clay or Jeffersonian conception, which saw the independence as an agricultural ideal, allowing for complete economic and social self </w:t>
      </w:r>
      <w:r w:rsidRPr="00B5392A">
        <w:lastRenderedPageBreak/>
        <w:t>sufficiency – though this myth was, as in Jefferson’s case, stained with the reliance on slave labor.</w:t>
      </w:r>
    </w:p>
    <w:p w14:paraId="6233C901" w14:textId="35C437D6" w:rsidR="00B10FA3" w:rsidRPr="00B5392A" w:rsidRDefault="00B10FA3" w:rsidP="00153645">
      <w:pPr>
        <w:pStyle w:val="NormalWeb"/>
        <w:spacing w:line="480" w:lineRule="auto"/>
      </w:pPr>
      <w:r w:rsidRPr="00B5392A">
        <w:rPr>
          <w:b/>
          <w:bCs/>
          <w:i/>
          <w:iCs/>
          <w:sz w:val="28"/>
          <w:szCs w:val="28"/>
        </w:rPr>
        <w:t>Racial Myths</w:t>
      </w:r>
    </w:p>
    <w:p w14:paraId="77B30473" w14:textId="77777777" w:rsidR="00B10FA3" w:rsidRPr="00B5392A" w:rsidRDefault="00B10FA3" w:rsidP="00153645">
      <w:pPr>
        <w:pStyle w:val="NormalWeb"/>
        <w:spacing w:line="480" w:lineRule="auto"/>
      </w:pPr>
      <w:r w:rsidRPr="00B5392A">
        <w:t xml:space="preserve">      Several books length works could be devoted to the use of race in American mythology, as race is central to understanding nearly every period in the development of the Republic. With that in mind, we will treat it very briefly here.</w:t>
      </w:r>
    </w:p>
    <w:p w14:paraId="29BEAEDB" w14:textId="4980395D" w:rsidR="00B10FA3" w:rsidRPr="00B5392A" w:rsidRDefault="00B10FA3" w:rsidP="00153645">
      <w:pPr>
        <w:pStyle w:val="NormalWeb"/>
        <w:spacing w:line="480" w:lineRule="auto"/>
      </w:pPr>
      <w:r w:rsidRPr="00B5392A">
        <w:t xml:space="preserve">     Historian Winthrop D. Jordan depicts the multifaceted phenomenon of race and racial caricature in his landmark work </w:t>
      </w:r>
      <w:r w:rsidRPr="00B5392A">
        <w:rPr>
          <w:i/>
          <w:iCs/>
        </w:rPr>
        <w:t>White Over Black: American Attitudes Towards the Negro, 1550-1812</w:t>
      </w:r>
      <w:r w:rsidRPr="00B5392A">
        <w:t xml:space="preserve">.  Initially, during early colonization of the New World, a pejorative label was attached to black skin – more than race, it was a moral designation. </w:t>
      </w:r>
      <w:r w:rsidR="4BFD5D58" w:rsidRPr="00B5392A">
        <w:t>Metaphorically, b</w:t>
      </w:r>
      <w:r w:rsidRPr="00B5392A">
        <w:t>lackness equalled filth, sickness, degradation – and, ultimately, sin and evil. Whiteness, by contrast, represented cleanliness, goodness, virtue and purity.</w:t>
      </w:r>
      <w:r w:rsidRPr="00B5392A">
        <w:rPr>
          <w:rStyle w:val="FootnoteReference"/>
          <w:rFonts w:eastAsiaTheme="majorEastAsia"/>
        </w:rPr>
        <w:footnoteReference w:id="69"/>
      </w:r>
    </w:p>
    <w:p w14:paraId="1346E3CC" w14:textId="77777777" w:rsidR="00B10FA3" w:rsidRPr="00B5392A" w:rsidRDefault="00B10FA3" w:rsidP="00153645">
      <w:pPr>
        <w:pStyle w:val="NormalWeb"/>
        <w:spacing w:line="480" w:lineRule="auto"/>
      </w:pPr>
      <w:r w:rsidRPr="00B5392A">
        <w:t xml:space="preserve">     Another racial myth that was widely adopted was that black people were “uncivilized.” They spoke differently from the colonizers, thus, they were different. And different indicated inferiority. This sense of inferiority was reinforced by ideas that other races than English must, by definition be “savage.” They were cannibals, savages, bestial – all in all, it provided an air tight justification for the subjugation of this racial group, consigned to the status of “The Other.”</w:t>
      </w:r>
      <w:r w:rsidRPr="00B5392A">
        <w:rPr>
          <w:rStyle w:val="FootnoteReference"/>
          <w:rFonts w:eastAsiaTheme="majorEastAsia"/>
        </w:rPr>
        <w:footnoteReference w:id="70"/>
      </w:r>
    </w:p>
    <w:p w14:paraId="219DD397" w14:textId="77777777" w:rsidR="00B10FA3" w:rsidRPr="00B5392A" w:rsidRDefault="00B10FA3" w:rsidP="00153645">
      <w:pPr>
        <w:pStyle w:val="NormalWeb"/>
        <w:spacing w:line="480" w:lineRule="auto"/>
      </w:pPr>
      <w:r w:rsidRPr="00B5392A">
        <w:t xml:space="preserve">     </w:t>
      </w:r>
      <w:r w:rsidRPr="00B5392A">
        <w:rPr>
          <w:i/>
          <w:iCs/>
        </w:rPr>
        <w:t>Sexual myths</w:t>
      </w:r>
      <w:r w:rsidRPr="00B5392A">
        <w:t xml:space="preserve"> permeated the early English culture as well. Africans were lacking moral sensibility, rational thought; they longed for nothing more than food, drink and sex unless </w:t>
      </w:r>
      <w:r w:rsidRPr="00B5392A">
        <w:lastRenderedPageBreak/>
        <w:t>they were coerced to behave in a more civilized manner. “They have made no progress in two thousand years.”</w:t>
      </w:r>
      <w:r w:rsidRPr="00B5392A">
        <w:rPr>
          <w:rStyle w:val="FootnoteReference"/>
          <w:rFonts w:eastAsiaTheme="majorEastAsia"/>
        </w:rPr>
        <w:footnoteReference w:id="71"/>
      </w:r>
      <w:r w:rsidRPr="00B5392A">
        <w:t xml:space="preserve"> Sexual myths combined with a “</w:t>
      </w:r>
      <w:proofErr w:type="spellStart"/>
      <w:r w:rsidRPr="00B5392A">
        <w:t>janus</w:t>
      </w:r>
      <w:proofErr w:type="spellEnd"/>
      <w:r w:rsidRPr="00B5392A">
        <w:t xml:space="preserve"> myth” in the American antebellum South. Black slaves were, effectively portrayed in two distinct manners. One was the docile “Uncle Tom,” the slow witted but obedient servant to the white master; harmless and loyal. This was the slave who owed his station – and his advancement - to his owner. </w:t>
      </w:r>
    </w:p>
    <w:p w14:paraId="3ECB1076" w14:textId="77777777" w:rsidR="00B10FA3" w:rsidRPr="00B5392A" w:rsidRDefault="00B10FA3" w:rsidP="00153645">
      <w:pPr>
        <w:pStyle w:val="NormalWeb"/>
        <w:spacing w:line="480" w:lineRule="auto"/>
      </w:pPr>
      <w:r w:rsidRPr="00B5392A">
        <w:t xml:space="preserve">     The second of the “</w:t>
      </w:r>
      <w:proofErr w:type="spellStart"/>
      <w:r w:rsidRPr="00B5392A">
        <w:t>janus</w:t>
      </w:r>
      <w:proofErr w:type="spellEnd"/>
      <w:r w:rsidRPr="00B5392A">
        <w:t xml:space="preserve">” myths was the slave as a bloodthirsty escapee, intent on harming his master and family. This was the sexualized, aggressive black slave male image; ravaging, plundering, irrational and in need of shackles and reminders of ‘civilization.’ These two archetypes lived side by side for centuries, and even have their counterparts in myths about Native American in the US as either harmless, benign, “drug store Indians” or “wild savages.” </w:t>
      </w:r>
    </w:p>
    <w:p w14:paraId="0F435916" w14:textId="0199FE92" w:rsidR="00B10FA3" w:rsidRPr="00B5392A" w:rsidRDefault="00B10FA3" w:rsidP="00153645">
      <w:pPr>
        <w:pStyle w:val="NormalWeb"/>
        <w:spacing w:line="480" w:lineRule="auto"/>
      </w:pPr>
      <w:r w:rsidRPr="00B5392A">
        <w:t xml:space="preserve">     Myths of racial inferiority were common during the 19</w:t>
      </w:r>
      <w:r w:rsidRPr="00B5392A">
        <w:rPr>
          <w:vertAlign w:val="superscript"/>
        </w:rPr>
        <w:t>th</w:t>
      </w:r>
      <w:r w:rsidRPr="00B5392A">
        <w:t xml:space="preserve"> century and found wide acceptance in the US – even among those who, at least nominally, opposed slavery as an institution. John C. Calhoun, US Senator from South Carolina, and ardent slavery advocate, expressed his ideas of freedom this way: </w:t>
      </w:r>
    </w:p>
    <w:p w14:paraId="4081AC07" w14:textId="33409F8F" w:rsidR="6375CABF" w:rsidRPr="00B5392A" w:rsidRDefault="6375CABF" w:rsidP="6375CABF">
      <w:pPr>
        <w:pStyle w:val="NormalWeb"/>
        <w:spacing w:line="480" w:lineRule="auto"/>
      </w:pPr>
    </w:p>
    <w:p w14:paraId="25BD48C8" w14:textId="688F5F2B" w:rsidR="00B10FA3" w:rsidRPr="00B5392A" w:rsidRDefault="00B10FA3" w:rsidP="6375CABF">
      <w:pPr>
        <w:pStyle w:val="NormalWeb"/>
        <w:rPr>
          <w:i/>
          <w:iCs/>
        </w:rPr>
      </w:pPr>
      <w:r w:rsidRPr="00B5392A">
        <w:rPr>
          <w:i/>
          <w:iCs/>
        </w:rPr>
        <w:t>...the right to suffrage, constitutes, in fact, the elements of constitutional government. The one, by rendering those who make and execute the laws responsible to those upon whom they operate, prevents the rulers from oppressing the rule.</w:t>
      </w:r>
      <w:r w:rsidRPr="00B5392A">
        <w:rPr>
          <w:rStyle w:val="FootnoteReference"/>
          <w:rFonts w:eastAsiaTheme="majorEastAsia"/>
          <w:i/>
          <w:iCs/>
        </w:rPr>
        <w:footnoteReference w:id="72"/>
      </w:r>
    </w:p>
    <w:p w14:paraId="699DE570" w14:textId="77777777" w:rsidR="00B10FA3" w:rsidRPr="00B5392A" w:rsidRDefault="00B10FA3" w:rsidP="0007244D">
      <w:pPr>
        <w:pStyle w:val="NormalWeb"/>
      </w:pPr>
    </w:p>
    <w:p w14:paraId="6977F026" w14:textId="77777777" w:rsidR="00B10FA3" w:rsidRPr="00B5392A" w:rsidRDefault="00B10FA3" w:rsidP="0007244D">
      <w:pPr>
        <w:pStyle w:val="NormalWeb"/>
      </w:pPr>
      <w:r w:rsidRPr="00B5392A">
        <w:t>Calhoun’s epiphany to liberty took an insidious turn, however.</w:t>
      </w:r>
    </w:p>
    <w:p w14:paraId="3944C250" w14:textId="77777777" w:rsidR="00B10FA3" w:rsidRPr="00B5392A" w:rsidRDefault="00B10FA3" w:rsidP="0007244D">
      <w:pPr>
        <w:pStyle w:val="NormalWeb"/>
        <w:rPr>
          <w:i/>
          <w:iCs/>
        </w:rPr>
      </w:pPr>
    </w:p>
    <w:p w14:paraId="1DDF4F1B" w14:textId="77777777" w:rsidR="00B10FA3" w:rsidRPr="00B5392A" w:rsidRDefault="00B10FA3" w:rsidP="0007244D">
      <w:pPr>
        <w:pStyle w:val="NormalWeb"/>
        <w:rPr>
          <w:i/>
          <w:iCs/>
        </w:rPr>
      </w:pPr>
      <w:r w:rsidRPr="00B5392A">
        <w:rPr>
          <w:i/>
          <w:iCs/>
        </w:rPr>
        <w:t xml:space="preserve">It is a great and dangerous error to suppose that all people are equally entitled to liberty. It is a reward to be earned, not a blessing to be gratuitously on all alike - a reward reserved for the intelligent, the patriotic and the virtuous and the deserving – and is not a boon to be </w:t>
      </w:r>
      <w:r w:rsidRPr="00B5392A">
        <w:rPr>
          <w:i/>
          <w:iCs/>
        </w:rPr>
        <w:lastRenderedPageBreak/>
        <w:t>bestowed upon people too ignorant, degraded and vicious to be capable of appreciating or enjoying it….to make equality a condition essential to liberty would be to destroy both liberty and progress.</w:t>
      </w:r>
      <w:r w:rsidRPr="00B5392A">
        <w:rPr>
          <w:rStyle w:val="FootnoteReference"/>
          <w:rFonts w:eastAsiaTheme="majorEastAsia"/>
          <w:i/>
          <w:iCs/>
        </w:rPr>
        <w:footnoteReference w:id="73"/>
      </w:r>
      <w:r w:rsidRPr="00B5392A">
        <w:rPr>
          <w:i/>
          <w:iCs/>
        </w:rPr>
        <w:t xml:space="preserve"> </w:t>
      </w:r>
    </w:p>
    <w:p w14:paraId="1AEA82B2" w14:textId="77777777" w:rsidR="00B10FA3" w:rsidRPr="00B5392A" w:rsidRDefault="00B10FA3" w:rsidP="0007244D">
      <w:pPr>
        <w:pStyle w:val="NormalWeb"/>
      </w:pPr>
    </w:p>
    <w:p w14:paraId="31A4AFDF" w14:textId="77777777" w:rsidR="00B10FA3" w:rsidRPr="00B5392A" w:rsidRDefault="00B10FA3" w:rsidP="00DE6FC9">
      <w:pPr>
        <w:pStyle w:val="NormalWeb"/>
        <w:spacing w:line="480" w:lineRule="auto"/>
      </w:pPr>
      <w:r w:rsidRPr="00B5392A">
        <w:t xml:space="preserve">     In essence, Calhoun justified racialism and slavery with these words. In fact, he also endorsed the disenfranchisement of many poor and middling whites as well. But Calhoun’s focus was on</w:t>
      </w:r>
      <w:r w:rsidRPr="00B5392A">
        <w:rPr>
          <w:i/>
          <w:iCs/>
        </w:rPr>
        <w:t xml:space="preserve"> the myth of the savage</w:t>
      </w:r>
      <w:r w:rsidRPr="00B5392A">
        <w:t xml:space="preserve">, the unschooled, the ignorant, the unintelligent, the unredeemable. </w:t>
      </w:r>
    </w:p>
    <w:p w14:paraId="15FBC340" w14:textId="77777777" w:rsidR="00B10FA3" w:rsidRPr="00B5392A" w:rsidRDefault="00B10FA3" w:rsidP="00DE6FC9">
      <w:pPr>
        <w:pStyle w:val="NormalWeb"/>
        <w:spacing w:line="480" w:lineRule="auto"/>
      </w:pPr>
      <w:r w:rsidRPr="00B5392A">
        <w:t xml:space="preserve">     As recently as 1965, American columnist William F. Buckley argued, in a debate with African American scholar William Baldwin that:</w:t>
      </w:r>
    </w:p>
    <w:p w14:paraId="767E1B6E" w14:textId="77777777" w:rsidR="00B10FA3" w:rsidRPr="00B5392A" w:rsidRDefault="00B10FA3" w:rsidP="002339AB">
      <w:pPr>
        <w:pStyle w:val="NormalWeb"/>
        <w:rPr>
          <w:i/>
          <w:iCs/>
        </w:rPr>
      </w:pPr>
      <w:r w:rsidRPr="00B5392A">
        <w:rPr>
          <w:i/>
          <w:iCs/>
        </w:rPr>
        <w:t>Flagellations exist of our civilization and of America as a whole. Forcing the American South to abandon its way of life and accept government-mandated integration, he insisted, would be immoral.</w:t>
      </w:r>
      <w:r w:rsidRPr="00B5392A">
        <w:rPr>
          <w:rStyle w:val="FootnoteReference"/>
          <w:rFonts w:eastAsiaTheme="majorEastAsia"/>
          <w:i/>
          <w:iCs/>
        </w:rPr>
        <w:footnoteReference w:id="74"/>
      </w:r>
    </w:p>
    <w:p w14:paraId="5EEF391B" w14:textId="77777777" w:rsidR="00B10FA3" w:rsidRPr="00B5392A" w:rsidRDefault="00B10FA3" w:rsidP="002339AB">
      <w:pPr>
        <w:pStyle w:val="NormalWeb"/>
      </w:pPr>
    </w:p>
    <w:p w14:paraId="1A6E9B40" w14:textId="77777777" w:rsidR="00B10FA3" w:rsidRPr="00B5392A" w:rsidRDefault="00B10FA3" w:rsidP="002339AB">
      <w:pPr>
        <w:pStyle w:val="NormalWeb"/>
        <w:spacing w:line="480" w:lineRule="auto"/>
      </w:pPr>
      <w:r w:rsidRPr="00B5392A">
        <w:t xml:space="preserve">     Buckley – trained in the North - believed that black Americans were ‘not ready’ for full inclusion into the body politic. He questioned their intelligence and talent, opining that perhaps one day they might join in full status the voting, participating American populace. </w:t>
      </w:r>
    </w:p>
    <w:p w14:paraId="470B2674" w14:textId="77777777" w:rsidR="00735D55" w:rsidRDefault="00735D55" w:rsidP="0007244D">
      <w:pPr>
        <w:pStyle w:val="NormalWeb"/>
      </w:pPr>
    </w:p>
    <w:p w14:paraId="50E5D656" w14:textId="3120813F" w:rsidR="00B10FA3" w:rsidRPr="00B5392A" w:rsidRDefault="00B10FA3" w:rsidP="0007244D">
      <w:pPr>
        <w:pStyle w:val="NormalWeb"/>
      </w:pPr>
      <w:r w:rsidRPr="00B5392A">
        <w:t xml:space="preserve">   </w:t>
      </w:r>
      <w:r w:rsidRPr="00B5392A">
        <w:rPr>
          <w:b/>
          <w:bCs/>
          <w:i/>
          <w:iCs/>
          <w:sz w:val="28"/>
          <w:szCs w:val="28"/>
        </w:rPr>
        <w:t>Mythologies of Belief</w:t>
      </w:r>
    </w:p>
    <w:p w14:paraId="4D0407C5" w14:textId="77777777" w:rsidR="00735D55" w:rsidRDefault="575A2B1C" w:rsidP="0097329D">
      <w:pPr>
        <w:pStyle w:val="NormalWeb"/>
        <w:spacing w:line="480" w:lineRule="auto"/>
      </w:pPr>
      <w:r>
        <w:t xml:space="preserve">    </w:t>
      </w:r>
    </w:p>
    <w:p w14:paraId="1C5C7278" w14:textId="11CEFE72" w:rsidR="00B10FA3" w:rsidRDefault="00B10FA3" w:rsidP="0097329D">
      <w:pPr>
        <w:pStyle w:val="NormalWeb"/>
        <w:spacing w:line="480" w:lineRule="auto"/>
      </w:pPr>
      <w:r>
        <w:t xml:space="preserve"> Over time, political scientists have come to recognize that threatened social and political groups behave in certain ways at different times. The more a given group feels its identity and influence compromised or lessoned, it acts out, in various predictable ways. One of these is, at </w:t>
      </w:r>
      <w:r>
        <w:lastRenderedPageBreak/>
        <w:t xml:space="preserve">one end of the spectrum, </w:t>
      </w:r>
      <w:r w:rsidRPr="6375CABF">
        <w:rPr>
          <w:i/>
          <w:iCs/>
        </w:rPr>
        <w:t>intolerance of pluralism</w:t>
      </w:r>
      <w:r>
        <w:t xml:space="preserve">, while, in its more extreme form, might be termed </w:t>
      </w:r>
      <w:r w:rsidRPr="6375CABF">
        <w:rPr>
          <w:i/>
          <w:iCs/>
        </w:rPr>
        <w:t>monism</w:t>
      </w:r>
      <w:r>
        <w:t xml:space="preserve">, a term coined by sociologist Seymour Martin Lipset. This term refers to the tendency to see complex events through a single lens; a derived feature of this tendency is </w:t>
      </w:r>
      <w:r w:rsidRPr="6375CABF">
        <w:rPr>
          <w:i/>
          <w:iCs/>
        </w:rPr>
        <w:t>simplism</w:t>
      </w:r>
      <w:r>
        <w:t>, an extension of monism. This is the idea that, not only are complex phenomena in the world reducible to single causation, but that the single causation itself is understandable to all in a basic, formulaic structure. In short, the world is a simple place, if only we recognize it as such.</w:t>
      </w:r>
    </w:p>
    <w:p w14:paraId="21A0152D" w14:textId="77777777" w:rsidR="00B10FA3" w:rsidRDefault="00B10FA3" w:rsidP="0097329D">
      <w:pPr>
        <w:pStyle w:val="NormalWeb"/>
        <w:spacing w:line="480" w:lineRule="auto"/>
      </w:pPr>
      <w:r>
        <w:t xml:space="preserve">     In American politics, at least dating from the 1960s, figure such as Phyllis Schafley, promoted the ideas of monism and simplism as such: </w:t>
      </w:r>
    </w:p>
    <w:p w14:paraId="15591FF0" w14:textId="77777777" w:rsidR="00B10FA3" w:rsidRDefault="00B10FA3" w:rsidP="00F50349">
      <w:pPr>
        <w:pStyle w:val="NormalWeb"/>
      </w:pPr>
      <w:r>
        <w:t>(Denying that) recent day problems are so complex that we must have sophisticated – not simple – solutions. Civilization progresses, freedom is won, and problems are solved because we have wonderful people who think up simple solutions.</w:t>
      </w:r>
      <w:r>
        <w:rPr>
          <w:rStyle w:val="FootnoteReference"/>
          <w:rFonts w:eastAsiaTheme="majorEastAsia"/>
        </w:rPr>
        <w:footnoteReference w:id="75"/>
      </w:r>
    </w:p>
    <w:p w14:paraId="172B03B2" w14:textId="77777777" w:rsidR="00B10FA3" w:rsidRDefault="00B10FA3" w:rsidP="00F50349">
      <w:pPr>
        <w:pStyle w:val="NormalWeb"/>
        <w:spacing w:line="480" w:lineRule="auto"/>
        <w:rPr>
          <w:b/>
          <w:bCs/>
          <w:i/>
          <w:iCs/>
          <w:sz w:val="28"/>
          <w:szCs w:val="28"/>
        </w:rPr>
      </w:pPr>
    </w:p>
    <w:p w14:paraId="68397E68" w14:textId="77777777" w:rsidR="00B10FA3" w:rsidRPr="00DC7307" w:rsidRDefault="00B10FA3" w:rsidP="00F50349">
      <w:pPr>
        <w:pStyle w:val="NormalWeb"/>
        <w:spacing w:line="480" w:lineRule="auto"/>
      </w:pPr>
      <w:r>
        <w:rPr>
          <w:b/>
          <w:bCs/>
          <w:i/>
          <w:iCs/>
          <w:sz w:val="28"/>
          <w:szCs w:val="28"/>
        </w:rPr>
        <w:t>The Power and Illusion of Belief</w:t>
      </w:r>
    </w:p>
    <w:p w14:paraId="00B34536" w14:textId="77777777" w:rsidR="00B10FA3" w:rsidRDefault="00B10FA3" w:rsidP="00F50349">
      <w:pPr>
        <w:pStyle w:val="NormalWeb"/>
        <w:spacing w:line="480" w:lineRule="auto"/>
      </w:pPr>
      <w:r>
        <w:t xml:space="preserve">    Simplism is simply another term to describe wishful thinking in politics. It is nothing new, the idea of the “magical power of the word” dates back to the Vietnam era and beyond. In a market economy, “the word” usually refers to a relationship between the economic, the social, the political and the interests of varying parties. However, when one subscribes to a notion that merely “believing” something will effect change or improvement, one has entered into a very different realm of being. </w:t>
      </w:r>
    </w:p>
    <w:p w14:paraId="7872CB88" w14:textId="77777777" w:rsidR="00B10FA3" w:rsidRDefault="00B10FA3" w:rsidP="00F50349">
      <w:pPr>
        <w:pStyle w:val="NormalWeb"/>
        <w:spacing w:line="480" w:lineRule="auto"/>
      </w:pPr>
      <w:r>
        <w:t xml:space="preserve">     But this very state is common – even typical – in American thinking today. Imagine </w:t>
      </w:r>
      <w:r>
        <w:rPr>
          <w:i/>
          <w:iCs/>
        </w:rPr>
        <w:t>desire</w:t>
      </w:r>
      <w:r>
        <w:t xml:space="preserve"> as the driving force in understanding the world, rather than thought, reflection or empirical </w:t>
      </w:r>
      <w:r>
        <w:lastRenderedPageBreak/>
        <w:t xml:space="preserve">reflection. Imagine that the fanciful takes precedence over the real; what we </w:t>
      </w:r>
      <w:r>
        <w:rPr>
          <w:i/>
          <w:iCs/>
        </w:rPr>
        <w:t>wish</w:t>
      </w:r>
      <w:r>
        <w:t xml:space="preserve"> to be real becomes real for us.</w:t>
      </w:r>
      <w:r>
        <w:rPr>
          <w:i/>
          <w:iCs/>
        </w:rPr>
        <w:t xml:space="preserve"> </w:t>
      </w:r>
      <w:r>
        <w:t>In this state of suspended belief, anything might be possible; lies, ignorance, myths, wishes, prejudices, vendettas. All are fair game.</w:t>
      </w:r>
      <w:r>
        <w:rPr>
          <w:rStyle w:val="FootnoteReference"/>
          <w:rFonts w:eastAsiaTheme="majorEastAsia"/>
        </w:rPr>
        <w:footnoteReference w:id="76"/>
      </w:r>
      <w:r>
        <w:t xml:space="preserve"> </w:t>
      </w:r>
    </w:p>
    <w:p w14:paraId="66F712F9" w14:textId="77777777" w:rsidR="00B10FA3" w:rsidRPr="00EC05B7" w:rsidRDefault="00B10FA3" w:rsidP="004A19D2">
      <w:pPr>
        <w:pStyle w:val="NormalWeb"/>
        <w:spacing w:line="480" w:lineRule="auto"/>
        <w:rPr>
          <w:color w:val="0D0D0D" w:themeColor="text1" w:themeTint="F2"/>
        </w:rPr>
      </w:pPr>
      <w:r>
        <w:t xml:space="preserve">    Fanciful thinking is delusional, wishful thinking, and it can lead to devastating results. Not only can it, through passivity, feed the credibility of conspiracy theories, but it can (as it has </w:t>
      </w:r>
      <w:r w:rsidRPr="6375CABF">
        <w:rPr>
          <w:color w:val="0D0D0D" w:themeColor="text1" w:themeTint="F2"/>
        </w:rPr>
        <w:t xml:space="preserve">recently) cause the massive loss of life. Take, for example, the Covid 19 pandemic: </w:t>
      </w:r>
    </w:p>
    <w:p w14:paraId="2F9FB57F" w14:textId="77777777" w:rsidR="00B10FA3" w:rsidRDefault="00B10FA3" w:rsidP="004A19D2">
      <w:pPr>
        <w:pStyle w:val="NormalWeb"/>
        <w:rPr>
          <w:i/>
          <w:iCs/>
          <w:color w:val="0D0D0D" w:themeColor="text1" w:themeTint="F2"/>
        </w:rPr>
      </w:pPr>
    </w:p>
    <w:p w14:paraId="1D029737" w14:textId="77777777" w:rsidR="00B10FA3" w:rsidRDefault="00B10FA3" w:rsidP="004A19D2">
      <w:pPr>
        <w:pStyle w:val="NormalWeb"/>
      </w:pPr>
      <w:r w:rsidRPr="6375CABF">
        <w:rPr>
          <w:i/>
          <w:iCs/>
          <w:color w:val="0D0D0D" w:themeColor="text1" w:themeTint="F2"/>
        </w:rPr>
        <w:t xml:space="preserve">Those who follow public health understood that a global pandemic was an urgent possibility. In 2015, Bill Gates </w:t>
      </w:r>
      <w:hyperlink r:id="rId8" w:tgtFrame="_blank" w:history="1">
        <w:r w:rsidRPr="6375CABF">
          <w:rPr>
            <w:rStyle w:val="Hyperlink"/>
            <w:rFonts w:eastAsiaTheme="majorEastAsia"/>
            <w:color w:val="0D0D0D" w:themeColor="text1" w:themeTint="F2"/>
          </w:rPr>
          <w:t>presented a prophetic TED talk</w:t>
        </w:r>
      </w:hyperlink>
      <w:r w:rsidRPr="6375CABF">
        <w:rPr>
          <w:i/>
          <w:iCs/>
          <w:color w:val="0D0D0D" w:themeColor="text1" w:themeTint="F2"/>
        </w:rPr>
        <w:t xml:space="preserve"> on the subject. Director Steven Soderbergh </w:t>
      </w:r>
      <w:hyperlink r:id="rId9" w:tgtFrame="_blank" w:history="1">
        <w:r w:rsidRPr="6375CABF">
          <w:rPr>
            <w:rStyle w:val="Hyperlink"/>
            <w:rFonts w:eastAsiaTheme="majorEastAsia"/>
            <w:color w:val="0D0D0D" w:themeColor="text1" w:themeTint="F2"/>
          </w:rPr>
          <w:t>tackled it cinematically</w:t>
        </w:r>
      </w:hyperlink>
      <w:r w:rsidRPr="6375CABF">
        <w:rPr>
          <w:i/>
          <w:iCs/>
          <w:color w:val="0D0D0D" w:themeColor="text1" w:themeTint="F2"/>
        </w:rPr>
        <w:t xml:space="preserve"> in the 2011 film “Contagion.” John Barry’s bestselling “</w:t>
      </w:r>
      <w:hyperlink r:id="rId10" w:tgtFrame="_blank" w:history="1">
        <w:r w:rsidRPr="6375CABF">
          <w:rPr>
            <w:rStyle w:val="Hyperlink"/>
            <w:rFonts w:eastAsiaTheme="majorEastAsia"/>
            <w:color w:val="0D0D0D" w:themeColor="text1" w:themeTint="F2"/>
          </w:rPr>
          <w:t>The Great Influenza</w:t>
        </w:r>
      </w:hyperlink>
      <w:r w:rsidRPr="6375CABF">
        <w:rPr>
          <w:i/>
          <w:iCs/>
          <w:color w:val="0D0D0D" w:themeColor="text1" w:themeTint="F2"/>
        </w:rPr>
        <w:t>” came out in 2005. But many leaders didn’t want to seriously contemplate the possibility that many thousands of Americans would die.</w:t>
      </w:r>
      <w:r w:rsidRPr="6375CABF">
        <w:rPr>
          <w:rStyle w:val="FootnoteReference"/>
          <w:rFonts w:eastAsiaTheme="majorEastAsia"/>
          <w:i/>
          <w:iCs/>
          <w:color w:val="0D0D0D" w:themeColor="text1" w:themeTint="F2"/>
        </w:rPr>
        <w:footnoteReference w:id="77"/>
      </w:r>
    </w:p>
    <w:p w14:paraId="37FF40EE" w14:textId="5ACC7C75" w:rsidR="6375CABF" w:rsidRDefault="6375CABF" w:rsidP="6375CABF">
      <w:pPr>
        <w:pStyle w:val="NormalWeb"/>
        <w:rPr>
          <w:i/>
          <w:iCs/>
          <w:color w:val="0D0D0D" w:themeColor="text1" w:themeTint="F2"/>
        </w:rPr>
      </w:pPr>
    </w:p>
    <w:p w14:paraId="076FD6CD" w14:textId="77777777" w:rsidR="00B10FA3" w:rsidRPr="00EC05B7" w:rsidRDefault="00B10FA3" w:rsidP="004A19D2">
      <w:pPr>
        <w:pStyle w:val="NormalWeb"/>
        <w:rPr>
          <w:i/>
          <w:iCs/>
          <w:color w:val="0D0D0D" w:themeColor="text1" w:themeTint="F2"/>
        </w:rPr>
      </w:pPr>
    </w:p>
    <w:p w14:paraId="68902454" w14:textId="47C80784" w:rsidR="00B10FA3" w:rsidRDefault="00B10FA3" w:rsidP="004A19D2">
      <w:pPr>
        <w:pStyle w:val="NormalWeb"/>
        <w:spacing w:line="480" w:lineRule="auto"/>
      </w:pPr>
      <w:r>
        <w:t xml:space="preserve">     As a result, many in the American political class refused to take on the reality of Covid and its impact on the American population, allowing the public to wallow in a sense of false security that, ultimately led, in some quarters, to denial of the pandemic itself. The dynamic between reticent leaders and apocryphal messaging stoked the fires of conspiracy and fear, relating to religious intolerance, first amendment intrusions and personal liberty. A culture that was already steeped in positive, wishful and often unrealistic thinking was given safe haven in a world of unreality – at the cost of a million lives.  </w:t>
      </w:r>
    </w:p>
    <w:p w14:paraId="7CCE8AA5" w14:textId="77777777" w:rsidR="00B10FA3" w:rsidRDefault="00B10FA3" w:rsidP="004A19D2">
      <w:pPr>
        <w:pStyle w:val="NormalWeb"/>
        <w:spacing w:line="480" w:lineRule="auto"/>
      </w:pPr>
      <w:r>
        <w:lastRenderedPageBreak/>
        <w:t xml:space="preserve">     Americans have long been under the spell of “positive thinking,” of notions of “exceptionalism and excellence,” raised with the belief that “anyone can make it here,” and that the problems of the world, such as fascism, authoritarianism or dictatorship “can’t happen here.” We are imbued with a “can do” spirit, and told that we need to “roll up our sleeves” and “get the job done.” We work longer hours than most of the world, take fewer vacations, and seem to be proud of both of these characteristics. Most of these cultural positions are uncontroversial.</w:t>
      </w:r>
    </w:p>
    <w:p w14:paraId="1AA9DDDF" w14:textId="77777777" w:rsidR="00B10FA3" w:rsidRDefault="00B10FA3" w:rsidP="004A19D2">
      <w:pPr>
        <w:pStyle w:val="NormalWeb"/>
        <w:spacing w:line="480" w:lineRule="auto"/>
      </w:pPr>
      <w:r>
        <w:t xml:space="preserve">     Given that the United States is one of the most church going countries in the western world, there is, inevitably, a tie-up between wishful thinking and religion. Faith provides the salve to encourage ideas that may not test the scrutiny of examination. While positive wishful thinking may contrive to believe in things for which there is not empirical evidence, negative wishful thinking may simply be dismissive, denying the existence of a phenomenon, regardless of supporting evidence. </w:t>
      </w:r>
    </w:p>
    <w:p w14:paraId="01B1664B" w14:textId="77777777" w:rsidR="00B10FA3" w:rsidRDefault="00B10FA3" w:rsidP="004A19D2">
      <w:pPr>
        <w:pStyle w:val="NormalWeb"/>
        <w:spacing w:line="480" w:lineRule="auto"/>
      </w:pPr>
      <w:r>
        <w:t xml:space="preserve">    Science is a prime example of a conflict zone where American proclivities towards positive thinking and messaging runs into the historically messy and dull techniques of scientific inquiry. Traditionally, anti-science sentiment was a right-wing phenomenon; traditionalists in the late 19</w:t>
      </w:r>
      <w:r w:rsidRPr="00524FB5">
        <w:rPr>
          <w:vertAlign w:val="superscript"/>
        </w:rPr>
        <w:t>th</w:t>
      </w:r>
      <w:r>
        <w:t xml:space="preserve"> century, for example, saw Darwin’s theories about evolution as a threat not only to organized religion, but to the dignity of the human person, and the preservation of cultural order. The </w:t>
      </w:r>
      <w:r>
        <w:rPr>
          <w:i/>
          <w:iCs/>
        </w:rPr>
        <w:t>Scopes Monkey Trial</w:t>
      </w:r>
      <w:r>
        <w:t xml:space="preserve"> of the 1920s was merely one example of faith-based thinking questioning and rejecting the findings of science. </w:t>
      </w:r>
    </w:p>
    <w:p w14:paraId="0DADFA28" w14:textId="77777777" w:rsidR="00B10FA3" w:rsidRDefault="00B10FA3" w:rsidP="004A19D2">
      <w:pPr>
        <w:pStyle w:val="NormalWeb"/>
        <w:spacing w:line="480" w:lineRule="auto"/>
      </w:pPr>
      <w:r>
        <w:t xml:space="preserve">     Less than a decade earlier, the Russian Revolution of 1917 created new avenues of opposition for the opponents of scientific inquiry. Marxist doctrine claimed to be scientific and exact; revolution would proceed based on quantifiable changes in capitalist societies. The materialism of Marxism, the emphasis on labor, and the scientific bent of his theories led </w:t>
      </w:r>
      <w:r>
        <w:lastRenderedPageBreak/>
        <w:t>many to reach back to the mysticism of the pre-scientific era, and to react to that which was see as reducing, limiting and defining human experience in the early part of the 20</w:t>
      </w:r>
      <w:r w:rsidRPr="00684698">
        <w:rPr>
          <w:vertAlign w:val="superscript"/>
        </w:rPr>
        <w:t>th</w:t>
      </w:r>
      <w:r>
        <w:t xml:space="preserve"> century. </w:t>
      </w:r>
    </w:p>
    <w:p w14:paraId="666278C5" w14:textId="2D45D21E" w:rsidR="00B10FA3" w:rsidRDefault="00B10FA3" w:rsidP="004A19D2">
      <w:pPr>
        <w:pStyle w:val="NormalWeb"/>
        <w:spacing w:line="480" w:lineRule="auto"/>
      </w:pPr>
      <w:r>
        <w:t xml:space="preserve">     The term “scientism” was used disparagingly from the Second World War onward to describe the stultifying effects of science on the human being. Limitations on creativity, intrusion into the realm of private morals, and elitism were all charges hurled at the scientific community. In recent times, the right wing has used scientism to disparage the establishment of the Environmental Protection Agency (EPA), often on grounds that a divine plan for the planet should not be intervened by a corporal entity. Climate change has endured some of the same venom from these circles. </w:t>
      </w:r>
    </w:p>
    <w:p w14:paraId="6ABFFCCC" w14:textId="367CC105" w:rsidR="00B10FA3" w:rsidRDefault="00B10FA3" w:rsidP="004A19D2">
      <w:pPr>
        <w:pStyle w:val="NormalWeb"/>
        <w:spacing w:line="480" w:lineRule="auto"/>
      </w:pPr>
      <w:r>
        <w:t xml:space="preserve">     But the </w:t>
      </w:r>
      <w:r w:rsidRPr="6375CABF">
        <w:rPr>
          <w:i/>
          <w:iCs/>
        </w:rPr>
        <w:t xml:space="preserve">political left </w:t>
      </w:r>
      <w:r>
        <w:t>has also shown opposition to science; in the late 1960s, science was caught up in “establishment” politics</w:t>
      </w:r>
      <w:r w:rsidR="5143E353">
        <w:t xml:space="preserve"> </w:t>
      </w:r>
      <w:r>
        <w:t xml:space="preserve">and was treated with marked skepticism by those who saw a new consciousness and value system – devoid of material considerations – on the horizon. Science was seen by some as tainted, prejudiced by conventional values and closed to new ideas and conceptions – or, at best, compromised by a corrupt and unenlightened political and social system. There was some vindication to these views. Consider two examples; the bible of the field of psychology, the </w:t>
      </w:r>
      <w:r w:rsidRPr="6375CABF">
        <w:rPr>
          <w:i/>
          <w:iCs/>
        </w:rPr>
        <w:t>Diagnostic Statistical Manuel</w:t>
      </w:r>
      <w:r>
        <w:t xml:space="preserve">, or </w:t>
      </w:r>
      <w:r w:rsidRPr="6375CABF">
        <w:rPr>
          <w:i/>
          <w:iCs/>
        </w:rPr>
        <w:t>DSM,</w:t>
      </w:r>
      <w:r>
        <w:t xml:space="preserve"> and the drug LSD-25. </w:t>
      </w:r>
    </w:p>
    <w:p w14:paraId="62521924" w14:textId="77777777" w:rsidR="00B10FA3" w:rsidRDefault="00B10FA3" w:rsidP="004A19D2">
      <w:pPr>
        <w:pStyle w:val="NormalWeb"/>
        <w:spacing w:line="480" w:lineRule="auto"/>
      </w:pPr>
      <w:r>
        <w:t xml:space="preserve">     In the first instance, the field of psychology considered homosexuality “abnormal” in their Diagnostic Statistical Manual (DSM) until the 1990s. Until that time, same sex behavior was considered an actual form of deviant behavior and diagnosable condition. LSD-25 was a powerful psychedelic drug developed in the 1930s, which became increasingly popular with the 1960s counterculture and the population at large. After its classification as a ‘schedule A’ drug in 1967 (it had previously been legal), all university research was halted on the drug, as accessibility became impossible. Only today is science returning to examine this powerful </w:t>
      </w:r>
      <w:r>
        <w:lastRenderedPageBreak/>
        <w:t>substance and to debate its potential merits in fighting depression and alcoholism, as well as its potential efficacy in hospice care. In both of these examples, progressive groups developed a wariness for science and its relationship to and influence from the prevailing social, religious and political structures.</w:t>
      </w:r>
    </w:p>
    <w:p w14:paraId="029B5DA9" w14:textId="77777777" w:rsidR="00B10FA3" w:rsidRDefault="00B10FA3" w:rsidP="004A19D2">
      <w:pPr>
        <w:pStyle w:val="NormalWeb"/>
        <w:spacing w:line="480" w:lineRule="auto"/>
      </w:pPr>
      <w:r>
        <w:t xml:space="preserve">    It needn’t be said that the Covid-19 Pandemic of 2020-22 created skeptics on both sides of the political spectrum, for multiple reasons. But, in all of the aforementioned examples, American mythology was at work, opposing a prevailing norm, and trying to carve out a niche of reality that cut against the grain of conventional knowledge.</w:t>
      </w:r>
    </w:p>
    <w:p w14:paraId="37B7B618" w14:textId="1CBFEFD1" w:rsidR="6375CABF" w:rsidRDefault="6375CABF" w:rsidP="6375CABF">
      <w:pPr>
        <w:pStyle w:val="NormalWeb"/>
        <w:spacing w:line="480" w:lineRule="auto"/>
      </w:pPr>
    </w:p>
    <w:p w14:paraId="1D64DF3C" w14:textId="77777777" w:rsidR="00B10FA3" w:rsidRDefault="00B10FA3" w:rsidP="004A19D2">
      <w:pPr>
        <w:pStyle w:val="NormalWeb"/>
        <w:spacing w:line="480" w:lineRule="auto"/>
        <w:rPr>
          <w:b/>
          <w:bCs/>
          <w:sz w:val="28"/>
          <w:szCs w:val="28"/>
        </w:rPr>
      </w:pPr>
      <w:r>
        <w:rPr>
          <w:b/>
          <w:bCs/>
          <w:i/>
          <w:iCs/>
          <w:sz w:val="28"/>
          <w:szCs w:val="28"/>
        </w:rPr>
        <w:t>Media Myths</w:t>
      </w:r>
    </w:p>
    <w:p w14:paraId="41D4B52D" w14:textId="77777777" w:rsidR="00B10FA3" w:rsidRDefault="00B10FA3" w:rsidP="004A19D2">
      <w:pPr>
        <w:pStyle w:val="NormalWeb"/>
        <w:spacing w:line="480" w:lineRule="auto"/>
      </w:pPr>
      <w:r>
        <w:rPr>
          <w:b/>
          <w:bCs/>
          <w:sz w:val="28"/>
          <w:szCs w:val="28"/>
        </w:rPr>
        <w:t xml:space="preserve">     </w:t>
      </w:r>
      <w:r>
        <w:t xml:space="preserve">In the classical sense of the word, ‘myth’ is a collective understanding of a transcendent meaning. It is the deep fibre of a culture, of a belief system. Myth provides meaning where understanding is vacant. But there is a more insidious form of myth that exists and thrives today; the </w:t>
      </w:r>
      <w:r w:rsidRPr="00E9402E">
        <w:rPr>
          <w:i/>
          <w:iCs/>
        </w:rPr>
        <w:t>manufactured</w:t>
      </w:r>
      <w:r>
        <w:t xml:space="preserve"> myth. Today, major media exerts tremendous influence on the American public; this influence is profit driven, and has, as its aim, the establishment of markets, rather than the inculcation of the general populace into a better understanding of current events. </w:t>
      </w:r>
    </w:p>
    <w:p w14:paraId="1837488E" w14:textId="77777777" w:rsidR="00B10FA3" w:rsidRPr="009877F5" w:rsidRDefault="00B10FA3" w:rsidP="004A19D2">
      <w:pPr>
        <w:pStyle w:val="NormalWeb"/>
        <w:spacing w:line="480" w:lineRule="auto"/>
      </w:pPr>
      <w:r>
        <w:t xml:space="preserve">     In this sense, much of modern media in the US resembles </w:t>
      </w:r>
      <w:r>
        <w:rPr>
          <w:i/>
          <w:iCs/>
        </w:rPr>
        <w:t>propaganda</w:t>
      </w:r>
      <w:r>
        <w:t xml:space="preserve">, the use of information to indoctrinate, confuse and influence the unsuspecting. This process is nothing new; from WWI, the </w:t>
      </w:r>
      <w:r w:rsidRPr="009877F5">
        <w:rPr>
          <w:i/>
          <w:iCs/>
        </w:rPr>
        <w:t>Creel Commission</w:t>
      </w:r>
      <w:r>
        <w:t xml:space="preserve"> was able to turn an anti-war American population into a bloodthirsty pro-war population in a short manner of time. After WWI, the same techniques, borrowed from US business advertising models, were used to foment the first </w:t>
      </w:r>
      <w:r>
        <w:rPr>
          <w:i/>
          <w:iCs/>
        </w:rPr>
        <w:t>Red Scare</w:t>
      </w:r>
      <w:r>
        <w:t xml:space="preserve"> in America, after the Russian Revolution. The lessons learned at this time were that </w:t>
      </w:r>
      <w:r>
        <w:lastRenderedPageBreak/>
        <w:t>humans were perhaps not as consistently rational as had been previously supposed; that targeted and regular messaging could change popular thinking, and that State propaganda could sway large segments of the population (including the middle classes) to its will.</w:t>
      </w:r>
      <w:r>
        <w:rPr>
          <w:rStyle w:val="FootnoteReference"/>
          <w:rFonts w:eastAsiaTheme="majorEastAsia"/>
        </w:rPr>
        <w:footnoteReference w:id="78"/>
      </w:r>
    </w:p>
    <w:p w14:paraId="1BE734D2" w14:textId="77777777" w:rsidR="00B10FA3" w:rsidRDefault="00B10FA3" w:rsidP="004A19D2">
      <w:pPr>
        <w:pStyle w:val="NormalWeb"/>
        <w:spacing w:line="480" w:lineRule="auto"/>
      </w:pPr>
      <w:r>
        <w:t xml:space="preserve">     The aims of the Creel Committee have continued to this day, with private news organizations, such as Fox News, Breitbart and others openly aligning themselves with an ideology or administration. In fact, it has become passé to even draw attention to it. American journalism has always tilted this way or that ideologically; the wholesale capture of large media by the right wing is cause for concern, as it possesses the potential to accelerate, exacerbate and distort salient current cultural trends.</w:t>
      </w:r>
    </w:p>
    <w:p w14:paraId="0FE22FD6" w14:textId="77777777" w:rsidR="00B10FA3" w:rsidRDefault="00B10FA3" w:rsidP="004A19D2">
      <w:pPr>
        <w:pStyle w:val="NormalWeb"/>
        <w:spacing w:line="480" w:lineRule="auto"/>
      </w:pPr>
      <w:r>
        <w:t xml:space="preserve">     </w:t>
      </w:r>
    </w:p>
    <w:p w14:paraId="7351EC85" w14:textId="77777777" w:rsidR="00B10FA3" w:rsidRDefault="00B10FA3" w:rsidP="004A19D2">
      <w:pPr>
        <w:pStyle w:val="NormalWeb"/>
        <w:spacing w:line="480" w:lineRule="auto"/>
      </w:pPr>
      <w:r>
        <w:t xml:space="preserve">        </w:t>
      </w:r>
    </w:p>
    <w:p w14:paraId="28EBAAF8" w14:textId="77777777" w:rsidR="00B10FA3" w:rsidRDefault="00B10FA3" w:rsidP="004A19D2">
      <w:pPr>
        <w:pStyle w:val="NormalWeb"/>
        <w:spacing w:line="480" w:lineRule="auto"/>
      </w:pPr>
    </w:p>
    <w:p w14:paraId="740AC149" w14:textId="77777777" w:rsidR="00B10FA3" w:rsidRDefault="00B10FA3" w:rsidP="00F50349">
      <w:pPr>
        <w:pStyle w:val="NormalWeb"/>
        <w:spacing w:line="480" w:lineRule="auto"/>
      </w:pPr>
      <w:r>
        <w:t xml:space="preserve">      </w:t>
      </w:r>
    </w:p>
    <w:p w14:paraId="5BA5FB83" w14:textId="77777777" w:rsidR="00B10FA3" w:rsidRDefault="00B10FA3" w:rsidP="00F50349">
      <w:pPr>
        <w:pStyle w:val="NormalWeb"/>
        <w:spacing w:line="480" w:lineRule="auto"/>
      </w:pPr>
      <w:r>
        <w:t xml:space="preserve">     </w:t>
      </w:r>
    </w:p>
    <w:p w14:paraId="09AEC34F" w14:textId="77777777" w:rsidR="00B10FA3" w:rsidRPr="00467A39" w:rsidRDefault="00B10FA3" w:rsidP="00F50349">
      <w:pPr>
        <w:pStyle w:val="NormalWeb"/>
        <w:spacing w:line="480" w:lineRule="auto"/>
      </w:pPr>
      <w:r>
        <w:t xml:space="preserve">     </w:t>
      </w:r>
    </w:p>
    <w:p w14:paraId="108764B3" w14:textId="77777777" w:rsidR="00B10FA3" w:rsidRPr="00467A39" w:rsidRDefault="00B10FA3" w:rsidP="00F50349">
      <w:pPr>
        <w:pStyle w:val="NormalWeb"/>
        <w:spacing w:line="480" w:lineRule="auto"/>
      </w:pPr>
      <w:r>
        <w:t xml:space="preserve">     </w:t>
      </w:r>
    </w:p>
    <w:p w14:paraId="352EE6F1" w14:textId="77777777" w:rsidR="00B10FA3" w:rsidRPr="00153645" w:rsidRDefault="00B10FA3" w:rsidP="00153645">
      <w:pPr>
        <w:pStyle w:val="NormalWeb"/>
        <w:spacing w:line="480" w:lineRule="auto"/>
      </w:pPr>
    </w:p>
    <w:p w14:paraId="635E8311" w14:textId="77777777" w:rsidR="00B10FA3" w:rsidRPr="00535DFA" w:rsidRDefault="00B10FA3" w:rsidP="00153645">
      <w:pPr>
        <w:pStyle w:val="NormalWeb"/>
        <w:spacing w:line="480" w:lineRule="auto"/>
      </w:pPr>
    </w:p>
    <w:p w14:paraId="39305CE6" w14:textId="5E923E29" w:rsidR="00B10FA3" w:rsidRPr="00B67CBC" w:rsidRDefault="00B10FA3" w:rsidP="00252CDA">
      <w:pPr>
        <w:spacing w:line="480" w:lineRule="auto"/>
      </w:pPr>
      <w:r w:rsidRPr="00B67CBC">
        <w:lastRenderedPageBreak/>
        <w:t xml:space="preserve">                                                                                                </w:t>
      </w:r>
    </w:p>
    <w:p w14:paraId="6C8214F5" w14:textId="77777777" w:rsidR="00B10FA3" w:rsidRDefault="00B10FA3"/>
    <w:p w14:paraId="70FD4646" w14:textId="77777777" w:rsidR="00735D55" w:rsidRDefault="00B10FA3" w:rsidP="6375CABF">
      <w:pPr>
        <w:rPr>
          <w:sz w:val="36"/>
          <w:szCs w:val="36"/>
        </w:rPr>
      </w:pPr>
      <w:r>
        <w:t xml:space="preserve">            </w:t>
      </w:r>
      <w:r>
        <w:tab/>
        <w:t xml:space="preserve">                             </w:t>
      </w:r>
      <w:r w:rsidRPr="6375CABF">
        <w:rPr>
          <w:sz w:val="36"/>
          <w:szCs w:val="36"/>
        </w:rPr>
        <w:t xml:space="preserve">       </w:t>
      </w:r>
      <w:r w:rsidR="0035577F" w:rsidRPr="6375CABF">
        <w:rPr>
          <w:sz w:val="36"/>
          <w:szCs w:val="36"/>
        </w:rPr>
        <w:t xml:space="preserve"> </w:t>
      </w:r>
    </w:p>
    <w:p w14:paraId="5B7246DC" w14:textId="77777777" w:rsidR="00735D55" w:rsidRDefault="00735D55" w:rsidP="6375CABF">
      <w:pPr>
        <w:rPr>
          <w:sz w:val="36"/>
          <w:szCs w:val="36"/>
        </w:rPr>
      </w:pPr>
    </w:p>
    <w:p w14:paraId="59EE4953" w14:textId="3F7DE2CA" w:rsidR="00B10FA3" w:rsidRPr="006102C2" w:rsidRDefault="0035577F" w:rsidP="00735D55">
      <w:pPr>
        <w:ind w:left="2160" w:firstLine="720"/>
        <w:rPr>
          <w:b/>
          <w:bCs/>
          <w:i/>
          <w:iCs/>
          <w:sz w:val="28"/>
          <w:szCs w:val="28"/>
        </w:rPr>
      </w:pPr>
      <w:r w:rsidRPr="6375CABF">
        <w:rPr>
          <w:sz w:val="36"/>
          <w:szCs w:val="36"/>
        </w:rPr>
        <w:t xml:space="preserve">   </w:t>
      </w:r>
      <w:r w:rsidR="004474CE">
        <w:rPr>
          <w:sz w:val="36"/>
          <w:szCs w:val="36"/>
        </w:rPr>
        <w:t xml:space="preserve">    </w:t>
      </w:r>
      <w:r w:rsidR="00B10FA3" w:rsidRPr="6375CABF">
        <w:rPr>
          <w:b/>
          <w:bCs/>
          <w:i/>
          <w:iCs/>
          <w:sz w:val="28"/>
          <w:szCs w:val="28"/>
        </w:rPr>
        <w:t>Chapter 4</w:t>
      </w:r>
    </w:p>
    <w:p w14:paraId="257FE70C" w14:textId="232AACA2" w:rsidR="00B10FA3" w:rsidRPr="00851473" w:rsidRDefault="00B10FA3">
      <w:pPr>
        <w:rPr>
          <w:b/>
          <w:bCs/>
          <w:i/>
          <w:iCs/>
          <w:sz w:val="32"/>
          <w:szCs w:val="32"/>
        </w:rPr>
      </w:pPr>
      <w:r w:rsidRPr="00851473">
        <w:rPr>
          <w:i/>
          <w:iCs/>
        </w:rPr>
        <w:t xml:space="preserve">                                                             </w:t>
      </w:r>
      <w:r w:rsidR="1B9E1218" w:rsidRPr="00851473">
        <w:rPr>
          <w:i/>
          <w:iCs/>
        </w:rPr>
        <w:t xml:space="preserve"> </w:t>
      </w:r>
      <w:r w:rsidRPr="00851473">
        <w:rPr>
          <w:b/>
          <w:bCs/>
          <w:i/>
          <w:iCs/>
          <w:sz w:val="32"/>
          <w:szCs w:val="32"/>
        </w:rPr>
        <w:t>White Guys</w:t>
      </w:r>
    </w:p>
    <w:p w14:paraId="36CF6E6F" w14:textId="77777777" w:rsidR="00B10FA3" w:rsidRDefault="00B10FA3">
      <w:pPr>
        <w:rPr>
          <w:b/>
          <w:bCs/>
          <w:i/>
          <w:iCs/>
          <w:sz w:val="32"/>
          <w:szCs w:val="32"/>
        </w:rPr>
      </w:pPr>
    </w:p>
    <w:p w14:paraId="4ECC5F35" w14:textId="77777777" w:rsidR="00B10FA3" w:rsidRPr="003D3D37" w:rsidRDefault="00B10FA3">
      <w:pPr>
        <w:rPr>
          <w:b/>
          <w:bCs/>
          <w:i/>
          <w:iCs/>
          <w:sz w:val="32"/>
          <w:szCs w:val="32"/>
        </w:rPr>
      </w:pPr>
    </w:p>
    <w:p w14:paraId="28628B84" w14:textId="31D94894" w:rsidR="00B10FA3" w:rsidRPr="003D3D37" w:rsidRDefault="003D3D37">
      <w:pPr>
        <w:rPr>
          <w:rFonts w:ascii="Times New Roman" w:hAnsi="Times New Roman" w:cs="Times New Roman"/>
          <w:i/>
          <w:iCs/>
          <w:sz w:val="28"/>
          <w:szCs w:val="28"/>
        </w:rPr>
      </w:pPr>
      <w:r w:rsidRPr="003D3D37">
        <w:rPr>
          <w:rFonts w:ascii="Times New Roman" w:hAnsi="Times New Roman" w:cs="Times New Roman"/>
          <w:i/>
          <w:iCs/>
        </w:rPr>
        <w:t>The Trump voter isn’t just an ignorant white guy in the South that, if he were more educated, would vote differently. The Trump voter is also someone who is dealing with an entirely new economy that his father, grandfather or grandmother didn’t have to face 30, 40, 50 or 60 years ago.</w:t>
      </w:r>
    </w:p>
    <w:p w14:paraId="747790A1" w14:textId="77777777" w:rsidR="00B10FA3" w:rsidRPr="00D43661" w:rsidRDefault="00B10FA3" w:rsidP="00D43661">
      <w:pPr>
        <w:pStyle w:val="NormalWeb"/>
        <w:rPr>
          <w:color w:val="0D0D0D" w:themeColor="text1" w:themeTint="F2"/>
        </w:rPr>
      </w:pPr>
      <w:r>
        <w:rPr>
          <w:color w:val="0D0D0D" w:themeColor="text1" w:themeTint="F2"/>
        </w:rPr>
        <w:t>--M.L. Hill</w:t>
      </w:r>
    </w:p>
    <w:p w14:paraId="29F45E8F" w14:textId="77777777" w:rsidR="00B10FA3" w:rsidRPr="00D43661" w:rsidRDefault="00B10FA3">
      <w:pPr>
        <w:rPr>
          <w:b/>
          <w:bCs/>
          <w:i/>
          <w:iCs/>
          <w:sz w:val="22"/>
          <w:szCs w:val="22"/>
        </w:rPr>
      </w:pPr>
    </w:p>
    <w:p w14:paraId="1EDC6759" w14:textId="77777777" w:rsidR="00B10FA3" w:rsidRDefault="00B10FA3">
      <w:pPr>
        <w:rPr>
          <w:b/>
          <w:bCs/>
          <w:sz w:val="32"/>
          <w:szCs w:val="32"/>
        </w:rPr>
      </w:pPr>
    </w:p>
    <w:p w14:paraId="6B9FDB53" w14:textId="77777777" w:rsidR="0035577F" w:rsidRDefault="0035577F">
      <w:pPr>
        <w:rPr>
          <w:b/>
          <w:bCs/>
          <w:sz w:val="32"/>
          <w:szCs w:val="32"/>
        </w:rPr>
      </w:pPr>
    </w:p>
    <w:p w14:paraId="4EFDFFB2" w14:textId="77777777" w:rsidR="0035577F" w:rsidRDefault="0035577F">
      <w:pPr>
        <w:rPr>
          <w:b/>
          <w:bCs/>
          <w:sz w:val="32"/>
          <w:szCs w:val="32"/>
        </w:rPr>
      </w:pPr>
    </w:p>
    <w:p w14:paraId="223B2999" w14:textId="77777777" w:rsidR="0035577F" w:rsidRDefault="0035577F">
      <w:pPr>
        <w:rPr>
          <w:b/>
          <w:bCs/>
          <w:sz w:val="32"/>
          <w:szCs w:val="32"/>
        </w:rPr>
      </w:pPr>
    </w:p>
    <w:p w14:paraId="67C991A9" w14:textId="77777777" w:rsidR="0035577F" w:rsidRDefault="0035577F">
      <w:pPr>
        <w:rPr>
          <w:b/>
          <w:bCs/>
          <w:sz w:val="32"/>
          <w:szCs w:val="32"/>
        </w:rPr>
      </w:pPr>
    </w:p>
    <w:p w14:paraId="1B7C753A" w14:textId="77777777" w:rsidR="004474CE" w:rsidRDefault="00B10FA3" w:rsidP="00BA419E">
      <w:pPr>
        <w:spacing w:before="120" w:line="480" w:lineRule="auto"/>
        <w:rPr>
          <w:rFonts w:ascii="Times New Roman" w:hAnsi="Times New Roman" w:cs="Times New Roman"/>
          <w:b/>
          <w:bCs/>
          <w:sz w:val="32"/>
          <w:szCs w:val="32"/>
        </w:rPr>
      </w:pPr>
      <w:r w:rsidRPr="00AF1858">
        <w:rPr>
          <w:rFonts w:ascii="Times New Roman" w:hAnsi="Times New Roman" w:cs="Times New Roman"/>
          <w:b/>
          <w:bCs/>
          <w:sz w:val="32"/>
          <w:szCs w:val="32"/>
        </w:rPr>
        <w:t xml:space="preserve">  </w:t>
      </w:r>
    </w:p>
    <w:p w14:paraId="646FD425" w14:textId="77777777" w:rsidR="004474CE" w:rsidRDefault="004474CE" w:rsidP="00BA419E">
      <w:pPr>
        <w:spacing w:before="120" w:line="480" w:lineRule="auto"/>
        <w:rPr>
          <w:rFonts w:ascii="Times New Roman" w:hAnsi="Times New Roman" w:cs="Times New Roman"/>
          <w:b/>
          <w:bCs/>
          <w:sz w:val="32"/>
          <w:szCs w:val="32"/>
        </w:rPr>
      </w:pPr>
    </w:p>
    <w:p w14:paraId="469C5838" w14:textId="77777777" w:rsidR="004474CE" w:rsidRDefault="004474CE" w:rsidP="00BA419E">
      <w:pPr>
        <w:spacing w:before="120" w:line="480" w:lineRule="auto"/>
        <w:rPr>
          <w:rFonts w:ascii="Times New Roman" w:hAnsi="Times New Roman" w:cs="Times New Roman"/>
          <w:b/>
          <w:bCs/>
          <w:sz w:val="32"/>
          <w:szCs w:val="32"/>
        </w:rPr>
      </w:pPr>
    </w:p>
    <w:p w14:paraId="2033E9AD" w14:textId="77777777" w:rsidR="004474CE" w:rsidRDefault="004474CE" w:rsidP="00BA419E">
      <w:pPr>
        <w:spacing w:before="120" w:line="480" w:lineRule="auto"/>
        <w:rPr>
          <w:rFonts w:ascii="Times New Roman" w:hAnsi="Times New Roman" w:cs="Times New Roman"/>
          <w:b/>
          <w:bCs/>
          <w:sz w:val="32"/>
          <w:szCs w:val="32"/>
        </w:rPr>
      </w:pPr>
    </w:p>
    <w:p w14:paraId="2B541D07" w14:textId="77777777" w:rsidR="004474CE" w:rsidRDefault="004474CE" w:rsidP="00BA419E">
      <w:pPr>
        <w:spacing w:before="120" w:line="480" w:lineRule="auto"/>
        <w:rPr>
          <w:rFonts w:ascii="Times New Roman" w:hAnsi="Times New Roman" w:cs="Times New Roman"/>
          <w:b/>
          <w:bCs/>
          <w:sz w:val="32"/>
          <w:szCs w:val="32"/>
        </w:rPr>
      </w:pPr>
    </w:p>
    <w:p w14:paraId="56ADDCE1" w14:textId="0298647F" w:rsidR="00B10FA3" w:rsidRPr="00AF1858" w:rsidRDefault="00B10FA3" w:rsidP="00BA419E">
      <w:pPr>
        <w:spacing w:before="120" w:line="480" w:lineRule="auto"/>
        <w:rPr>
          <w:rFonts w:ascii="Times New Roman" w:hAnsi="Times New Roman" w:cs="Times New Roman"/>
        </w:rPr>
      </w:pPr>
      <w:r w:rsidRPr="00AF1858">
        <w:rPr>
          <w:rFonts w:ascii="Times New Roman" w:hAnsi="Times New Roman" w:cs="Times New Roman"/>
          <w:b/>
          <w:bCs/>
          <w:sz w:val="32"/>
          <w:szCs w:val="32"/>
        </w:rPr>
        <w:t xml:space="preserve"> </w:t>
      </w:r>
      <w:r w:rsidRPr="00AF1858">
        <w:rPr>
          <w:rFonts w:ascii="Times New Roman" w:hAnsi="Times New Roman" w:cs="Times New Roman"/>
        </w:rPr>
        <w:t xml:space="preserve">If you happen to be white, male, over 50, and spouting some hair out of places other than your normal locations, the following figures may surprise you little. According to the 2020 census, 61.6% of the US is white. However, in 2010, just ten years earlier, 75.8% percent of the US population was white. That is a major racial shift over a very short period of time, even given that, in 2015, Hispanic Americans were </w:t>
      </w:r>
      <w:r w:rsidR="00951BCD">
        <w:rPr>
          <w:rFonts w:ascii="Times New Roman" w:hAnsi="Times New Roman" w:cs="Times New Roman"/>
        </w:rPr>
        <w:t>assigned</w:t>
      </w:r>
      <w:r w:rsidRPr="00AF1858">
        <w:rPr>
          <w:rFonts w:ascii="Times New Roman" w:hAnsi="Times New Roman" w:cs="Times New Roman"/>
        </w:rPr>
        <w:t xml:space="preserve"> their own racial category. The definition of “whiteness” has changed, sometimes radically, over time. For example, from 1850 until 1920, Mexicans and </w:t>
      </w:r>
      <w:r w:rsidR="00951BCD">
        <w:rPr>
          <w:rFonts w:ascii="Times New Roman" w:hAnsi="Times New Roman" w:cs="Times New Roman"/>
        </w:rPr>
        <w:t xml:space="preserve">white </w:t>
      </w:r>
      <w:r w:rsidRPr="00AF1858">
        <w:rPr>
          <w:rFonts w:ascii="Times New Roman" w:hAnsi="Times New Roman" w:cs="Times New Roman"/>
        </w:rPr>
        <w:t>Americans were classified as the same racially.</w:t>
      </w:r>
      <w:r w:rsidRPr="00AF1858">
        <w:rPr>
          <w:rStyle w:val="FootnoteReference"/>
          <w:rFonts w:ascii="Times New Roman" w:hAnsi="Times New Roman" w:cs="Times New Roman"/>
        </w:rPr>
        <w:footnoteReference w:id="79"/>
      </w:r>
    </w:p>
    <w:p w14:paraId="66FF770F" w14:textId="20FE2DD5" w:rsidR="00B10FA3" w:rsidRPr="00AF1858" w:rsidRDefault="00B10FA3" w:rsidP="00BA419E">
      <w:pPr>
        <w:spacing w:before="120" w:line="480" w:lineRule="auto"/>
        <w:rPr>
          <w:rFonts w:ascii="Times New Roman" w:hAnsi="Times New Roman" w:cs="Times New Roman"/>
        </w:rPr>
      </w:pPr>
      <w:r w:rsidRPr="00AF1858">
        <w:rPr>
          <w:rFonts w:ascii="Times New Roman" w:hAnsi="Times New Roman" w:cs="Times New Roman"/>
        </w:rPr>
        <w:t xml:space="preserve">     Still, a recent poll of elected officials indicates that 71% of elected officials in the US are men, and that 90% of these elected officials are white. Further, 65% are white men. White men comprise 31% of the American population,</w:t>
      </w:r>
      <w:r w:rsidR="26ABB02C" w:rsidRPr="00AF1858">
        <w:rPr>
          <w:rFonts w:ascii="Times New Roman" w:hAnsi="Times New Roman" w:cs="Times New Roman"/>
        </w:rPr>
        <w:t xml:space="preserve"> </w:t>
      </w:r>
      <w:r w:rsidRPr="00AF1858">
        <w:rPr>
          <w:rFonts w:ascii="Times New Roman" w:hAnsi="Times New Roman" w:cs="Times New Roman"/>
        </w:rPr>
        <w:t>but hold 65% of all elected offices.</w:t>
      </w:r>
      <w:r w:rsidRPr="00AF1858">
        <w:rPr>
          <w:rStyle w:val="FootnoteReference"/>
          <w:rFonts w:ascii="Times New Roman" w:hAnsi="Times New Roman" w:cs="Times New Roman"/>
        </w:rPr>
        <w:footnoteReference w:id="80"/>
      </w:r>
    </w:p>
    <w:p w14:paraId="71876213" w14:textId="77777777" w:rsidR="00B10FA3" w:rsidRPr="00951BCD" w:rsidRDefault="00B10FA3" w:rsidP="00BA419E">
      <w:pPr>
        <w:spacing w:before="120" w:line="480" w:lineRule="auto"/>
        <w:rPr>
          <w:rFonts w:ascii="Times New Roman" w:hAnsi="Times New Roman" w:cs="Times New Roman"/>
        </w:rPr>
      </w:pPr>
      <w:r w:rsidRPr="00AF1858">
        <w:rPr>
          <w:rFonts w:ascii="Times New Roman" w:hAnsi="Times New Roman" w:cs="Times New Roman"/>
        </w:rPr>
        <w:t xml:space="preserve">     However, times are changing. Feminist critiques of modern, gender driven society have revealed sordid phenomena, ranging from sexual abuse to systemic pay discrimination. Increasingly, white men, the previous dominant group, have been placed on the defensive for a number of cultural accusations; “politically correct” discourse has tended to determine </w:t>
      </w:r>
      <w:r>
        <w:t xml:space="preserve">that, </w:t>
      </w:r>
      <w:r w:rsidRPr="00951BCD">
        <w:rPr>
          <w:rFonts w:ascii="Times New Roman" w:hAnsi="Times New Roman" w:cs="Times New Roman"/>
        </w:rPr>
        <w:t>at best, white men are the inheritors of a long-held sexist, racist system of values; at worst, they are the purveyors of the past into the present.</w:t>
      </w:r>
    </w:p>
    <w:p w14:paraId="71CA54C2" w14:textId="77777777" w:rsidR="00B10FA3" w:rsidRPr="00951BCD" w:rsidRDefault="00B10FA3" w:rsidP="00BA419E">
      <w:pPr>
        <w:spacing w:before="120" w:line="480" w:lineRule="auto"/>
        <w:rPr>
          <w:rFonts w:ascii="Times New Roman" w:hAnsi="Times New Roman" w:cs="Times New Roman"/>
        </w:rPr>
      </w:pPr>
      <w:r w:rsidRPr="00951BCD">
        <w:rPr>
          <w:rFonts w:ascii="Times New Roman" w:hAnsi="Times New Roman" w:cs="Times New Roman"/>
        </w:rPr>
        <w:t xml:space="preserve">     Recent opportunities, whether legal or social, for women and minorities have been ‘celebrated’ as having opened doors for opportunity that were previously shut. Most people would likely agree that this is a positive development. However, the one group that clearly</w:t>
      </w:r>
      <w:r>
        <w:t xml:space="preserve"> </w:t>
      </w:r>
      <w:r w:rsidRPr="00951BCD">
        <w:rPr>
          <w:rFonts w:ascii="Times New Roman" w:hAnsi="Times New Roman" w:cs="Times New Roman"/>
        </w:rPr>
        <w:lastRenderedPageBreak/>
        <w:t xml:space="preserve">stands to lose from the advancement of previously underrepresented groups is that of </w:t>
      </w:r>
      <w:r w:rsidRPr="00951BCD">
        <w:rPr>
          <w:rFonts w:ascii="Times New Roman" w:hAnsi="Times New Roman" w:cs="Times New Roman"/>
          <w:i/>
          <w:iCs/>
        </w:rPr>
        <w:t>white males</w:t>
      </w:r>
      <w:r w:rsidRPr="00951BCD">
        <w:rPr>
          <w:rFonts w:ascii="Times New Roman" w:hAnsi="Times New Roman" w:cs="Times New Roman"/>
        </w:rPr>
        <w:t xml:space="preserve">. They have nowhere to go but down.  </w:t>
      </w:r>
    </w:p>
    <w:p w14:paraId="7A227901" w14:textId="77777777" w:rsidR="00B10FA3" w:rsidRPr="00951BCD" w:rsidRDefault="00B10FA3" w:rsidP="00BA419E">
      <w:pPr>
        <w:spacing w:before="120" w:line="480" w:lineRule="auto"/>
        <w:rPr>
          <w:rFonts w:ascii="Times New Roman" w:hAnsi="Times New Roman" w:cs="Times New Roman"/>
        </w:rPr>
      </w:pPr>
      <w:r w:rsidRPr="00951BCD">
        <w:rPr>
          <w:rFonts w:ascii="Times New Roman" w:hAnsi="Times New Roman" w:cs="Times New Roman"/>
        </w:rPr>
        <w:t xml:space="preserve">     One could argue that the dominant position held by white men </w:t>
      </w:r>
      <w:r w:rsidRPr="00951BCD">
        <w:rPr>
          <w:rFonts w:ascii="Times New Roman" w:hAnsi="Times New Roman" w:cs="Times New Roman"/>
          <w:i/>
          <w:iCs/>
        </w:rPr>
        <w:t>was never a fully legitimate one to begin with</w:t>
      </w:r>
      <w:r w:rsidRPr="00951BCD">
        <w:rPr>
          <w:rFonts w:ascii="Times New Roman" w:hAnsi="Times New Roman" w:cs="Times New Roman"/>
        </w:rPr>
        <w:t xml:space="preserve">, and that, at last, justice is being served. It is important to remember, however that “white men” exist only theoretically as a group. In fact, they are regionally, culturally and class divided, often in profound ways. </w:t>
      </w:r>
    </w:p>
    <w:p w14:paraId="1789162C" w14:textId="77777777" w:rsidR="00B10FA3" w:rsidRDefault="00B10FA3" w:rsidP="00BA419E">
      <w:pPr>
        <w:spacing w:before="120" w:line="480" w:lineRule="auto"/>
        <w:rPr>
          <w:rFonts w:ascii="Times New Roman" w:hAnsi="Times New Roman" w:cs="Times New Roman"/>
        </w:rPr>
      </w:pPr>
      <w:r w:rsidRPr="00951BCD">
        <w:rPr>
          <w:rFonts w:ascii="Times New Roman" w:hAnsi="Times New Roman" w:cs="Times New Roman"/>
        </w:rPr>
        <w:t xml:space="preserve">     The glass ceiling has been particularly hard for women and minorities to break into in the corporate world, especially at the higher levels. CEOs, professional sports coaches, and financiers are still dominated by white men. But have other, non-elite white males been as culturally dominant as claimed over the decades?  Where is the recognition of working and lower middle class white men – aside from a few celebrity exceptions?</w:t>
      </w:r>
    </w:p>
    <w:p w14:paraId="3CBAD993" w14:textId="77777777" w:rsidR="004474CE" w:rsidRPr="00951BCD" w:rsidRDefault="004474CE" w:rsidP="00BA419E">
      <w:pPr>
        <w:spacing w:before="120" w:line="480" w:lineRule="auto"/>
        <w:rPr>
          <w:rFonts w:ascii="Times New Roman" w:hAnsi="Times New Roman" w:cs="Times New Roman"/>
        </w:rPr>
      </w:pPr>
    </w:p>
    <w:p w14:paraId="6C395676" w14:textId="77777777" w:rsidR="00B10FA3" w:rsidRPr="00951BCD" w:rsidRDefault="00B10FA3" w:rsidP="00BA419E">
      <w:pPr>
        <w:spacing w:before="120" w:line="480" w:lineRule="auto"/>
        <w:rPr>
          <w:rFonts w:ascii="Times New Roman" w:hAnsi="Times New Roman" w:cs="Times New Roman"/>
          <w:b/>
          <w:bCs/>
          <w:i/>
          <w:iCs/>
          <w:sz w:val="28"/>
          <w:szCs w:val="28"/>
        </w:rPr>
      </w:pPr>
      <w:r w:rsidRPr="00951BCD">
        <w:rPr>
          <w:rFonts w:ascii="Times New Roman" w:hAnsi="Times New Roman" w:cs="Times New Roman"/>
          <w:b/>
          <w:bCs/>
          <w:i/>
          <w:iCs/>
          <w:sz w:val="28"/>
          <w:szCs w:val="28"/>
        </w:rPr>
        <w:t>Gender Legitimacy</w:t>
      </w:r>
    </w:p>
    <w:p w14:paraId="6EB6E8B9" w14:textId="5C0931A5" w:rsidR="00B10FA3" w:rsidRPr="00951BCD" w:rsidRDefault="00B10FA3" w:rsidP="00BA419E">
      <w:pPr>
        <w:spacing w:before="120" w:line="480" w:lineRule="auto"/>
        <w:rPr>
          <w:rFonts w:ascii="Times New Roman" w:hAnsi="Times New Roman" w:cs="Times New Roman"/>
          <w:color w:val="000000" w:themeColor="text1"/>
        </w:rPr>
      </w:pPr>
      <w:r w:rsidRPr="00951BCD">
        <w:rPr>
          <w:rFonts w:ascii="Times New Roman" w:hAnsi="Times New Roman" w:cs="Times New Roman"/>
        </w:rPr>
        <w:t xml:space="preserve">     It is a bit different, rightly or wrongly, for women. Dr. Warren Ferrell, in his 1993 work </w:t>
      </w:r>
      <w:r w:rsidRPr="00951BCD">
        <w:rPr>
          <w:rFonts w:ascii="Times New Roman" w:hAnsi="Times New Roman" w:cs="Times New Roman"/>
          <w:i/>
          <w:iCs/>
        </w:rPr>
        <w:t>The Myth of Male Power</w:t>
      </w:r>
      <w:r w:rsidRPr="00951BCD">
        <w:rPr>
          <w:rFonts w:ascii="Times New Roman" w:hAnsi="Times New Roman" w:cs="Times New Roman"/>
        </w:rPr>
        <w:t xml:space="preserve">, argues that women enter into the culture with certain advantages, one of them being that they possess </w:t>
      </w:r>
      <w:r w:rsidR="00AF1858" w:rsidRPr="00951BCD">
        <w:rPr>
          <w:rFonts w:ascii="Times New Roman" w:hAnsi="Times New Roman" w:cs="Times New Roman"/>
        </w:rPr>
        <w:t xml:space="preserve">what he calls </w:t>
      </w:r>
      <w:r w:rsidRPr="00951BCD">
        <w:rPr>
          <w:rFonts w:ascii="Times New Roman" w:hAnsi="Times New Roman" w:cs="Times New Roman"/>
          <w:i/>
          <w:iCs/>
        </w:rPr>
        <w:t>“genetic celebrity.”</w:t>
      </w:r>
      <w:r w:rsidRPr="00951BCD">
        <w:rPr>
          <w:rFonts w:ascii="Times New Roman" w:hAnsi="Times New Roman" w:cs="Times New Roman"/>
        </w:rPr>
        <w:t xml:space="preserve"> By this, he means that (individual) women, by virtue of their physical appearance and attractive potential, create an </w:t>
      </w:r>
      <w:r w:rsidRPr="00951BCD">
        <w:rPr>
          <w:rFonts w:ascii="Times New Roman" w:hAnsi="Times New Roman" w:cs="Times New Roman"/>
          <w:i/>
          <w:iCs/>
        </w:rPr>
        <w:t>absolute ideal</w:t>
      </w:r>
      <w:r w:rsidRPr="00951BCD">
        <w:rPr>
          <w:rFonts w:ascii="Times New Roman" w:hAnsi="Times New Roman" w:cs="Times New Roman"/>
        </w:rPr>
        <w:t xml:space="preserve">, an ‘archetype of attraction and embodiment,’ in the eyes of many men. As such, they may convincingly adopt a </w:t>
      </w:r>
      <w:r w:rsidRPr="00951BCD">
        <w:rPr>
          <w:rFonts w:ascii="Times New Roman" w:hAnsi="Times New Roman" w:cs="Times New Roman"/>
          <w:i/>
          <w:iCs/>
        </w:rPr>
        <w:t>passive position</w:t>
      </w:r>
      <w:r w:rsidRPr="00951BCD">
        <w:rPr>
          <w:rFonts w:ascii="Times New Roman" w:hAnsi="Times New Roman" w:cs="Times New Roman"/>
        </w:rPr>
        <w:t xml:space="preserve"> in social settings. They represent ‘natural’ objects of attraction</w:t>
      </w:r>
      <w:r w:rsidR="00951BCD">
        <w:rPr>
          <w:rFonts w:ascii="Times New Roman" w:hAnsi="Times New Roman" w:cs="Times New Roman"/>
        </w:rPr>
        <w:t xml:space="preserve">, of </w:t>
      </w:r>
      <w:r w:rsidR="00951BCD">
        <w:rPr>
          <w:rFonts w:ascii="Times New Roman" w:hAnsi="Times New Roman" w:cs="Times New Roman"/>
          <w:i/>
          <w:iCs/>
        </w:rPr>
        <w:t>legitimacy.</w:t>
      </w:r>
      <w:r w:rsidRPr="00951BCD">
        <w:rPr>
          <w:rFonts w:ascii="Times New Roman" w:hAnsi="Times New Roman" w:cs="Times New Roman"/>
        </w:rPr>
        <w:t xml:space="preserve"> They needn’t </w:t>
      </w:r>
      <w:r w:rsidRPr="00951BCD">
        <w:rPr>
          <w:rFonts w:ascii="Times New Roman" w:hAnsi="Times New Roman" w:cs="Times New Roman"/>
          <w:i/>
          <w:iCs/>
        </w:rPr>
        <w:t xml:space="preserve">do </w:t>
      </w:r>
      <w:r w:rsidRPr="00951BCD">
        <w:rPr>
          <w:rFonts w:ascii="Times New Roman" w:hAnsi="Times New Roman" w:cs="Times New Roman"/>
        </w:rPr>
        <w:t xml:space="preserve">anything. Through their sexual allure, an individual woman may serve to represent </w:t>
      </w:r>
      <w:r w:rsidRPr="00951BCD">
        <w:rPr>
          <w:rFonts w:ascii="Times New Roman" w:hAnsi="Times New Roman" w:cs="Times New Roman"/>
          <w:i/>
          <w:iCs/>
        </w:rPr>
        <w:t>in toto</w:t>
      </w:r>
      <w:r w:rsidRPr="00951BCD">
        <w:rPr>
          <w:rFonts w:ascii="Times New Roman" w:hAnsi="Times New Roman" w:cs="Times New Roman"/>
        </w:rPr>
        <w:t xml:space="preserve"> the ideal of womanhood, to an individual man. </w:t>
      </w:r>
    </w:p>
    <w:p w14:paraId="7A0AF053" w14:textId="6545A91D" w:rsidR="00B10FA3" w:rsidRPr="00951BCD" w:rsidRDefault="00B10FA3" w:rsidP="00BA419E">
      <w:pPr>
        <w:spacing w:before="120" w:line="480" w:lineRule="auto"/>
        <w:rPr>
          <w:rFonts w:ascii="Times New Roman" w:hAnsi="Times New Roman" w:cs="Times New Roman"/>
        </w:rPr>
      </w:pPr>
      <w:r w:rsidRPr="00951BCD">
        <w:rPr>
          <w:rFonts w:ascii="Times New Roman" w:hAnsi="Times New Roman" w:cs="Times New Roman"/>
        </w:rPr>
        <w:lastRenderedPageBreak/>
        <w:t xml:space="preserve">    Men have no similar claim. </w:t>
      </w:r>
      <w:r w:rsidR="17A14B41" w:rsidRPr="00951BCD">
        <w:rPr>
          <w:rFonts w:ascii="Times New Roman" w:hAnsi="Times New Roman" w:cs="Times New Roman"/>
        </w:rPr>
        <w:t xml:space="preserve">At least most men. </w:t>
      </w:r>
      <w:r w:rsidRPr="00951BCD">
        <w:rPr>
          <w:rFonts w:ascii="Times New Roman" w:hAnsi="Times New Roman" w:cs="Times New Roman"/>
        </w:rPr>
        <w:t xml:space="preserve">As women maintain this passive position; they are meant to be sought out; men must take the initiative. A woman creates credibility - at least initially - in culture through her </w:t>
      </w:r>
      <w:r w:rsidRPr="00951BCD">
        <w:rPr>
          <w:rFonts w:ascii="Times New Roman" w:hAnsi="Times New Roman" w:cs="Times New Roman"/>
          <w:i/>
          <w:iCs/>
        </w:rPr>
        <w:t>being.</w:t>
      </w:r>
      <w:r w:rsidRPr="00951BCD">
        <w:rPr>
          <w:rFonts w:ascii="Times New Roman" w:hAnsi="Times New Roman" w:cs="Times New Roman"/>
        </w:rPr>
        <w:t xml:space="preserve"> (Some in psychology refer to this as the “halo” effect, whereby an attractive woman is seen as more honest and moral than a less attractive one.) Men and women alike will see a beautiful woman as the embodiment of all that is feminine, beautiful and good. Not so for men, who are beholden to a different set of criteria for acceptance and admiration in society. A man must </w:t>
      </w:r>
      <w:r w:rsidRPr="00951BCD">
        <w:rPr>
          <w:rFonts w:ascii="Times New Roman" w:hAnsi="Times New Roman" w:cs="Times New Roman"/>
          <w:i/>
          <w:iCs/>
        </w:rPr>
        <w:t>perform, sacrifice and produce.</w:t>
      </w:r>
      <w:r w:rsidRPr="00951BCD">
        <w:rPr>
          <w:rStyle w:val="FootnoteReference"/>
          <w:rFonts w:ascii="Times New Roman" w:hAnsi="Times New Roman" w:cs="Times New Roman"/>
        </w:rPr>
        <w:footnoteReference w:id="81"/>
      </w:r>
      <w:r w:rsidRPr="00951BCD">
        <w:rPr>
          <w:rFonts w:ascii="Times New Roman" w:hAnsi="Times New Roman" w:cs="Times New Roman"/>
        </w:rPr>
        <w:t xml:space="preserve">  </w:t>
      </w:r>
    </w:p>
    <w:p w14:paraId="10B28861" w14:textId="77777777" w:rsidR="00B10FA3" w:rsidRPr="00951BCD" w:rsidRDefault="00B10FA3" w:rsidP="00BA419E">
      <w:pPr>
        <w:spacing w:before="120" w:line="480" w:lineRule="auto"/>
        <w:rPr>
          <w:rFonts w:ascii="Times New Roman" w:hAnsi="Times New Roman" w:cs="Times New Roman"/>
        </w:rPr>
      </w:pPr>
      <w:r w:rsidRPr="00951BCD">
        <w:rPr>
          <w:rFonts w:ascii="Times New Roman" w:hAnsi="Times New Roman" w:cs="Times New Roman"/>
        </w:rPr>
        <w:t xml:space="preserve">     A second benefit to the status of womanhood is the avoidance of war, violence and physical sacrifice. As the recent conflict in the Ukraine exemplifies, when violence and war break out, the women and children leave the country to the safety of neighboring states, while the men remain and fight and die for the nation. Gender equality takes a hit in these circumstances.  </w:t>
      </w:r>
    </w:p>
    <w:p w14:paraId="2C26BE31" w14:textId="0FD68AED" w:rsidR="00B10FA3" w:rsidRPr="00951BCD" w:rsidRDefault="00B10FA3" w:rsidP="00BA419E">
      <w:pPr>
        <w:spacing w:before="120" w:line="480" w:lineRule="auto"/>
        <w:rPr>
          <w:rFonts w:ascii="Times New Roman" w:hAnsi="Times New Roman" w:cs="Times New Roman"/>
        </w:rPr>
      </w:pPr>
      <w:r w:rsidRPr="00951BCD">
        <w:rPr>
          <w:rFonts w:ascii="Times New Roman" w:hAnsi="Times New Roman" w:cs="Times New Roman"/>
        </w:rPr>
        <w:t xml:space="preserve">     At present, there is no perceptibly clear feminist argument for bringing gender equality to the war effort against Russia. During peace, rights might be demanded based on gender, but when war comes, the lion’s share of actual, violent physicality of fighting, and dying automatically, and without a second thought, falls on the shoulders of men – more specifically, men of limited means. (The cannon fodder for the Russians has been ‘dispens</w:t>
      </w:r>
      <w:r w:rsidR="00735D55">
        <w:rPr>
          <w:rFonts w:ascii="Times New Roman" w:hAnsi="Times New Roman" w:cs="Times New Roman"/>
        </w:rPr>
        <w:t>a</w:t>
      </w:r>
      <w:r w:rsidRPr="00951BCD">
        <w:rPr>
          <w:rFonts w:ascii="Times New Roman" w:hAnsi="Times New Roman" w:cs="Times New Roman"/>
        </w:rPr>
        <w:t>ble’ prisoners, North Koreans, and volunteers from poor, eastern Asiatic sectors of Russia. The men from Moscow and St. Petersburg are not being drafted to fight.)</w:t>
      </w:r>
    </w:p>
    <w:p w14:paraId="655B262E" w14:textId="77777777" w:rsidR="00B10FA3" w:rsidRPr="00606BA5" w:rsidRDefault="00B10FA3" w:rsidP="00BA419E">
      <w:pPr>
        <w:spacing w:before="120" w:line="480" w:lineRule="auto"/>
        <w:rPr>
          <w:rFonts w:ascii="Times New Roman" w:hAnsi="Times New Roman" w:cs="Times New Roman"/>
        </w:rPr>
      </w:pPr>
      <w:r w:rsidRPr="00951BCD">
        <w:rPr>
          <w:rFonts w:ascii="Times New Roman" w:hAnsi="Times New Roman" w:cs="Times New Roman"/>
        </w:rPr>
        <w:t xml:space="preserve">     The slogan for women may traditionally be “</w:t>
      </w:r>
      <w:r w:rsidRPr="00951BCD">
        <w:rPr>
          <w:rFonts w:ascii="Times New Roman" w:hAnsi="Times New Roman" w:cs="Times New Roman"/>
          <w:i/>
          <w:iCs/>
        </w:rPr>
        <w:t>Our Bodies, Our Business</w:t>
      </w:r>
      <w:r w:rsidRPr="00951BCD">
        <w:rPr>
          <w:rFonts w:ascii="Times New Roman" w:hAnsi="Times New Roman" w:cs="Times New Roman"/>
        </w:rPr>
        <w:t xml:space="preserve">,” but as Ferrell points out, the American Selective Service System is a reminder </w:t>
      </w:r>
      <w:r w:rsidRPr="00951BCD">
        <w:rPr>
          <w:rFonts w:ascii="Times New Roman" w:hAnsi="Times New Roman" w:cs="Times New Roman"/>
          <w:i/>
          <w:iCs/>
        </w:rPr>
        <w:t xml:space="preserve">that a </w:t>
      </w:r>
      <w:r w:rsidRPr="00951BCD">
        <w:rPr>
          <w:rFonts w:ascii="Times New Roman" w:hAnsi="Times New Roman" w:cs="Times New Roman"/>
          <w:i/>
          <w:iCs/>
          <w:u w:val="single"/>
        </w:rPr>
        <w:t>man’s body belongs to the federal government</w:t>
      </w:r>
      <w:r w:rsidRPr="00951BCD">
        <w:rPr>
          <w:rFonts w:ascii="Times New Roman" w:hAnsi="Times New Roman" w:cs="Times New Roman"/>
          <w:i/>
          <w:iCs/>
        </w:rPr>
        <w:t>.</w:t>
      </w:r>
      <w:r w:rsidRPr="00951BCD">
        <w:rPr>
          <w:rFonts w:ascii="Times New Roman" w:hAnsi="Times New Roman" w:cs="Times New Roman"/>
        </w:rPr>
        <w:t xml:space="preserve"> The reward for men’s sacrifice is glory, the notion that the life was given for a good and noble reason. There are good reasons to die. Women do live longer than </w:t>
      </w:r>
      <w:r w:rsidRPr="00951BCD">
        <w:rPr>
          <w:rFonts w:ascii="Times New Roman" w:hAnsi="Times New Roman" w:cs="Times New Roman"/>
        </w:rPr>
        <w:lastRenderedPageBreak/>
        <w:t>men, but not necessarily for purely biological reasons; in 1920, women lived 1 year</w:t>
      </w:r>
      <w:r>
        <w:t xml:space="preserve"> longer </w:t>
      </w:r>
      <w:r w:rsidRPr="00606BA5">
        <w:rPr>
          <w:rFonts w:ascii="Times New Roman" w:hAnsi="Times New Roman" w:cs="Times New Roman"/>
        </w:rPr>
        <w:t>than men in the US. Seventy years later, in 1993, in a far more complex and stressful working world, they lived 7 years longer on average.</w:t>
      </w:r>
      <w:r w:rsidRPr="00606BA5">
        <w:rPr>
          <w:rStyle w:val="FootnoteReference"/>
          <w:rFonts w:ascii="Times New Roman" w:hAnsi="Times New Roman" w:cs="Times New Roman"/>
        </w:rPr>
        <w:footnoteReference w:id="82"/>
      </w:r>
    </w:p>
    <w:p w14:paraId="74D49E61" w14:textId="77777777" w:rsidR="00B10FA3" w:rsidRPr="00606BA5" w:rsidRDefault="00B10FA3" w:rsidP="00BA419E">
      <w:pPr>
        <w:spacing w:before="120" w:line="480" w:lineRule="auto"/>
        <w:rPr>
          <w:rFonts w:ascii="Times New Roman" w:hAnsi="Times New Roman" w:cs="Times New Roman"/>
        </w:rPr>
      </w:pPr>
      <w:r w:rsidRPr="00606BA5">
        <w:rPr>
          <w:rFonts w:ascii="Times New Roman" w:hAnsi="Times New Roman" w:cs="Times New Roman"/>
        </w:rPr>
        <w:t xml:space="preserve">    There are other forms of violence that shorten men’s lives: Overall, we know that women tend to attempt suicide at a higher rate than men, but tend to actually kill themselves less frequently. It has been theorized that this may be because women often use less lethal means of trying to end their lives, such as taking pills, while men are more inclined to use guns. However, the phenomenon of suicide, as it affects males and females, shifts, depending on age. Until age 9, boys and girls have more or less the same rates of suicide; from the age of 10-14, boys have twice the suicide rate of girls, from 15-19 this increase to four times, from 20-24 six times, and over the age of 85 is 1350 times as high.</w:t>
      </w:r>
    </w:p>
    <w:p w14:paraId="1BCCF01E" w14:textId="6377ADC1" w:rsidR="00B10FA3" w:rsidRPr="00606BA5" w:rsidRDefault="00B10FA3" w:rsidP="00BA419E">
      <w:pPr>
        <w:spacing w:before="120" w:line="480" w:lineRule="auto"/>
        <w:rPr>
          <w:rFonts w:ascii="Times New Roman" w:hAnsi="Times New Roman" w:cs="Times New Roman"/>
        </w:rPr>
      </w:pPr>
      <w:r w:rsidRPr="00606BA5">
        <w:rPr>
          <w:rFonts w:ascii="Times New Roman" w:hAnsi="Times New Roman" w:cs="Times New Roman"/>
        </w:rPr>
        <w:t xml:space="preserve">      Crime also affects men disproportionately, compared to women. Men are murdered at a rate 3 times that of women, and they experience violent crime at a rate twice as high as that of women. </w:t>
      </w:r>
      <w:r w:rsidRPr="00606BA5">
        <w:rPr>
          <w:rStyle w:val="FootnoteReference"/>
          <w:rFonts w:ascii="Times New Roman" w:hAnsi="Times New Roman" w:cs="Times New Roman"/>
        </w:rPr>
        <w:footnoteReference w:id="83"/>
      </w:r>
      <w:r w:rsidRPr="00606BA5">
        <w:rPr>
          <w:rFonts w:ascii="Times New Roman" w:hAnsi="Times New Roman" w:cs="Times New Roman"/>
        </w:rPr>
        <w:t xml:space="preserve"> Domestic violence is another matter where it is commonly assumed that men are typically more culpable. In fact, although reliable statistics are hard to come by, that men and women may have </w:t>
      </w:r>
      <w:r w:rsidR="00606BA5">
        <w:rPr>
          <w:rFonts w:ascii="Times New Roman" w:hAnsi="Times New Roman" w:cs="Times New Roman"/>
        </w:rPr>
        <w:t>similar rates</w:t>
      </w:r>
      <w:r w:rsidRPr="00606BA5">
        <w:rPr>
          <w:rFonts w:ascii="Times New Roman" w:hAnsi="Times New Roman" w:cs="Times New Roman"/>
        </w:rPr>
        <w:t xml:space="preserve"> of violence again one another; the difference being that men don’t report these events.</w:t>
      </w:r>
      <w:r w:rsidR="00606BA5">
        <w:rPr>
          <w:rFonts w:ascii="Times New Roman" w:hAnsi="Times New Roman" w:cs="Times New Roman"/>
        </w:rPr>
        <w:t xml:space="preserve"> (Ours is a culture that has yet to struggle with the issue of female on male violence.)</w:t>
      </w:r>
      <w:r w:rsidRPr="00606BA5">
        <w:rPr>
          <w:rStyle w:val="FootnoteReference"/>
          <w:rFonts w:ascii="Times New Roman" w:hAnsi="Times New Roman" w:cs="Times New Roman"/>
        </w:rPr>
        <w:footnoteReference w:id="84"/>
      </w:r>
      <w:r w:rsidRPr="00606BA5">
        <w:rPr>
          <w:rFonts w:ascii="Times New Roman" w:hAnsi="Times New Roman" w:cs="Times New Roman"/>
        </w:rPr>
        <w:t xml:space="preserve"> </w:t>
      </w:r>
    </w:p>
    <w:p w14:paraId="20247290" w14:textId="66EE6D61" w:rsidR="00B10FA3" w:rsidRPr="00606BA5" w:rsidRDefault="00B10FA3" w:rsidP="00BA419E">
      <w:pPr>
        <w:spacing w:before="120" w:line="480" w:lineRule="auto"/>
        <w:rPr>
          <w:rFonts w:ascii="Times New Roman" w:hAnsi="Times New Roman" w:cs="Times New Roman"/>
        </w:rPr>
      </w:pPr>
      <w:r w:rsidRPr="00606BA5">
        <w:rPr>
          <w:rFonts w:ascii="Times New Roman" w:hAnsi="Times New Roman" w:cs="Times New Roman"/>
        </w:rPr>
        <w:t xml:space="preserve">     Even</w:t>
      </w:r>
      <w:r w:rsidRPr="00606BA5">
        <w:rPr>
          <w:rFonts w:ascii="Times New Roman" w:hAnsi="Times New Roman" w:cs="Times New Roman"/>
          <w:i/>
          <w:iCs/>
        </w:rPr>
        <w:t xml:space="preserve"> rape</w:t>
      </w:r>
      <w:r w:rsidRPr="00606BA5">
        <w:rPr>
          <w:rFonts w:ascii="Times New Roman" w:hAnsi="Times New Roman" w:cs="Times New Roman"/>
        </w:rPr>
        <w:t>, commonly thought to be a crime only propagated by men onto women, is potentially</w:t>
      </w:r>
      <w:r w:rsidRPr="00606BA5">
        <w:rPr>
          <w:rFonts w:ascii="Times New Roman" w:hAnsi="Times New Roman" w:cs="Times New Roman"/>
          <w:i/>
          <w:iCs/>
        </w:rPr>
        <w:t xml:space="preserve"> a phenomenon with men as </w:t>
      </w:r>
      <w:r w:rsidR="00606BA5">
        <w:rPr>
          <w:rFonts w:ascii="Times New Roman" w:hAnsi="Times New Roman" w:cs="Times New Roman"/>
          <w:i/>
          <w:iCs/>
        </w:rPr>
        <w:t xml:space="preserve">frequent </w:t>
      </w:r>
      <w:r w:rsidRPr="00606BA5">
        <w:rPr>
          <w:rFonts w:ascii="Times New Roman" w:hAnsi="Times New Roman" w:cs="Times New Roman"/>
          <w:i/>
          <w:iCs/>
        </w:rPr>
        <w:t>victims</w:t>
      </w:r>
      <w:r w:rsidRPr="00606BA5">
        <w:rPr>
          <w:rFonts w:ascii="Times New Roman" w:hAnsi="Times New Roman" w:cs="Times New Roman"/>
        </w:rPr>
        <w:t xml:space="preserve"> if one factors in the (often unreported and rarely documented) </w:t>
      </w:r>
      <w:r w:rsidRPr="00606BA5">
        <w:rPr>
          <w:rFonts w:ascii="Times New Roman" w:hAnsi="Times New Roman" w:cs="Times New Roman"/>
          <w:i/>
          <w:iCs/>
        </w:rPr>
        <w:t>incidence of rape in Americans prisons</w:t>
      </w:r>
      <w:r w:rsidRPr="00606BA5">
        <w:rPr>
          <w:rFonts w:ascii="Times New Roman" w:hAnsi="Times New Roman" w:cs="Times New Roman"/>
        </w:rPr>
        <w:t xml:space="preserve">. Data on the subject remains </w:t>
      </w:r>
      <w:r w:rsidRPr="00606BA5">
        <w:rPr>
          <w:rFonts w:ascii="Times New Roman" w:hAnsi="Times New Roman" w:cs="Times New Roman"/>
        </w:rPr>
        <w:lastRenderedPageBreak/>
        <w:t xml:space="preserve">vague and understudied, so we can only surmise current levels, knowing only that most male rape remains unreported. </w:t>
      </w:r>
    </w:p>
    <w:p w14:paraId="314BB29D" w14:textId="77777777" w:rsidR="00B10FA3" w:rsidRPr="00606BA5" w:rsidRDefault="00B10FA3" w:rsidP="00BA419E">
      <w:pPr>
        <w:spacing w:before="120" w:line="480" w:lineRule="auto"/>
        <w:rPr>
          <w:rFonts w:ascii="Times New Roman" w:hAnsi="Times New Roman" w:cs="Times New Roman"/>
        </w:rPr>
      </w:pPr>
      <w:r w:rsidRPr="00606BA5">
        <w:rPr>
          <w:rFonts w:ascii="Times New Roman" w:hAnsi="Times New Roman" w:cs="Times New Roman"/>
        </w:rPr>
        <w:t xml:space="preserve">     In the economy, much of what separates women from men is elective; as men are taught to be disposable; so too are men inculcated with the idea that they are without intrinsic value in work. Mining, agriculture and other dangerous work endeavors are staffed overwhelmingly by men. Ferrell claims that nearly 19 of 20 work related deaths are male. Further, he notes that the Drug Enforcement Agency, from 1921-1992 had exactly zero female deaths on the job.</w:t>
      </w:r>
      <w:r w:rsidRPr="00606BA5">
        <w:rPr>
          <w:rStyle w:val="FootnoteReference"/>
          <w:rFonts w:ascii="Times New Roman" w:hAnsi="Times New Roman" w:cs="Times New Roman"/>
        </w:rPr>
        <w:footnoteReference w:id="85"/>
      </w:r>
    </w:p>
    <w:p w14:paraId="401002A2" w14:textId="77777777" w:rsidR="00B10FA3" w:rsidRPr="00606BA5" w:rsidRDefault="00B10FA3" w:rsidP="00BA419E">
      <w:pPr>
        <w:spacing w:before="120" w:line="480" w:lineRule="auto"/>
        <w:rPr>
          <w:rFonts w:ascii="Times New Roman" w:hAnsi="Times New Roman" w:cs="Times New Roman"/>
        </w:rPr>
      </w:pPr>
      <w:r w:rsidRPr="00606BA5">
        <w:rPr>
          <w:rFonts w:ascii="Times New Roman" w:hAnsi="Times New Roman" w:cs="Times New Roman"/>
        </w:rPr>
        <w:t xml:space="preserve">     As is well known, the likelihood of a women getting custody of her children is significantly higher than that of the man. By doing so, she enhances her social (family and extended family) contacts, while the man is left to his own devices. This also correlates to the incidence of suicide. Federal benefits, such as Aid to Families with Dependent Children are not distributed to homes in which a man resides. Benefits to this and other federal programs are literally contingent upon forcing the man from the house. </w:t>
      </w:r>
    </w:p>
    <w:p w14:paraId="4141D346" w14:textId="1567D0F2" w:rsidR="00B10FA3" w:rsidRPr="00606BA5" w:rsidRDefault="00B10FA3" w:rsidP="00BA419E">
      <w:pPr>
        <w:spacing w:before="120" w:line="480" w:lineRule="auto"/>
        <w:rPr>
          <w:rFonts w:ascii="Times New Roman" w:hAnsi="Times New Roman" w:cs="Times New Roman"/>
        </w:rPr>
      </w:pPr>
      <w:r w:rsidRPr="00606BA5">
        <w:rPr>
          <w:rFonts w:ascii="Times New Roman" w:hAnsi="Times New Roman" w:cs="Times New Roman"/>
        </w:rPr>
        <w:t xml:space="preserve">          The above is a mere sampling of cultural norms that tend not to favor men, particularly white men. That said, no one is arguing that white men are particularly victimized, any more than one is arguing that being a woman is particularly easy. </w:t>
      </w:r>
      <w:r w:rsidR="00E724A1">
        <w:rPr>
          <w:rFonts w:ascii="Times New Roman" w:hAnsi="Times New Roman" w:cs="Times New Roman"/>
        </w:rPr>
        <w:t xml:space="preserve">Female </w:t>
      </w:r>
      <w:r w:rsidRPr="00606BA5">
        <w:rPr>
          <w:rFonts w:ascii="Times New Roman" w:hAnsi="Times New Roman" w:cs="Times New Roman"/>
        </w:rPr>
        <w:t>“</w:t>
      </w:r>
      <w:r w:rsidR="00E724A1">
        <w:rPr>
          <w:rFonts w:ascii="Times New Roman" w:hAnsi="Times New Roman" w:cs="Times New Roman"/>
        </w:rPr>
        <w:t>g</w:t>
      </w:r>
      <w:r w:rsidRPr="00606BA5">
        <w:rPr>
          <w:rFonts w:ascii="Times New Roman" w:hAnsi="Times New Roman" w:cs="Times New Roman"/>
        </w:rPr>
        <w:t>enetic celebrity,” for example, carries with it the daily annoyance of unwanted attention, not to mention harassment</w:t>
      </w:r>
      <w:r w:rsidR="00E724A1">
        <w:rPr>
          <w:rFonts w:ascii="Times New Roman" w:hAnsi="Times New Roman" w:cs="Times New Roman"/>
        </w:rPr>
        <w:t>, lack of respect</w:t>
      </w:r>
      <w:r w:rsidRPr="00606BA5">
        <w:rPr>
          <w:rFonts w:ascii="Times New Roman" w:hAnsi="Times New Roman" w:cs="Times New Roman"/>
        </w:rPr>
        <w:t xml:space="preserve"> and perhaps even physical abuse. The only point here is that gender and racial difference is a very complicated, multifaceted matter, and that one that is, unfortunately, often reduced to sloganeering in colloquial communication. </w:t>
      </w:r>
    </w:p>
    <w:p w14:paraId="1552F6C7" w14:textId="77777777" w:rsidR="00B10FA3" w:rsidRPr="00606BA5" w:rsidRDefault="00B10FA3" w:rsidP="00BA419E">
      <w:pPr>
        <w:spacing w:before="120" w:line="480" w:lineRule="auto"/>
        <w:rPr>
          <w:rFonts w:ascii="Times New Roman" w:hAnsi="Times New Roman" w:cs="Times New Roman"/>
        </w:rPr>
      </w:pPr>
      <w:r w:rsidRPr="00606BA5">
        <w:rPr>
          <w:rFonts w:ascii="Times New Roman" w:hAnsi="Times New Roman" w:cs="Times New Roman"/>
        </w:rPr>
        <w:t xml:space="preserve">     A fact of modern American life is that a good portion of the white male population live in a state of tense and continuous dissatisfaction. The reasons for this are multifarious, but the </w:t>
      </w:r>
      <w:r w:rsidRPr="00606BA5">
        <w:rPr>
          <w:rFonts w:ascii="Times New Roman" w:hAnsi="Times New Roman" w:cs="Times New Roman"/>
        </w:rPr>
        <w:lastRenderedPageBreak/>
        <w:t>conditions are real. Let’s put conspiracy theories and right-wing media aside for the moment, and look at some of the perfectly valid reasons that white men are upset with the status quo.</w:t>
      </w:r>
    </w:p>
    <w:p w14:paraId="2AD1FBAC" w14:textId="77777777" w:rsidR="00B10FA3" w:rsidRPr="00606BA5" w:rsidRDefault="00B10FA3" w:rsidP="00BA419E">
      <w:pPr>
        <w:spacing w:before="120" w:line="480" w:lineRule="auto"/>
        <w:rPr>
          <w:rFonts w:ascii="Times New Roman" w:hAnsi="Times New Roman" w:cs="Times New Roman"/>
        </w:rPr>
      </w:pPr>
      <w:r w:rsidRPr="00606BA5">
        <w:rPr>
          <w:rFonts w:ascii="Times New Roman" w:hAnsi="Times New Roman" w:cs="Times New Roman"/>
        </w:rPr>
        <w:t xml:space="preserve">     In the first place, </w:t>
      </w:r>
      <w:r w:rsidRPr="00606BA5">
        <w:rPr>
          <w:rFonts w:ascii="Times New Roman" w:hAnsi="Times New Roman" w:cs="Times New Roman"/>
          <w:i/>
          <w:iCs/>
        </w:rPr>
        <w:t>wages</w:t>
      </w:r>
      <w:r w:rsidRPr="00606BA5">
        <w:rPr>
          <w:rFonts w:ascii="Times New Roman" w:hAnsi="Times New Roman" w:cs="Times New Roman"/>
        </w:rPr>
        <w:t xml:space="preserve"> for the lower tiers of employment have been rising very slowly, if at all, since the advent of Neo-liberal policies in the late 1970s. </w:t>
      </w:r>
    </w:p>
    <w:p w14:paraId="54B0C4FB" w14:textId="77777777" w:rsidR="00B10FA3" w:rsidRPr="00606BA5" w:rsidRDefault="00B10FA3" w:rsidP="00BA419E">
      <w:pPr>
        <w:spacing w:before="120" w:line="480" w:lineRule="auto"/>
        <w:jc w:val="center"/>
        <w:rPr>
          <w:rFonts w:ascii="Times New Roman" w:hAnsi="Times New Roman" w:cs="Times New Roman"/>
          <w:b/>
          <w:bCs/>
          <w:sz w:val="28"/>
          <w:szCs w:val="28"/>
        </w:rPr>
      </w:pPr>
    </w:p>
    <w:p w14:paraId="1C81C6AC" w14:textId="77777777" w:rsidR="00B10FA3" w:rsidRPr="00606BA5" w:rsidRDefault="00B10FA3" w:rsidP="6375CABF">
      <w:pPr>
        <w:rPr>
          <w:rFonts w:ascii="Times New Roman" w:hAnsi="Times New Roman" w:cs="Times New Roman"/>
          <w:b/>
          <w:bCs/>
          <w:i/>
          <w:iCs/>
          <w:sz w:val="28"/>
          <w:szCs w:val="28"/>
        </w:rPr>
      </w:pPr>
      <w:r w:rsidRPr="00606BA5">
        <w:rPr>
          <w:rFonts w:ascii="Times New Roman" w:hAnsi="Times New Roman" w:cs="Times New Roman"/>
          <w:b/>
          <w:bCs/>
          <w:i/>
          <w:iCs/>
          <w:sz w:val="28"/>
          <w:szCs w:val="28"/>
        </w:rPr>
        <w:t>Neoliberalism in a Nutshell</w:t>
      </w:r>
    </w:p>
    <w:p w14:paraId="39AF8722" w14:textId="32EA21B8" w:rsidR="00B10FA3" w:rsidRPr="00606BA5" w:rsidRDefault="00B10FA3" w:rsidP="00DE7408">
      <w:pPr>
        <w:pStyle w:val="comp"/>
        <w:spacing w:line="480" w:lineRule="auto"/>
      </w:pPr>
      <w:r w:rsidRPr="00606BA5">
        <w:rPr>
          <w:b/>
          <w:bCs/>
          <w:sz w:val="32"/>
          <w:szCs w:val="32"/>
        </w:rPr>
        <w:t xml:space="preserve">     </w:t>
      </w:r>
      <w:r w:rsidRPr="00606BA5">
        <w:t>Neoliberalism is a late 1970s era policy model that encompasses both politics and economics. It trusts the private sector over that of government in economic matters, and seeks to shift economic responsibility from the public to the private. In the United States, the ideas of neoliberalism have enjoyed a significant resurgence from the late 1970s until the present day. They represent a considerable reversal of the macro</w:t>
      </w:r>
      <w:r w:rsidR="78ED3D0E" w:rsidRPr="00606BA5">
        <w:t>-</w:t>
      </w:r>
      <w:r w:rsidRPr="00606BA5">
        <w:t xml:space="preserve">economic models that had been dominant since WWII. </w:t>
      </w:r>
    </w:p>
    <w:p w14:paraId="5A98BCD8" w14:textId="77777777" w:rsidR="00735D55" w:rsidRDefault="00B10FA3" w:rsidP="00DE7408">
      <w:pPr>
        <w:pStyle w:val="comp"/>
        <w:spacing w:line="480" w:lineRule="auto"/>
      </w:pPr>
      <w:r w:rsidRPr="00606BA5">
        <w:t xml:space="preserve">     Many neoliberal policies concern the efficient functioning of free market capitalism and focus on limiting government spending (especially on social, or “entitlement” programs), government regulation, and public ownership (at least in some non-defense industries). Neoliberalism as an ideology is perhaps best typifies by the Presidency of Ronald Reagan (1980-1988), and the British Prime Ministry of Margaret Thatcher (1979-1990). </w:t>
      </w:r>
    </w:p>
    <w:p w14:paraId="1DDFE43E" w14:textId="64A10142" w:rsidR="00B10FA3" w:rsidRPr="00606BA5" w:rsidRDefault="00735D55" w:rsidP="00DE7408">
      <w:pPr>
        <w:pStyle w:val="comp"/>
        <w:spacing w:line="480" w:lineRule="auto"/>
      </w:pPr>
      <w:r>
        <w:t xml:space="preserve">     </w:t>
      </w:r>
      <w:r w:rsidR="00B10FA3" w:rsidRPr="00606BA5">
        <w:t>Somewhat confusingly, Reagan</w:t>
      </w:r>
      <w:r>
        <w:t>omics</w:t>
      </w:r>
      <w:r w:rsidR="00B10FA3" w:rsidRPr="00606BA5">
        <w:t xml:space="preserve"> and Thatcherism were called </w:t>
      </w:r>
      <w:r w:rsidR="00B10FA3" w:rsidRPr="00606BA5">
        <w:rPr>
          <w:i/>
          <w:iCs/>
        </w:rPr>
        <w:t>conservati</w:t>
      </w:r>
      <w:r w:rsidR="004D303C" w:rsidRPr="00606BA5">
        <w:rPr>
          <w:i/>
          <w:iCs/>
        </w:rPr>
        <w:t>ves</w:t>
      </w:r>
      <w:r w:rsidR="00B10FA3" w:rsidRPr="00606BA5">
        <w:t xml:space="preserve"> in the 1980s, only to be redefined and rebranded later. In fact, this insidious belief system, short of ideological rigor, was an amalgam of class politics, an effort to shift societal wealth upwards, and an undisguised (but denied) effort to shift and centralize state power. </w:t>
      </w:r>
    </w:p>
    <w:p w14:paraId="15A210AF" w14:textId="4950A9D7" w:rsidR="6375CABF" w:rsidRDefault="6375CABF" w:rsidP="6375CABF">
      <w:pPr>
        <w:pStyle w:val="comp"/>
        <w:spacing w:line="480" w:lineRule="auto"/>
      </w:pPr>
    </w:p>
    <w:p w14:paraId="67E347FC" w14:textId="77777777" w:rsidR="00E724A1" w:rsidRDefault="00E724A1" w:rsidP="6375CABF">
      <w:pPr>
        <w:pStyle w:val="comp"/>
        <w:spacing w:line="480" w:lineRule="auto"/>
      </w:pPr>
    </w:p>
    <w:p w14:paraId="573FBD67" w14:textId="77777777" w:rsidR="00E724A1" w:rsidRDefault="00E724A1" w:rsidP="6375CABF">
      <w:pPr>
        <w:pStyle w:val="comp"/>
        <w:spacing w:line="480" w:lineRule="auto"/>
      </w:pPr>
    </w:p>
    <w:p w14:paraId="38DECA20" w14:textId="77777777" w:rsidR="00E724A1" w:rsidRPr="00606BA5" w:rsidRDefault="00E724A1" w:rsidP="6375CABF">
      <w:pPr>
        <w:pStyle w:val="comp"/>
        <w:spacing w:line="480" w:lineRule="auto"/>
      </w:pPr>
    </w:p>
    <w:p w14:paraId="3143DD8A" w14:textId="77777777" w:rsidR="00B10FA3" w:rsidRPr="00D31F7C" w:rsidRDefault="00B10FA3" w:rsidP="00DE7408">
      <w:pPr>
        <w:pStyle w:val="comp"/>
        <w:spacing w:line="480" w:lineRule="auto"/>
        <w:rPr>
          <w:b/>
          <w:bCs/>
          <w:i/>
          <w:iCs/>
          <w:sz w:val="28"/>
          <w:szCs w:val="28"/>
        </w:rPr>
      </w:pPr>
      <w:r w:rsidRPr="00D31F7C">
        <w:rPr>
          <w:b/>
          <w:bCs/>
          <w:i/>
          <w:iCs/>
          <w:sz w:val="28"/>
          <w:szCs w:val="28"/>
        </w:rPr>
        <w:t>The Authoritarian Impulse</w:t>
      </w:r>
    </w:p>
    <w:p w14:paraId="1396C7C2" w14:textId="77777777" w:rsidR="00B10FA3" w:rsidRPr="00606BA5" w:rsidRDefault="00B10FA3" w:rsidP="00DE7408">
      <w:pPr>
        <w:pStyle w:val="comp"/>
        <w:spacing w:line="480" w:lineRule="auto"/>
      </w:pPr>
      <w:r w:rsidRPr="00606BA5">
        <w:t xml:space="preserve">     Twentieth century psychologists have examined carefully some of the eternal questions of the human condition, such as the intrinsic goodness or badness of humankind; the meaning of happiness in the modern world, the role of pleasure and pain, social responsibility, the role of science vs belief and, ultimately, the role and meaning of religion. Each of these became a key theme in the quest to better understand the drives and outcomes of human behavior.</w:t>
      </w:r>
    </w:p>
    <w:p w14:paraId="1A7A220A" w14:textId="77777777" w:rsidR="00B10FA3" w:rsidRPr="00606BA5" w:rsidRDefault="00B10FA3" w:rsidP="00DE7408">
      <w:pPr>
        <w:pStyle w:val="comp"/>
        <w:spacing w:line="480" w:lineRule="auto"/>
      </w:pPr>
      <w:r w:rsidRPr="00606BA5">
        <w:t xml:space="preserve">     Early in the century, pathbreaking psychoanalytic theorist Sigmund Freud took on the issue of religion in modern society. To Freud, religion was, in fact, a form of neurosis, indicating a persistent helplessness, first experienced as an infant, and carried over into adulthood. The helpless individual longed for a protector, a father figure who would provide a sense of meaning and emotional stability. Religion, to Freud, was largely a matter of “wish fulfillment,” experienced on a collective level. His regret was that, although he might have expected the uneducated and ignorant to fall prey to “infantile” religious impulses, he would not have expected the educated classes to do the same, which they did. He wrote: “that to anyone with a friendly attitude towards humanity </w:t>
      </w:r>
      <w:r w:rsidRPr="00606BA5">
        <w:rPr>
          <w:i/>
          <w:iCs/>
        </w:rPr>
        <w:t>it is painful to think that the great majority of mortals will never be able to rise above this view of life</w:t>
      </w:r>
      <w:r w:rsidRPr="00606BA5">
        <w:t>.”</w:t>
      </w:r>
      <w:r w:rsidRPr="00606BA5">
        <w:rPr>
          <w:rStyle w:val="FootnoteReference"/>
          <w:rFonts w:eastAsiaTheme="majorEastAsia"/>
        </w:rPr>
        <w:footnoteReference w:id="86"/>
      </w:r>
    </w:p>
    <w:p w14:paraId="5A7894D3" w14:textId="77777777" w:rsidR="00B10FA3" w:rsidRPr="00606BA5" w:rsidRDefault="00B10FA3" w:rsidP="00DE7408">
      <w:pPr>
        <w:pStyle w:val="comp"/>
        <w:spacing w:line="480" w:lineRule="auto"/>
      </w:pPr>
      <w:r w:rsidRPr="00606BA5">
        <w:t xml:space="preserve">     Freud’s contemporary, Karl Jung, was originally a devotee and colleague of Freuds, but the two had a parting of ways over time. Jung saw in religion great insight and potential, as </w:t>
      </w:r>
      <w:r w:rsidRPr="00606BA5">
        <w:lastRenderedPageBreak/>
        <w:t xml:space="preserve">well as potential danger. His work focused on the </w:t>
      </w:r>
      <w:r w:rsidRPr="00606BA5">
        <w:rPr>
          <w:i/>
          <w:iCs/>
        </w:rPr>
        <w:t>archetypes</w:t>
      </w:r>
      <w:r w:rsidRPr="00606BA5">
        <w:t xml:space="preserve"> of belief, trying to better integrate religious symbolism with universal human experience. Religious symbolism was a rich tapestry with which to better understand the human psyche; the modern therapist, Jung argued, had begun to replace the priest as a means of creating order out of the universe. His theory of the </w:t>
      </w:r>
      <w:r w:rsidRPr="00606BA5">
        <w:rPr>
          <w:i/>
          <w:iCs/>
        </w:rPr>
        <w:t>collective unconscious</w:t>
      </w:r>
      <w:r w:rsidRPr="00606BA5">
        <w:t xml:space="preserve"> argued that the need for a god archetype appeared to be universal between cultures, and that all peoples seemed to be pre-programmed towards a predisposition towards a belief in either God, or an all-powerful entity, which we experience in art, dreams and language.</w:t>
      </w:r>
      <w:r w:rsidRPr="00606BA5">
        <w:rPr>
          <w:rStyle w:val="FootnoteReference"/>
          <w:rFonts w:eastAsiaTheme="majorEastAsia"/>
        </w:rPr>
        <w:footnoteReference w:id="87"/>
      </w:r>
      <w:r w:rsidRPr="00606BA5">
        <w:t xml:space="preserve"> </w:t>
      </w:r>
    </w:p>
    <w:p w14:paraId="5EF24F86" w14:textId="77777777" w:rsidR="00B10FA3" w:rsidRPr="00606BA5" w:rsidRDefault="00B10FA3" w:rsidP="00DE7408">
      <w:pPr>
        <w:pStyle w:val="comp"/>
        <w:spacing w:line="480" w:lineRule="auto"/>
      </w:pPr>
      <w:r w:rsidRPr="00606BA5">
        <w:t xml:space="preserve">     Which bring us to Eric Fromm, who, in the post WWII world, brough an understanding of subservience to power to bear. Fromm describes the “escape from freedom” desired by so many in the modern world. But what did he mean by this? In effect, he argued, the modern individual is cut loose, alienated and frightened at their own self perceived weakness and powerlessness. One of the ways to combat this fear of isolation and powerlessness was the certainty of organized religion. Faith might serve as an enticement to organized religion, but it was </w:t>
      </w:r>
      <w:r w:rsidRPr="00606BA5">
        <w:rPr>
          <w:i/>
          <w:iCs/>
        </w:rPr>
        <w:t>certainty and removal of doubt</w:t>
      </w:r>
      <w:r w:rsidRPr="00606BA5">
        <w:t xml:space="preserve"> that provided the true motivation for religious indoctrination. Security was key – the guarantee of safety in a now nuclear, Cold War world.</w:t>
      </w:r>
      <w:r w:rsidRPr="00606BA5">
        <w:rPr>
          <w:rStyle w:val="FootnoteReference"/>
          <w:rFonts w:eastAsiaTheme="majorEastAsia"/>
        </w:rPr>
        <w:footnoteReference w:id="88"/>
      </w:r>
    </w:p>
    <w:p w14:paraId="10E19E9A" w14:textId="77777777" w:rsidR="00B10FA3" w:rsidRDefault="00B10FA3" w:rsidP="00DE7408">
      <w:pPr>
        <w:pStyle w:val="comp"/>
        <w:spacing w:line="480" w:lineRule="auto"/>
      </w:pPr>
      <w:r w:rsidRPr="00606BA5">
        <w:t xml:space="preserve">     By the same token, the same psychological security provided by the certainties of organized religion could easily be translated into support for an authoritarian leader or state. An authoritarian ruler alleviates the anxieties and insecurities that trouble individuals, while providing a sense of security, direction, even personal strength. Thus, Fromm saw that individuals might identify with authoritarian forces, as their identification might suggest that </w:t>
      </w:r>
      <w:r w:rsidRPr="00606BA5">
        <w:lastRenderedPageBreak/>
        <w:t>they, too, were benefitting somehow from the power and authority emanating from those forces.</w:t>
      </w:r>
      <w:r w:rsidRPr="00606BA5">
        <w:rPr>
          <w:rStyle w:val="FootnoteReference"/>
          <w:rFonts w:eastAsiaTheme="majorEastAsia"/>
        </w:rPr>
        <w:footnoteReference w:id="89"/>
      </w:r>
    </w:p>
    <w:p w14:paraId="2D44CC5C" w14:textId="77777777" w:rsidR="004474CE" w:rsidRPr="00606BA5" w:rsidRDefault="004474CE" w:rsidP="00DE7408">
      <w:pPr>
        <w:pStyle w:val="comp"/>
        <w:spacing w:line="480" w:lineRule="auto"/>
      </w:pPr>
    </w:p>
    <w:p w14:paraId="3A8E2208" w14:textId="77777777" w:rsidR="00B10FA3" w:rsidRPr="00606BA5" w:rsidRDefault="00B10FA3" w:rsidP="6375CABF">
      <w:pPr>
        <w:spacing w:line="480" w:lineRule="auto"/>
        <w:rPr>
          <w:rFonts w:ascii="Times New Roman" w:hAnsi="Times New Roman" w:cs="Times New Roman"/>
          <w:sz w:val="28"/>
          <w:szCs w:val="28"/>
        </w:rPr>
      </w:pPr>
      <w:r w:rsidRPr="00606BA5">
        <w:rPr>
          <w:rFonts w:ascii="Times New Roman" w:hAnsi="Times New Roman" w:cs="Times New Roman"/>
          <w:b/>
          <w:bCs/>
          <w:sz w:val="28"/>
          <w:szCs w:val="28"/>
        </w:rPr>
        <w:t>White Males and Contemporary Economics</w:t>
      </w:r>
      <w:r w:rsidRPr="00606BA5">
        <w:rPr>
          <w:rFonts w:ascii="Times New Roman" w:hAnsi="Times New Roman" w:cs="Times New Roman"/>
          <w:sz w:val="28"/>
          <w:szCs w:val="28"/>
        </w:rPr>
        <w:t xml:space="preserve">    </w:t>
      </w:r>
    </w:p>
    <w:p w14:paraId="79BC6D90" w14:textId="77777777" w:rsidR="00B10FA3" w:rsidRPr="00606BA5" w:rsidRDefault="00B10FA3" w:rsidP="6375CABF">
      <w:pPr>
        <w:spacing w:line="480" w:lineRule="auto"/>
        <w:rPr>
          <w:rFonts w:ascii="Times New Roman" w:hAnsi="Times New Roman" w:cs="Times New Roman"/>
        </w:rPr>
      </w:pPr>
      <w:r w:rsidRPr="00606BA5">
        <w:rPr>
          <w:rFonts w:ascii="Times New Roman" w:hAnsi="Times New Roman" w:cs="Times New Roman"/>
        </w:rPr>
        <w:t xml:space="preserve">    Increased immigration has put increased pressure on workers in fields where salaries (or hourly wages) are stagnant. Consequently, some white male workers find themselves increasingly threatened, oddly enough, by increased diversity and </w:t>
      </w:r>
      <w:r w:rsidRPr="00606BA5">
        <w:rPr>
          <w:rFonts w:ascii="Times New Roman" w:hAnsi="Times New Roman" w:cs="Times New Roman"/>
          <w:i/>
          <w:iCs/>
        </w:rPr>
        <w:t xml:space="preserve">equality </w:t>
      </w:r>
      <w:r w:rsidRPr="00606BA5">
        <w:rPr>
          <w:rFonts w:ascii="Times New Roman" w:hAnsi="Times New Roman" w:cs="Times New Roman"/>
        </w:rPr>
        <w:t xml:space="preserve">in the workplace. Culturally, the time when a white male could exert his right to hegemony in employment has ended. And, importantly, as Michael Kimmel points out in his 2013 work </w:t>
      </w:r>
      <w:r w:rsidRPr="00606BA5">
        <w:rPr>
          <w:rFonts w:ascii="Times New Roman" w:hAnsi="Times New Roman" w:cs="Times New Roman"/>
          <w:i/>
          <w:iCs/>
        </w:rPr>
        <w:t xml:space="preserve">Angry White Men, </w:t>
      </w:r>
      <w:r w:rsidRPr="00606BA5">
        <w:rPr>
          <w:rFonts w:ascii="Times New Roman" w:hAnsi="Times New Roman" w:cs="Times New Roman"/>
        </w:rPr>
        <w:t xml:space="preserve">the current cultural backlash against white male privilege is </w:t>
      </w:r>
      <w:r w:rsidRPr="00606BA5">
        <w:rPr>
          <w:rFonts w:ascii="Times New Roman" w:hAnsi="Times New Roman" w:cs="Times New Roman"/>
          <w:i/>
          <w:iCs/>
        </w:rPr>
        <w:t>immune from class consciousness</w:t>
      </w:r>
      <w:r w:rsidRPr="00606BA5">
        <w:rPr>
          <w:rFonts w:ascii="Times New Roman" w:hAnsi="Times New Roman" w:cs="Times New Roman"/>
        </w:rPr>
        <w:t>, painting all white men with the same brush.</w:t>
      </w:r>
      <w:r w:rsidRPr="00606BA5">
        <w:rPr>
          <w:rStyle w:val="FootnoteReference"/>
          <w:rFonts w:ascii="Times New Roman" w:hAnsi="Times New Roman" w:cs="Times New Roman"/>
        </w:rPr>
        <w:footnoteReference w:id="90"/>
      </w:r>
      <w:r w:rsidRPr="00606BA5">
        <w:rPr>
          <w:rFonts w:ascii="Times New Roman" w:hAnsi="Times New Roman" w:cs="Times New Roman"/>
        </w:rPr>
        <w:t xml:space="preserve"> </w:t>
      </w:r>
    </w:p>
    <w:p w14:paraId="4CC4134A" w14:textId="77777777" w:rsidR="00B10FA3" w:rsidRPr="00606BA5" w:rsidRDefault="00B10FA3" w:rsidP="6375CABF">
      <w:pPr>
        <w:spacing w:line="480" w:lineRule="auto"/>
        <w:rPr>
          <w:rFonts w:ascii="Times New Roman" w:hAnsi="Times New Roman" w:cs="Times New Roman"/>
        </w:rPr>
      </w:pPr>
      <w:r w:rsidRPr="00606BA5">
        <w:rPr>
          <w:rFonts w:ascii="Times New Roman" w:hAnsi="Times New Roman" w:cs="Times New Roman"/>
        </w:rPr>
        <w:t xml:space="preserve">     Anger among white American males is not limited to any particular class, and can be found from the poorest to the richest. However, economic trends of the past four decades </w:t>
      </w:r>
      <w:r w:rsidRPr="00606BA5">
        <w:rPr>
          <w:rFonts w:ascii="Times New Roman" w:hAnsi="Times New Roman" w:cs="Times New Roman"/>
          <w:i/>
          <w:iCs/>
        </w:rPr>
        <w:t xml:space="preserve">— </w:t>
      </w:r>
      <w:r w:rsidRPr="00606BA5">
        <w:rPr>
          <w:rFonts w:ascii="Times New Roman" w:hAnsi="Times New Roman" w:cs="Times New Roman"/>
        </w:rPr>
        <w:t>de-industrialization, globalization, NAFTA, reduced use of coal for energy, the off-shoring of jobs and factories, an insufficient minimum wage and other developments — have had a particularly devastating impact on the lower middle and working classes. From the 1930s until the 1960s, this constituency was, by and large, part of the Democratic Party, which was seen as the party of the working man.</w:t>
      </w:r>
    </w:p>
    <w:p w14:paraId="1924DFF7" w14:textId="77777777" w:rsidR="00B10FA3" w:rsidRPr="00606BA5" w:rsidRDefault="00B10FA3" w:rsidP="6375CABF">
      <w:pPr>
        <w:spacing w:line="480" w:lineRule="auto"/>
        <w:rPr>
          <w:rFonts w:ascii="Times New Roman" w:hAnsi="Times New Roman" w:cs="Times New Roman"/>
        </w:rPr>
      </w:pPr>
      <w:r w:rsidRPr="00606BA5">
        <w:rPr>
          <w:rFonts w:ascii="Times New Roman" w:hAnsi="Times New Roman" w:cs="Times New Roman"/>
        </w:rPr>
        <w:t xml:space="preserve">     However, multiple events, including the Civil Rights Movement of the 1950s and 60s, the Vietnam War and the rise of both militant Black protest and contemporary Feminism served to swing many of these working-class whites (particularly in the South and Midwest) to the </w:t>
      </w:r>
      <w:r w:rsidRPr="00606BA5">
        <w:rPr>
          <w:rFonts w:ascii="Times New Roman" w:hAnsi="Times New Roman" w:cs="Times New Roman"/>
        </w:rPr>
        <w:lastRenderedPageBreak/>
        <w:t xml:space="preserve">Republicans. In fact, the GOP </w:t>
      </w:r>
      <w:r w:rsidRPr="00606BA5">
        <w:rPr>
          <w:rFonts w:ascii="Times New Roman" w:hAnsi="Times New Roman" w:cs="Times New Roman"/>
          <w:i/>
          <w:iCs/>
        </w:rPr>
        <w:t>“Southern Strategy”</w:t>
      </w:r>
      <w:r w:rsidRPr="00606BA5">
        <w:rPr>
          <w:rFonts w:ascii="Times New Roman" w:hAnsi="Times New Roman" w:cs="Times New Roman"/>
        </w:rPr>
        <w:t xml:space="preserve"> of the late 60s and early 70s was designed to achieve exactly that; rather than appealing to whites on economic issues, Nixon-Era politicos focused on hot button emotional and social issues such as crime, race, abortion, welfare, drugs and societal decay.</w:t>
      </w:r>
    </w:p>
    <w:p w14:paraId="36B0D7A7" w14:textId="77777777" w:rsidR="00B10FA3" w:rsidRPr="00606BA5" w:rsidRDefault="00B10FA3" w:rsidP="6375CABF">
      <w:pPr>
        <w:spacing w:line="480" w:lineRule="auto"/>
        <w:rPr>
          <w:rFonts w:ascii="Times New Roman" w:hAnsi="Times New Roman" w:cs="Times New Roman"/>
        </w:rPr>
      </w:pPr>
      <w:r w:rsidRPr="00606BA5">
        <w:rPr>
          <w:rFonts w:ascii="Times New Roman" w:hAnsi="Times New Roman" w:cs="Times New Roman"/>
        </w:rPr>
        <w:t xml:space="preserve">      Nixon spoke of the “silent majority,” who, instead of protesting Vietnam and racial injustice in the streets, were simply going about their daily business in the interest of maintaining peace and stable communities. Archie Bunker, from the television show </w:t>
      </w:r>
      <w:r w:rsidRPr="00606BA5">
        <w:rPr>
          <w:rFonts w:ascii="Times New Roman" w:hAnsi="Times New Roman" w:cs="Times New Roman"/>
          <w:i/>
          <w:iCs/>
        </w:rPr>
        <w:t>All in the Family</w:t>
      </w:r>
      <w:r w:rsidRPr="00606BA5">
        <w:rPr>
          <w:rFonts w:ascii="Times New Roman" w:hAnsi="Times New Roman" w:cs="Times New Roman"/>
        </w:rPr>
        <w:t xml:space="preserve"> came to represent the suburban working class/lower middle-class man who was caught up in a world of change, wanting nothing more than the stability of the past.</w:t>
      </w:r>
    </w:p>
    <w:p w14:paraId="394E021A" w14:textId="77777777" w:rsidR="00B10FA3" w:rsidRPr="00606BA5" w:rsidRDefault="00B10FA3" w:rsidP="6375CABF">
      <w:pPr>
        <w:spacing w:line="480" w:lineRule="auto"/>
        <w:rPr>
          <w:rFonts w:ascii="Times New Roman" w:hAnsi="Times New Roman" w:cs="Times New Roman"/>
        </w:rPr>
      </w:pPr>
      <w:r w:rsidRPr="00606BA5">
        <w:rPr>
          <w:rFonts w:ascii="Times New Roman" w:hAnsi="Times New Roman" w:cs="Times New Roman"/>
        </w:rPr>
        <w:t xml:space="preserve">     In the past several decades, the use of lower middle and working-class white men as tools for the political purposes of others has become an art form. The rise of the Tea Party in the House of Representatives saw a group of extreme right-wing politicians, funded by interests such as the multi-billion-dollar Koch industries, crank up an effective and relentless propaganda machine, with the express purpose of keeping these white males in a constant state of rage. </w:t>
      </w:r>
    </w:p>
    <w:p w14:paraId="00B37086" w14:textId="77777777" w:rsidR="00B10FA3" w:rsidRPr="00606BA5" w:rsidRDefault="00B10FA3" w:rsidP="6375CABF">
      <w:pPr>
        <w:spacing w:line="480" w:lineRule="auto"/>
        <w:rPr>
          <w:rFonts w:ascii="Times New Roman" w:hAnsi="Times New Roman" w:cs="Times New Roman"/>
        </w:rPr>
      </w:pPr>
      <w:r w:rsidRPr="00606BA5">
        <w:rPr>
          <w:rFonts w:ascii="Times New Roman" w:hAnsi="Times New Roman" w:cs="Times New Roman"/>
        </w:rPr>
        <w:t xml:space="preserve">     Take also, for example, the late radio talk show host Rush Limbaugh, who had millions of listeners every week from the 1980s until his death in 2021. Limbaugh’s message was simple: white men were under attack from radical feminists (“feminazis,” he called them), minorities, immigrants, gays, liberals and others who wanted to take away their traditions, their honor, and, ultimately, their country. Most of his listeners, were older than 45, overwhelmingly white, and mainly male. Fewer than a third had college degrees; most were in an economically downwardly mobile position. Interestingly, 54% of his listeners did not have </w:t>
      </w:r>
      <w:r w:rsidRPr="00606BA5">
        <w:rPr>
          <w:rFonts w:ascii="Times New Roman" w:hAnsi="Times New Roman" w:cs="Times New Roman"/>
        </w:rPr>
        <w:lastRenderedPageBreak/>
        <w:t>children, implying a community of increasingly insecure white men with little connection to community and weak family ties.</w:t>
      </w:r>
      <w:r w:rsidRPr="00606BA5">
        <w:rPr>
          <w:rStyle w:val="FootnoteReference"/>
          <w:rFonts w:ascii="Times New Roman" w:hAnsi="Times New Roman" w:cs="Times New Roman"/>
        </w:rPr>
        <w:footnoteReference w:id="91"/>
      </w:r>
      <w:r w:rsidRPr="00606BA5">
        <w:rPr>
          <w:rFonts w:ascii="Times New Roman" w:hAnsi="Times New Roman" w:cs="Times New Roman"/>
        </w:rPr>
        <w:t xml:space="preserve"> </w:t>
      </w:r>
    </w:p>
    <w:p w14:paraId="7EF06652" w14:textId="799F6B13" w:rsidR="00B10FA3" w:rsidRPr="00606BA5" w:rsidRDefault="00B10FA3" w:rsidP="6375CABF">
      <w:pPr>
        <w:spacing w:line="480" w:lineRule="auto"/>
        <w:rPr>
          <w:rFonts w:ascii="Times New Roman" w:hAnsi="Times New Roman" w:cs="Times New Roman"/>
        </w:rPr>
      </w:pPr>
      <w:r w:rsidRPr="00606BA5">
        <w:rPr>
          <w:rFonts w:ascii="Times New Roman" w:hAnsi="Times New Roman" w:cs="Times New Roman"/>
        </w:rPr>
        <w:t xml:space="preserve">       The strategy of Limbaugh and, subsequently, other mimicking right-wing radio and tv personalities, was to </w:t>
      </w:r>
      <w:r w:rsidRPr="00606BA5">
        <w:rPr>
          <w:rFonts w:ascii="Times New Roman" w:hAnsi="Times New Roman" w:cs="Times New Roman"/>
          <w:i/>
          <w:iCs/>
        </w:rPr>
        <w:t>refocus</w:t>
      </w:r>
      <w:r w:rsidRPr="00606BA5">
        <w:rPr>
          <w:rFonts w:ascii="Times New Roman" w:hAnsi="Times New Roman" w:cs="Times New Roman"/>
        </w:rPr>
        <w:t xml:space="preserve"> and </w:t>
      </w:r>
      <w:r w:rsidRPr="00606BA5">
        <w:rPr>
          <w:rFonts w:ascii="Times New Roman" w:hAnsi="Times New Roman" w:cs="Times New Roman"/>
          <w:i/>
          <w:iCs/>
        </w:rPr>
        <w:t xml:space="preserve">redirect </w:t>
      </w:r>
      <w:r w:rsidRPr="00606BA5">
        <w:rPr>
          <w:rFonts w:ascii="Times New Roman" w:hAnsi="Times New Roman" w:cs="Times New Roman"/>
        </w:rPr>
        <w:t xml:space="preserve">white anger from real economic and demographic issues, which were actual, and towards fantastical issues, such as Saddam Hussein, Osama Bin Laden, undocumented immigrants, feminists, gays or the politically correct. M. Kimmel makes a prescient point when he notes that it was the “sans </w:t>
      </w:r>
      <w:proofErr w:type="spellStart"/>
      <w:r w:rsidRPr="00606BA5">
        <w:rPr>
          <w:rFonts w:ascii="Times New Roman" w:hAnsi="Times New Roman" w:cs="Times New Roman"/>
        </w:rPr>
        <w:t>coulottes</w:t>
      </w:r>
      <w:proofErr w:type="spellEnd"/>
      <w:r w:rsidRPr="00606BA5">
        <w:rPr>
          <w:rFonts w:ascii="Times New Roman" w:hAnsi="Times New Roman" w:cs="Times New Roman"/>
        </w:rPr>
        <w:t xml:space="preserve"> in reverse,” as </w:t>
      </w:r>
      <w:r w:rsidRPr="00606BA5">
        <w:rPr>
          <w:rFonts w:ascii="Times New Roman" w:hAnsi="Times New Roman" w:cs="Times New Roman"/>
          <w:i/>
          <w:iCs/>
        </w:rPr>
        <w:t>struggling working people were being manipulated as advocates for the well to do.</w:t>
      </w:r>
      <w:r w:rsidRPr="00606BA5">
        <w:rPr>
          <w:rFonts w:ascii="Times New Roman" w:hAnsi="Times New Roman" w:cs="Times New Roman"/>
        </w:rPr>
        <w:t xml:space="preserve"> “Left wing” media bias was a typical claim from these media sources, when, in fact, no such thing existed. One could argue that mainstream media was corporate and mainstream, perhaps catering to a college educated audience, but </w:t>
      </w:r>
      <w:r w:rsidRPr="00606BA5">
        <w:rPr>
          <w:rFonts w:ascii="Times New Roman" w:hAnsi="Times New Roman" w:cs="Times New Roman"/>
          <w:i/>
          <w:iCs/>
        </w:rPr>
        <w:t>left wing?</w:t>
      </w:r>
      <w:r w:rsidRPr="00606BA5">
        <w:rPr>
          <w:rFonts w:ascii="Times New Roman" w:hAnsi="Times New Roman" w:cs="Times New Roman"/>
        </w:rPr>
        <w:t xml:space="preserve"> For all intents and purposes, the US doesn’t possess a </w:t>
      </w:r>
      <w:r w:rsidR="00756A88">
        <w:rPr>
          <w:rFonts w:ascii="Times New Roman" w:hAnsi="Times New Roman" w:cs="Times New Roman"/>
        </w:rPr>
        <w:t xml:space="preserve">true </w:t>
      </w:r>
      <w:r w:rsidRPr="00606BA5">
        <w:rPr>
          <w:rFonts w:ascii="Times New Roman" w:hAnsi="Times New Roman" w:cs="Times New Roman"/>
        </w:rPr>
        <w:t xml:space="preserve">left wing of any ideological or political significance. </w:t>
      </w:r>
      <w:r w:rsidR="00756A88">
        <w:rPr>
          <w:rFonts w:ascii="Times New Roman" w:hAnsi="Times New Roman" w:cs="Times New Roman"/>
        </w:rPr>
        <w:t>We have no significant socialist, anarchist or social democratic actors or parties on the political stage – nor have we since the early 20</w:t>
      </w:r>
      <w:r w:rsidR="00756A88" w:rsidRPr="00756A88">
        <w:rPr>
          <w:rFonts w:ascii="Times New Roman" w:hAnsi="Times New Roman" w:cs="Times New Roman"/>
          <w:vertAlign w:val="superscript"/>
        </w:rPr>
        <w:t>th</w:t>
      </w:r>
      <w:r w:rsidR="00756A88">
        <w:rPr>
          <w:rFonts w:ascii="Times New Roman" w:hAnsi="Times New Roman" w:cs="Times New Roman"/>
        </w:rPr>
        <w:t xml:space="preserve"> century. </w:t>
      </w:r>
      <w:r w:rsidRPr="00606BA5">
        <w:rPr>
          <w:rFonts w:ascii="Times New Roman" w:hAnsi="Times New Roman" w:cs="Times New Roman"/>
        </w:rPr>
        <w:t>National American politics pull about as far left as Bernie Sanders, who, until the 1980s, would have been considered by most a rather moderate liberal.</w:t>
      </w:r>
    </w:p>
    <w:p w14:paraId="679246FB" w14:textId="77777777" w:rsidR="00B10FA3" w:rsidRPr="00606BA5" w:rsidRDefault="00B10FA3" w:rsidP="6375CABF">
      <w:pPr>
        <w:spacing w:line="480" w:lineRule="auto"/>
        <w:rPr>
          <w:rFonts w:ascii="Times New Roman" w:hAnsi="Times New Roman" w:cs="Times New Roman"/>
        </w:rPr>
      </w:pPr>
      <w:r w:rsidRPr="00606BA5">
        <w:rPr>
          <w:rFonts w:ascii="Times New Roman" w:hAnsi="Times New Roman" w:cs="Times New Roman"/>
        </w:rPr>
        <w:t xml:space="preserve">     Kimmel points out correctly that, in politics, resentment and injury can have a powerful effect on creating political identity. French theorist Georges Sorel said as much a century ago; while the right wing created a climate of white victimization over the past 30 years, they could also point to liberal victimization of whites. In these progressive circles, perhaps better termed the “Oprah circuit,” oppression of women and minorities of all types was condemned, while their “liberation” from such circumstances was equally celebrated.</w:t>
      </w:r>
      <w:r w:rsidRPr="00606BA5">
        <w:rPr>
          <w:rStyle w:val="FootnoteReference"/>
          <w:rFonts w:ascii="Times New Roman" w:hAnsi="Times New Roman" w:cs="Times New Roman"/>
        </w:rPr>
        <w:footnoteReference w:id="92"/>
      </w:r>
      <w:r w:rsidRPr="00606BA5">
        <w:rPr>
          <w:rFonts w:ascii="Times New Roman" w:hAnsi="Times New Roman" w:cs="Times New Roman"/>
        </w:rPr>
        <w:t xml:space="preserve"> Right wing media could claim moral equivalence for white men, although their goals were quite different.</w:t>
      </w:r>
    </w:p>
    <w:p w14:paraId="71BA05D7" w14:textId="63E86523" w:rsidR="00B10FA3" w:rsidRPr="00606BA5" w:rsidRDefault="00B10FA3" w:rsidP="6375CABF">
      <w:pPr>
        <w:spacing w:line="480" w:lineRule="auto"/>
        <w:rPr>
          <w:rFonts w:ascii="Times New Roman" w:hAnsi="Times New Roman" w:cs="Times New Roman"/>
        </w:rPr>
      </w:pPr>
      <w:r w:rsidRPr="00606BA5">
        <w:rPr>
          <w:rFonts w:ascii="Times New Roman" w:hAnsi="Times New Roman" w:cs="Times New Roman"/>
        </w:rPr>
        <w:lastRenderedPageBreak/>
        <w:t xml:space="preserve">     One odd aspect about the right-wing victimization argument was that it addressed a sense of </w:t>
      </w:r>
      <w:r w:rsidRPr="00606BA5">
        <w:rPr>
          <w:rFonts w:ascii="Times New Roman" w:hAnsi="Times New Roman" w:cs="Times New Roman"/>
          <w:i/>
          <w:iCs/>
        </w:rPr>
        <w:t>threatened manhood</w:t>
      </w:r>
      <w:r w:rsidRPr="00606BA5">
        <w:rPr>
          <w:rFonts w:ascii="Times New Roman" w:hAnsi="Times New Roman" w:cs="Times New Roman"/>
        </w:rPr>
        <w:t xml:space="preserve">; in another time, such complaints by men about unfair play might have been seen as the complaints of sissies. Limbaugh was able to reframe the argument to protect men from such accusations. The period after 9-11 also showed an enormous fear by a white male establishment about extant danger in the world. Dick Cheney, the Vice President under George W. Bush, seemed to suspect a terrorist behind every bush. His message was relentless: we are under persistent attack, and fear is omnipresent. Don’t trust anyone or anything. Everything is scary! Again, traditionally, this would hardly qualify as a statement borne of traditional masculine values, which would instead focus on strength, calm and stoicism, rather than panic and fear mongering. But, as with Limbaugh, </w:t>
      </w:r>
      <w:r w:rsidRPr="00606BA5">
        <w:rPr>
          <w:rFonts w:ascii="Times New Roman" w:hAnsi="Times New Roman" w:cs="Times New Roman"/>
          <w:i/>
          <w:iCs/>
        </w:rPr>
        <w:t>the role of victimization had been “masculinized”</w:t>
      </w:r>
      <w:r w:rsidRPr="00606BA5">
        <w:rPr>
          <w:rFonts w:ascii="Times New Roman" w:hAnsi="Times New Roman" w:cs="Times New Roman"/>
        </w:rPr>
        <w:t xml:space="preserve"> in much of the popular mind, strange as it seemed.</w:t>
      </w:r>
      <w:r w:rsidRPr="00606BA5">
        <w:rPr>
          <w:rStyle w:val="FootnoteReference"/>
          <w:rFonts w:ascii="Times New Roman" w:hAnsi="Times New Roman" w:cs="Times New Roman"/>
        </w:rPr>
        <w:footnoteReference w:id="93"/>
      </w:r>
      <w:r w:rsidRPr="00606BA5">
        <w:rPr>
          <w:rFonts w:ascii="Times New Roman" w:hAnsi="Times New Roman" w:cs="Times New Roman"/>
        </w:rPr>
        <w:t xml:space="preserve"> While bearing the tone and cadence of an ideology, this formula for targeting and provoking insecure white males was, in fact, a ruse, a mere martialing of negativity into a universal “we” of resentment. It represented existential rejection, negativity, opposition, and reveled in resentment, offering nothing positive in its place. </w:t>
      </w:r>
    </w:p>
    <w:p w14:paraId="087EF036" w14:textId="72825B9C" w:rsidR="00B10FA3" w:rsidRPr="00606BA5" w:rsidRDefault="00B10FA3" w:rsidP="6375CABF">
      <w:pPr>
        <w:spacing w:line="480" w:lineRule="auto"/>
        <w:rPr>
          <w:rFonts w:ascii="Times New Roman" w:hAnsi="Times New Roman" w:cs="Times New Roman"/>
        </w:rPr>
      </w:pPr>
      <w:r w:rsidRPr="00606BA5">
        <w:rPr>
          <w:rFonts w:ascii="Times New Roman" w:hAnsi="Times New Roman" w:cs="Times New Roman"/>
        </w:rPr>
        <w:t xml:space="preserve">     As metaphor, the movement had a certain richness to it: Kimmel references Herbert Marcuse, a radical left wing German-American philosopher from the 1960s, who claimed that a capitalist dominated system could provide “distraction” from true reform by a process called “repressive de-sublimation,” whereby society might permit an ‘activist weekend warrior’ to rage against the machine through the media available to him or her, but, in the end, it would only result in spent energy, with no discernible message of change having permeated the society. Put another way, repressive societies might still allow folks to blow off steam once </w:t>
      </w:r>
      <w:r w:rsidRPr="00606BA5">
        <w:rPr>
          <w:rFonts w:ascii="Times New Roman" w:hAnsi="Times New Roman" w:cs="Times New Roman"/>
        </w:rPr>
        <w:lastRenderedPageBreak/>
        <w:t xml:space="preserve">and awhile, but, in the end, like a Facebook subscriber with 1000 friends, </w:t>
      </w:r>
      <w:r w:rsidRPr="00606BA5">
        <w:rPr>
          <w:rFonts w:ascii="Times New Roman" w:hAnsi="Times New Roman" w:cs="Times New Roman"/>
          <w:i/>
          <w:iCs/>
        </w:rPr>
        <w:t xml:space="preserve">nothing </w:t>
      </w:r>
      <w:r w:rsidRPr="00606BA5">
        <w:rPr>
          <w:rFonts w:ascii="Times New Roman" w:hAnsi="Times New Roman" w:cs="Times New Roman"/>
        </w:rPr>
        <w:t>is as it seems.</w:t>
      </w:r>
      <w:r w:rsidRPr="00606BA5">
        <w:rPr>
          <w:rStyle w:val="FootnoteReference"/>
          <w:rFonts w:ascii="Times New Roman" w:hAnsi="Times New Roman" w:cs="Times New Roman"/>
        </w:rPr>
        <w:footnoteReference w:id="94"/>
      </w:r>
      <w:r w:rsidRPr="00606BA5">
        <w:rPr>
          <w:rFonts w:ascii="Times New Roman" w:hAnsi="Times New Roman" w:cs="Times New Roman"/>
        </w:rPr>
        <w:t xml:space="preserve"> Anyone who has experience on social media recognizes the illusion of power that one experiences through online postings, an illusion that is often reinforced by one</w:t>
      </w:r>
      <w:r w:rsidR="00951BCD" w:rsidRPr="00606BA5">
        <w:rPr>
          <w:rFonts w:ascii="Times New Roman" w:hAnsi="Times New Roman" w:cs="Times New Roman"/>
        </w:rPr>
        <w:t>’</w:t>
      </w:r>
      <w:r w:rsidRPr="00606BA5">
        <w:rPr>
          <w:rFonts w:ascii="Times New Roman" w:hAnsi="Times New Roman" w:cs="Times New Roman"/>
        </w:rPr>
        <w:t>s own online circle. It isn’t real. And the pattern repeats.</w:t>
      </w:r>
    </w:p>
    <w:p w14:paraId="08D1F8B3" w14:textId="5DD65200" w:rsidR="00B10FA3" w:rsidRPr="00606BA5" w:rsidRDefault="00B10FA3" w:rsidP="6375CABF">
      <w:pPr>
        <w:spacing w:line="480" w:lineRule="auto"/>
        <w:rPr>
          <w:rFonts w:ascii="Times New Roman" w:hAnsi="Times New Roman" w:cs="Times New Roman"/>
        </w:rPr>
      </w:pPr>
      <w:r w:rsidRPr="00606BA5">
        <w:rPr>
          <w:rFonts w:ascii="Times New Roman" w:hAnsi="Times New Roman" w:cs="Times New Roman"/>
        </w:rPr>
        <w:t xml:space="preserve">     Ah, the metaphors. Anger is portrayed as power; fear as conspiracy, intransigence and naivete as wisdom and insight, and faith as certainty, small government beliefs represent the wish that another doesn’t cut in front of me for benefits.  There are two aphorisms of American culture and politics that I have been reminded of for years – and they are very telling, as mentioned in an earlier chapter.  The first, mentioned earlier in the book, is about race. The line goes this way: Northerners like African Americans as a group but not as individuals. Southerners like </w:t>
      </w:r>
      <w:r w:rsidR="00756A88">
        <w:rPr>
          <w:rFonts w:ascii="Times New Roman" w:hAnsi="Times New Roman" w:cs="Times New Roman"/>
        </w:rPr>
        <w:t>African Americans</w:t>
      </w:r>
      <w:r w:rsidRPr="00606BA5">
        <w:rPr>
          <w:rFonts w:ascii="Times New Roman" w:hAnsi="Times New Roman" w:cs="Times New Roman"/>
        </w:rPr>
        <w:t xml:space="preserve"> as individuals but not as a group. This brief statement speaks a thousand words about culture and region, and local familiarity. Burlington, Vermont might be a place of racial tolerance, but then, few there may know a single black person. By contrast, a white Mississippi farmer may have black neighbors on both sides of him, all of whom he has good relations with – but the “peculiar issue” of black power in the South keeps him in the white camp. Both the Northern and Southern conceptions of racial tolerance are rooted in experience (or lack thereof), and both cultural norms and pressures.</w:t>
      </w:r>
    </w:p>
    <w:p w14:paraId="7A3E9D87" w14:textId="420CD9E7" w:rsidR="00B10FA3" w:rsidRDefault="00B10FA3" w:rsidP="6375CABF">
      <w:pPr>
        <w:spacing w:line="480" w:lineRule="auto"/>
        <w:rPr>
          <w:rFonts w:ascii="Times New Roman" w:hAnsi="Times New Roman" w:cs="Times New Roman"/>
        </w:rPr>
      </w:pPr>
      <w:r w:rsidRPr="00606BA5">
        <w:rPr>
          <w:rFonts w:ascii="Times New Roman" w:hAnsi="Times New Roman" w:cs="Times New Roman"/>
        </w:rPr>
        <w:t xml:space="preserve">    The second culturally specific platitude that I would add regarding American culture and political economy is that a working-class white American would rather deny a government benefit to him or herself, rather than seeing that benefit accrue to his or her Black or Hispanic neighbor. </w:t>
      </w:r>
      <w:r w:rsidR="00756A88">
        <w:rPr>
          <w:rFonts w:ascii="Times New Roman" w:hAnsi="Times New Roman" w:cs="Times New Roman"/>
        </w:rPr>
        <w:t xml:space="preserve">(This is particularly pronounced in the South.) </w:t>
      </w:r>
      <w:r w:rsidRPr="00606BA5">
        <w:rPr>
          <w:rFonts w:ascii="Times New Roman" w:hAnsi="Times New Roman" w:cs="Times New Roman"/>
        </w:rPr>
        <w:t>It is an idea that literal self</w:t>
      </w:r>
      <w:r w:rsidR="21D62E2B" w:rsidRPr="00606BA5">
        <w:rPr>
          <w:rFonts w:ascii="Times New Roman" w:hAnsi="Times New Roman" w:cs="Times New Roman"/>
        </w:rPr>
        <w:t>-</w:t>
      </w:r>
      <w:r w:rsidRPr="00606BA5">
        <w:rPr>
          <w:rFonts w:ascii="Times New Roman" w:hAnsi="Times New Roman" w:cs="Times New Roman"/>
        </w:rPr>
        <w:t xml:space="preserve">sacrifice is preferable to racial equality, and there is a lot of data to back this up, most </w:t>
      </w:r>
      <w:r w:rsidR="00756A88">
        <w:rPr>
          <w:rFonts w:ascii="Times New Roman" w:hAnsi="Times New Roman" w:cs="Times New Roman"/>
        </w:rPr>
        <w:t>saliently</w:t>
      </w:r>
      <w:r w:rsidRPr="00606BA5">
        <w:rPr>
          <w:rFonts w:ascii="Times New Roman" w:hAnsi="Times New Roman" w:cs="Times New Roman"/>
        </w:rPr>
        <w:t xml:space="preserve"> the </w:t>
      </w:r>
      <w:r w:rsidRPr="00606BA5">
        <w:rPr>
          <w:rFonts w:ascii="Times New Roman" w:hAnsi="Times New Roman" w:cs="Times New Roman"/>
        </w:rPr>
        <w:lastRenderedPageBreak/>
        <w:t>subsidies provided to states to cover the costs of Obamacare.</w:t>
      </w:r>
      <w:r w:rsidRPr="00606BA5">
        <w:rPr>
          <w:rStyle w:val="FootnoteReference"/>
          <w:rFonts w:ascii="Times New Roman" w:hAnsi="Times New Roman" w:cs="Times New Roman"/>
        </w:rPr>
        <w:footnoteReference w:id="95"/>
      </w:r>
      <w:r w:rsidRPr="00606BA5">
        <w:rPr>
          <w:rFonts w:ascii="Times New Roman" w:hAnsi="Times New Roman" w:cs="Times New Roman"/>
        </w:rPr>
        <w:t xml:space="preserve">  In the end, one could say that right</w:t>
      </w:r>
      <w:r w:rsidR="00756A88">
        <w:rPr>
          <w:rFonts w:ascii="Times New Roman" w:hAnsi="Times New Roman" w:cs="Times New Roman"/>
        </w:rPr>
        <w:t>-</w:t>
      </w:r>
      <w:r w:rsidRPr="00606BA5">
        <w:rPr>
          <w:rFonts w:ascii="Times New Roman" w:hAnsi="Times New Roman" w:cs="Times New Roman"/>
        </w:rPr>
        <w:t xml:space="preserve">wing American populism has turned into more of an emotional expression of </w:t>
      </w:r>
      <w:r w:rsidRPr="00606BA5">
        <w:rPr>
          <w:rFonts w:ascii="Times New Roman" w:hAnsi="Times New Roman" w:cs="Times New Roman"/>
        </w:rPr>
        <w:lastRenderedPageBreak/>
        <w:t xml:space="preserve">downwardly mobile rural, lower middle class and working-class white southerners and mid westerners, rather than a bonified ideology.  Kimmel states that “the anger of the Tea Party is </w:t>
      </w:r>
      <w:r w:rsidRPr="00606BA5">
        <w:rPr>
          <w:rFonts w:ascii="Times New Roman" w:hAnsi="Times New Roman" w:cs="Times New Roman"/>
          <w:i/>
          <w:iCs/>
        </w:rPr>
        <w:t>real but not true</w:t>
      </w:r>
      <w:r w:rsidRPr="00606BA5">
        <w:rPr>
          <w:rFonts w:ascii="Times New Roman" w:hAnsi="Times New Roman" w:cs="Times New Roman"/>
        </w:rPr>
        <w:t xml:space="preserve">. </w:t>
      </w:r>
      <w:r w:rsidRPr="00606BA5">
        <w:rPr>
          <w:rFonts w:ascii="Times New Roman" w:hAnsi="Times New Roman" w:cs="Times New Roman"/>
          <w:i/>
          <w:iCs/>
        </w:rPr>
        <w:t>Supporters are delivering their mail to the wrong address</w:t>
      </w:r>
      <w:r w:rsidRPr="00606BA5">
        <w:rPr>
          <w:rFonts w:ascii="Times New Roman" w:hAnsi="Times New Roman" w:cs="Times New Roman"/>
        </w:rPr>
        <w:t xml:space="preserve">.” </w:t>
      </w:r>
      <w:r w:rsidRPr="00606BA5">
        <w:rPr>
          <w:rStyle w:val="FootnoteReference"/>
          <w:rFonts w:ascii="Times New Roman" w:hAnsi="Times New Roman" w:cs="Times New Roman"/>
        </w:rPr>
        <w:footnoteReference w:id="96"/>
      </w:r>
      <w:r w:rsidRPr="00606BA5">
        <w:rPr>
          <w:rFonts w:ascii="Times New Roman" w:hAnsi="Times New Roman" w:cs="Times New Roman"/>
        </w:rPr>
        <w:t xml:space="preserve"> No truer words could be spoken about the current rhetoric emanating from the corporate right wing of the Republican establishment.</w:t>
      </w:r>
    </w:p>
    <w:p w14:paraId="6EADC081" w14:textId="77777777" w:rsidR="004474CE" w:rsidRPr="00606BA5" w:rsidRDefault="004474CE" w:rsidP="6375CABF">
      <w:pPr>
        <w:spacing w:line="480" w:lineRule="auto"/>
        <w:rPr>
          <w:rFonts w:ascii="Times New Roman" w:hAnsi="Times New Roman" w:cs="Times New Roman"/>
        </w:rPr>
      </w:pPr>
    </w:p>
    <w:p w14:paraId="4F2E2E37" w14:textId="77777777" w:rsidR="00B10FA3" w:rsidRPr="00606BA5" w:rsidRDefault="00B10FA3" w:rsidP="6375CABF">
      <w:pPr>
        <w:spacing w:line="480" w:lineRule="auto"/>
        <w:rPr>
          <w:rFonts w:ascii="Times New Roman" w:hAnsi="Times New Roman" w:cs="Times New Roman"/>
          <w:b/>
          <w:bCs/>
          <w:sz w:val="28"/>
          <w:szCs w:val="28"/>
        </w:rPr>
      </w:pPr>
      <w:r w:rsidRPr="00606BA5">
        <w:rPr>
          <w:rFonts w:ascii="Times New Roman" w:hAnsi="Times New Roman" w:cs="Times New Roman"/>
          <w:sz w:val="28"/>
          <w:szCs w:val="28"/>
        </w:rPr>
        <w:t xml:space="preserve">   </w:t>
      </w:r>
      <w:r w:rsidRPr="00606BA5">
        <w:rPr>
          <w:rFonts w:ascii="Times New Roman" w:hAnsi="Times New Roman" w:cs="Times New Roman"/>
          <w:i/>
          <w:iCs/>
          <w:sz w:val="28"/>
          <w:szCs w:val="28"/>
        </w:rPr>
        <w:t xml:space="preserve"> </w:t>
      </w:r>
      <w:r w:rsidRPr="00606BA5">
        <w:rPr>
          <w:rFonts w:ascii="Times New Roman" w:hAnsi="Times New Roman" w:cs="Times New Roman"/>
          <w:b/>
          <w:bCs/>
          <w:i/>
          <w:iCs/>
          <w:sz w:val="28"/>
          <w:szCs w:val="28"/>
        </w:rPr>
        <w:t>Violence</w:t>
      </w:r>
    </w:p>
    <w:p w14:paraId="39AFDCA8" w14:textId="77777777" w:rsidR="00B10FA3" w:rsidRPr="00606BA5" w:rsidRDefault="00B10FA3" w:rsidP="6375CABF">
      <w:pPr>
        <w:spacing w:line="480" w:lineRule="auto"/>
        <w:rPr>
          <w:rFonts w:ascii="Times New Roman" w:hAnsi="Times New Roman" w:cs="Times New Roman"/>
        </w:rPr>
      </w:pPr>
      <w:r w:rsidRPr="00606BA5">
        <w:rPr>
          <w:rFonts w:ascii="Times New Roman" w:hAnsi="Times New Roman" w:cs="Times New Roman"/>
        </w:rPr>
        <w:t xml:space="preserve">     And then there is the issue of violence. Displaced, downwardly mobile groups are hardly passive in this process. Among young white males, the pattern of school shooting demographics is unmistakable; rural, occasionally suburban, alienated white young men make a decision to go out in a “blaze of glory” of destruction. Sadly, violence is admired in the US, and tends to mimic itself, especially with regard to mass shootings. In the US (as elsewhere), a sense of personal humiliation can lead to feelings of a loss of masculinity. Throw in gay-baiting comments, and the result can be devastating for the accused. But in a culture such as the US, where guns and gun violence are not only taken for granted, but tacitly condoned in both entertainment and the media, a violent response to such provocations may seem logical - even inevitable - to a 16 year old in Colorado or Texas, whereas it may make no sense at all to a similar 16 year old in Italy, or England.</w:t>
      </w:r>
    </w:p>
    <w:p w14:paraId="2AB0E95B" w14:textId="77777777" w:rsidR="00B10FA3" w:rsidRPr="00606BA5" w:rsidRDefault="00B10FA3" w:rsidP="6375CABF">
      <w:pPr>
        <w:spacing w:line="480" w:lineRule="auto"/>
        <w:rPr>
          <w:rFonts w:ascii="Times New Roman" w:hAnsi="Times New Roman" w:cs="Times New Roman"/>
        </w:rPr>
      </w:pPr>
      <w:r w:rsidRPr="00606BA5">
        <w:rPr>
          <w:rFonts w:ascii="Times New Roman" w:hAnsi="Times New Roman" w:cs="Times New Roman"/>
        </w:rPr>
        <w:t xml:space="preserve">     When I was growing up, calling someone “gay” (and in the 70s and 80s it was almost always intended against a boy) could mean that they were effeminate or fanciful. But it generally meant that they were momentarily stupid, goofy, lacking judgement, or </w:t>
      </w:r>
      <w:r w:rsidRPr="00606BA5">
        <w:rPr>
          <w:rFonts w:ascii="Times New Roman" w:hAnsi="Times New Roman" w:cs="Times New Roman"/>
        </w:rPr>
        <w:lastRenderedPageBreak/>
        <w:t xml:space="preserve">inappropriately ‘artsy’ at a given moment. Regardless, such accusations could be very damaging. Within US history, the use of violence as a </w:t>
      </w:r>
      <w:r w:rsidRPr="00606BA5">
        <w:rPr>
          <w:rFonts w:ascii="Times New Roman" w:hAnsi="Times New Roman" w:cs="Times New Roman"/>
          <w:i/>
          <w:iCs/>
        </w:rPr>
        <w:t>restorative</w:t>
      </w:r>
      <w:r w:rsidRPr="00606BA5">
        <w:rPr>
          <w:rFonts w:ascii="Times New Roman" w:hAnsi="Times New Roman" w:cs="Times New Roman"/>
        </w:rPr>
        <w:t xml:space="preserve"> act is a recurring trope in westerns and traditional American storytelling, as is the creation of order through </w:t>
      </w:r>
      <w:r w:rsidRPr="00606BA5">
        <w:rPr>
          <w:rFonts w:ascii="Times New Roman" w:hAnsi="Times New Roman" w:cs="Times New Roman"/>
          <w:i/>
          <w:iCs/>
        </w:rPr>
        <w:t>mass destruction.</w:t>
      </w:r>
      <w:r w:rsidRPr="00606BA5">
        <w:rPr>
          <w:rStyle w:val="FootnoteReference"/>
          <w:rFonts w:ascii="Times New Roman" w:hAnsi="Times New Roman" w:cs="Times New Roman"/>
          <w:i/>
          <w:iCs/>
        </w:rPr>
        <w:footnoteReference w:id="97"/>
      </w:r>
      <w:r w:rsidRPr="00606BA5">
        <w:rPr>
          <w:rFonts w:ascii="Times New Roman" w:hAnsi="Times New Roman" w:cs="Times New Roman"/>
        </w:rPr>
        <w:t xml:space="preserve"> Rambo. Arnold. Di Nero. The horrific events at Columbine High School in 1999 fit all of the criteria above. Add to that a state with loose gun safety laws, and no one should be surprised.  </w:t>
      </w:r>
    </w:p>
    <w:p w14:paraId="1FD0657A" w14:textId="545D230F" w:rsidR="6375CABF" w:rsidRPr="00606BA5" w:rsidRDefault="6375CABF" w:rsidP="6375CABF">
      <w:pPr>
        <w:spacing w:line="480" w:lineRule="auto"/>
        <w:rPr>
          <w:rFonts w:ascii="Times New Roman" w:hAnsi="Times New Roman" w:cs="Times New Roman"/>
        </w:rPr>
      </w:pPr>
    </w:p>
    <w:p w14:paraId="5FF5171B" w14:textId="77777777" w:rsidR="00B10FA3" w:rsidRPr="00606BA5" w:rsidRDefault="00B10FA3" w:rsidP="6375CABF">
      <w:pPr>
        <w:spacing w:line="480" w:lineRule="auto"/>
        <w:rPr>
          <w:rFonts w:ascii="Times New Roman" w:hAnsi="Times New Roman" w:cs="Times New Roman"/>
          <w:b/>
          <w:bCs/>
          <w:sz w:val="28"/>
          <w:szCs w:val="28"/>
        </w:rPr>
      </w:pPr>
      <w:r w:rsidRPr="00606BA5">
        <w:rPr>
          <w:rFonts w:ascii="Times New Roman" w:hAnsi="Times New Roman" w:cs="Times New Roman"/>
          <w:b/>
          <w:bCs/>
          <w:sz w:val="28"/>
          <w:szCs w:val="28"/>
        </w:rPr>
        <w:t>Women’s Studies / Men’s Studies</w:t>
      </w:r>
    </w:p>
    <w:p w14:paraId="588458D9" w14:textId="77777777" w:rsidR="00B10FA3" w:rsidRPr="00606BA5" w:rsidRDefault="00B10FA3" w:rsidP="6375CABF">
      <w:pPr>
        <w:spacing w:line="480" w:lineRule="auto"/>
        <w:ind w:left="284" w:right="284"/>
        <w:rPr>
          <w:rFonts w:ascii="Times New Roman" w:hAnsi="Times New Roman" w:cs="Times New Roman"/>
        </w:rPr>
      </w:pPr>
      <w:r w:rsidRPr="00606BA5">
        <w:rPr>
          <w:rFonts w:ascii="Times New Roman" w:hAnsi="Times New Roman" w:cs="Times New Roman"/>
        </w:rPr>
        <w:t xml:space="preserve">     Den Hollander is a pro-male activist in the US, who has led a crusade against female violence against males, among other gender issues. Hollander brought a lawsuit against Columbia University at one point, claiming that there was a “Women’s Studies Program,” but no equivalent “Men’s Studies” program. Interestingly, feminist historian Rebecca Solnit has argued the same in her 2014 work </w:t>
      </w:r>
      <w:r w:rsidRPr="00606BA5">
        <w:rPr>
          <w:rFonts w:ascii="Times New Roman" w:hAnsi="Times New Roman" w:cs="Times New Roman"/>
          <w:i/>
          <w:iCs/>
        </w:rPr>
        <w:t>Men Explain Things to Me</w:t>
      </w:r>
      <w:r w:rsidRPr="00606BA5">
        <w:rPr>
          <w:rFonts w:ascii="Times New Roman" w:hAnsi="Times New Roman" w:cs="Times New Roman"/>
        </w:rPr>
        <w:t xml:space="preserve">, saying first that: </w:t>
      </w:r>
    </w:p>
    <w:p w14:paraId="68516834" w14:textId="77777777" w:rsidR="00B10FA3" w:rsidRPr="00606BA5" w:rsidRDefault="00B10FA3" w:rsidP="6375CABF">
      <w:pPr>
        <w:spacing w:line="240" w:lineRule="auto"/>
        <w:ind w:left="284" w:right="284"/>
        <w:rPr>
          <w:rFonts w:ascii="Times New Roman" w:hAnsi="Times New Roman" w:cs="Times New Roman"/>
          <w:i/>
          <w:iCs/>
        </w:rPr>
      </w:pPr>
      <w:r w:rsidRPr="00606BA5">
        <w:rPr>
          <w:rFonts w:ascii="Times New Roman" w:hAnsi="Times New Roman" w:cs="Times New Roman"/>
        </w:rPr>
        <w:t xml:space="preserve">Women are an eternal subject, which is a lot like being subjected…there are comparatively fewer articles about whether men are happy of why their marriages also fail…or how nice or not their bodies are. They are the gender that commits the great majority of crime, particularly violent crime, and they are the majority of suicides as well. American men are falling behind women in attending college, and have fallen further (economically) than women, which would make you think that they are an interesting subject of inquiry. </w:t>
      </w:r>
      <w:r w:rsidRPr="00606BA5">
        <w:rPr>
          <w:rFonts w:ascii="Times New Roman" w:hAnsi="Times New Roman" w:cs="Times New Roman"/>
          <w:i/>
          <w:iCs/>
        </w:rPr>
        <w:t>I think that the future of something we may no longer call feminism must include a deeper inquiry into men.</w:t>
      </w:r>
      <w:r w:rsidRPr="00606BA5">
        <w:rPr>
          <w:rStyle w:val="FootnoteReference"/>
          <w:rFonts w:ascii="Times New Roman" w:hAnsi="Times New Roman" w:cs="Times New Roman"/>
          <w:i/>
          <w:iCs/>
        </w:rPr>
        <w:t xml:space="preserve"> </w:t>
      </w:r>
      <w:r w:rsidRPr="00606BA5">
        <w:rPr>
          <w:rStyle w:val="FootnoteReference"/>
          <w:rFonts w:ascii="Times New Roman" w:hAnsi="Times New Roman" w:cs="Times New Roman"/>
          <w:i/>
          <w:iCs/>
        </w:rPr>
        <w:footnoteReference w:id="98"/>
      </w:r>
    </w:p>
    <w:p w14:paraId="161777E6" w14:textId="77777777" w:rsidR="00B10FA3" w:rsidRPr="00606BA5" w:rsidRDefault="00B10FA3" w:rsidP="6375CABF">
      <w:pPr>
        <w:spacing w:line="480" w:lineRule="auto"/>
        <w:ind w:left="284" w:right="284"/>
        <w:rPr>
          <w:rFonts w:ascii="Times New Roman" w:hAnsi="Times New Roman" w:cs="Times New Roman"/>
        </w:rPr>
      </w:pPr>
    </w:p>
    <w:p w14:paraId="1D5F6057" w14:textId="77777777" w:rsidR="00B10FA3" w:rsidRPr="00606BA5" w:rsidRDefault="00B10FA3" w:rsidP="6375CABF">
      <w:pPr>
        <w:spacing w:line="480" w:lineRule="auto"/>
        <w:rPr>
          <w:rFonts w:ascii="Times New Roman" w:hAnsi="Times New Roman" w:cs="Times New Roman"/>
        </w:rPr>
      </w:pPr>
      <w:r w:rsidRPr="00606BA5">
        <w:rPr>
          <w:rFonts w:ascii="Times New Roman" w:hAnsi="Times New Roman" w:cs="Times New Roman"/>
        </w:rPr>
        <w:t xml:space="preserve">      Such sentiments offer hope that, in the future, that boilerplate characterizations of gender difference no long hold sway, and that a shared essence of common community might begin </w:t>
      </w:r>
      <w:r w:rsidRPr="00606BA5">
        <w:rPr>
          <w:rFonts w:ascii="Times New Roman" w:hAnsi="Times New Roman" w:cs="Times New Roman"/>
        </w:rPr>
        <w:lastRenderedPageBreak/>
        <w:t xml:space="preserve">to take hold. She wasn’t the only writer to take such a posture in recent years. Betty Friedan, famous for her early feminist writings in the late 50s, spoke out in 1973, saying that “men are also victims,” insofar as they adhere to outmoded forms of masculinity. As it is often said, men may not be powerful, but they wish to present themselves </w:t>
      </w:r>
      <w:r w:rsidRPr="00606BA5">
        <w:rPr>
          <w:rFonts w:ascii="Times New Roman" w:hAnsi="Times New Roman" w:cs="Times New Roman"/>
          <w:i/>
          <w:iCs/>
        </w:rPr>
        <w:t>as if</w:t>
      </w:r>
      <w:r w:rsidRPr="00606BA5">
        <w:rPr>
          <w:rFonts w:ascii="Times New Roman" w:hAnsi="Times New Roman" w:cs="Times New Roman"/>
        </w:rPr>
        <w:t xml:space="preserve"> they were powerful.</w:t>
      </w:r>
    </w:p>
    <w:p w14:paraId="6EFF9C68" w14:textId="36D876A4" w:rsidR="00B10FA3" w:rsidRPr="00606BA5" w:rsidRDefault="00B10FA3" w:rsidP="6375CABF">
      <w:pPr>
        <w:spacing w:line="480" w:lineRule="auto"/>
        <w:rPr>
          <w:rFonts w:ascii="Times New Roman" w:hAnsi="Times New Roman" w:cs="Times New Roman"/>
        </w:rPr>
      </w:pPr>
      <w:r w:rsidRPr="00606BA5">
        <w:rPr>
          <w:rFonts w:ascii="Times New Roman" w:hAnsi="Times New Roman" w:cs="Times New Roman"/>
        </w:rPr>
        <w:t xml:space="preserve">     Let’s revisit the notion that, in American culture, a self</w:t>
      </w:r>
      <w:r w:rsidR="00951BCD" w:rsidRPr="00606BA5">
        <w:rPr>
          <w:rFonts w:ascii="Times New Roman" w:hAnsi="Times New Roman" w:cs="Times New Roman"/>
        </w:rPr>
        <w:t>-</w:t>
      </w:r>
      <w:r w:rsidRPr="00606BA5">
        <w:rPr>
          <w:rFonts w:ascii="Times New Roman" w:hAnsi="Times New Roman" w:cs="Times New Roman"/>
        </w:rPr>
        <w:t>identified group might sacrifice its own political interests to thwart that of another, competitive group. However, let us now assume that the “aggrieved” group is rich. This introduces us to the “</w:t>
      </w:r>
      <w:r w:rsidRPr="00F86D23">
        <w:rPr>
          <w:rFonts w:ascii="Times New Roman" w:hAnsi="Times New Roman" w:cs="Times New Roman"/>
          <w:i/>
          <w:iCs/>
        </w:rPr>
        <w:t>Two Notches Up</w:t>
      </w:r>
      <w:r w:rsidRPr="00606BA5">
        <w:rPr>
          <w:rFonts w:ascii="Times New Roman" w:hAnsi="Times New Roman" w:cs="Times New Roman"/>
        </w:rPr>
        <w:t xml:space="preserve">” theory, which maintains that the upper middle classes and the wealthy don’t use the public schools, they don’t rely on Obamacare, and the Social Security program is, to them, at best an unwanted add-on to their tax status, or simply an irrelevancy to their retirement reality. They don’t need it and they don’t want it. Where “Two Notches” comes in is that the very people who use Social Security, who depend upon Obamacare, who claim unemployment benefits and who populate the public schools </w:t>
      </w:r>
      <w:r w:rsidRPr="00606BA5">
        <w:rPr>
          <w:rFonts w:ascii="Times New Roman" w:hAnsi="Times New Roman" w:cs="Times New Roman"/>
          <w:i/>
          <w:iCs/>
        </w:rPr>
        <w:t>are, generally, the same people who don’t vote in large numbers</w:t>
      </w:r>
      <w:r w:rsidRPr="00606BA5">
        <w:rPr>
          <w:rFonts w:ascii="Times New Roman" w:hAnsi="Times New Roman" w:cs="Times New Roman"/>
        </w:rPr>
        <w:t>; they are white, working to lower middle class, married, Christian and over 50.</w:t>
      </w:r>
      <w:r w:rsidRPr="00606BA5">
        <w:rPr>
          <w:rStyle w:val="FootnoteReference"/>
          <w:rFonts w:ascii="Times New Roman" w:hAnsi="Times New Roman" w:cs="Times New Roman"/>
        </w:rPr>
        <w:footnoteReference w:id="99"/>
      </w:r>
      <w:r w:rsidRPr="00606BA5">
        <w:rPr>
          <w:rFonts w:ascii="Times New Roman" w:hAnsi="Times New Roman" w:cs="Times New Roman"/>
        </w:rPr>
        <w:t xml:space="preserve"> </w:t>
      </w:r>
    </w:p>
    <w:p w14:paraId="5F202177" w14:textId="77777777" w:rsidR="00B10FA3" w:rsidRPr="00606BA5" w:rsidRDefault="00B10FA3" w:rsidP="6375CABF">
      <w:pPr>
        <w:spacing w:line="480" w:lineRule="auto"/>
        <w:rPr>
          <w:rFonts w:ascii="Times New Roman" w:hAnsi="Times New Roman" w:cs="Times New Roman"/>
        </w:rPr>
      </w:pPr>
      <w:r w:rsidRPr="00606BA5">
        <w:rPr>
          <w:rFonts w:ascii="Times New Roman" w:hAnsi="Times New Roman" w:cs="Times New Roman"/>
        </w:rPr>
        <w:t xml:space="preserve">     The cultural idea that the working class would divide itself, based on race and history, and would remove itself from the political process so as to enhance the power of the dominant political and social classes would cause Karl Marx to rumble a bit, if not turn over. But, in the contemporary - if twisted - logic of American politics, it possesses an inner logic. Perhaps a quote from early 20</w:t>
      </w:r>
      <w:r w:rsidRPr="00606BA5">
        <w:rPr>
          <w:rFonts w:ascii="Times New Roman" w:hAnsi="Times New Roman" w:cs="Times New Roman"/>
          <w:vertAlign w:val="superscript"/>
        </w:rPr>
        <w:t>th</w:t>
      </w:r>
      <w:r w:rsidRPr="00606BA5">
        <w:rPr>
          <w:rFonts w:ascii="Times New Roman" w:hAnsi="Times New Roman" w:cs="Times New Roman"/>
        </w:rPr>
        <w:t xml:space="preserve"> century social theorist Thorstein Vebelen would add clarity: “the further away and the higher your status (the further you are) away from government. ‘Distance from necessity’ confers honor.” And loss of respect, status and honor is a sore subject among the white working classes.</w:t>
      </w:r>
    </w:p>
    <w:p w14:paraId="6EB0AA6B" w14:textId="47691F16" w:rsidR="00B10FA3" w:rsidRPr="00606BA5" w:rsidRDefault="00B10FA3" w:rsidP="6375CABF">
      <w:pPr>
        <w:spacing w:line="480" w:lineRule="auto"/>
        <w:rPr>
          <w:rFonts w:ascii="Times New Roman" w:hAnsi="Times New Roman" w:cs="Times New Roman"/>
        </w:rPr>
      </w:pPr>
      <w:r w:rsidRPr="00606BA5">
        <w:rPr>
          <w:rFonts w:ascii="Times New Roman" w:hAnsi="Times New Roman" w:cs="Times New Roman"/>
        </w:rPr>
        <w:lastRenderedPageBreak/>
        <w:t xml:space="preserve">      Compared to the rest of the world, US politics, at least ideologically, is pretty tame. The country is, for all intents and purposes, center right all of the time, with periodic blips of further rightward movement. There is no “Left” in the United States; certainly not in any organizational, structural or fundraising sense, like a Labor (much less socialist) party, with robust unions, universal health care or an organized working class or </w:t>
      </w:r>
      <w:r w:rsidR="00F86D23">
        <w:rPr>
          <w:rFonts w:ascii="Times New Roman" w:hAnsi="Times New Roman" w:cs="Times New Roman"/>
        </w:rPr>
        <w:t xml:space="preserve">significant </w:t>
      </w:r>
      <w:r w:rsidRPr="00606BA5">
        <w:rPr>
          <w:rFonts w:ascii="Times New Roman" w:hAnsi="Times New Roman" w:cs="Times New Roman"/>
        </w:rPr>
        <w:t xml:space="preserve">Green Party. </w:t>
      </w:r>
    </w:p>
    <w:p w14:paraId="0A86C30F" w14:textId="77777777" w:rsidR="00B10FA3" w:rsidRPr="00606BA5" w:rsidRDefault="00B10FA3" w:rsidP="6375CABF">
      <w:pPr>
        <w:spacing w:line="480" w:lineRule="auto"/>
        <w:rPr>
          <w:rFonts w:ascii="Times New Roman" w:hAnsi="Times New Roman" w:cs="Times New Roman"/>
        </w:rPr>
      </w:pPr>
      <w:r w:rsidRPr="00606BA5">
        <w:rPr>
          <w:rFonts w:ascii="Times New Roman" w:hAnsi="Times New Roman" w:cs="Times New Roman"/>
        </w:rPr>
        <w:t xml:space="preserve">     An alienated, passive, ill-informed population can be easily manipulated. This goes without saying. In the US, this often translates into public figures discussing issues ‘for’ (implementation) the population (like gun rights or building immigration walls), but less likely to advocate “from” (prevention) policies (privacy concerns, pregnancy and birth control policies, abortion prevention, prison reform), perhaps because the “from” positions are too abstract, too analytical. One fine advantage for those who sink into far-right American politics is that the themes of anti-tax, anti-government, religion, and angry honor are always winners when elections come around. </w:t>
      </w:r>
    </w:p>
    <w:p w14:paraId="6EF5D769" w14:textId="77777777" w:rsidR="00B10FA3" w:rsidRPr="00606BA5" w:rsidRDefault="00B10FA3" w:rsidP="6375CABF">
      <w:pPr>
        <w:spacing w:line="480" w:lineRule="auto"/>
        <w:rPr>
          <w:rFonts w:ascii="Times New Roman" w:hAnsi="Times New Roman" w:cs="Times New Roman"/>
        </w:rPr>
      </w:pPr>
      <w:r w:rsidRPr="00606BA5">
        <w:rPr>
          <w:rFonts w:ascii="Times New Roman" w:hAnsi="Times New Roman" w:cs="Times New Roman"/>
        </w:rPr>
        <w:t xml:space="preserve">     Let’s take an example — a case study — of a low education population undermining their own interests and voting for officials who don’t represent them in any meaningful way. Why don’t we discuss Louisiana. Louisiana may lead the US in the “Red States that Tend to Vote Against their own Interests.” This is the center of the ‘Great Paradox,’ where appeals to social and historical conservatism are used against vital local economic issues. By and large, the social issue hysteria wins. Put simply, “traditional family values” (hetero marriage, nuclear family, dominant father), guns and religious fealty defeat health care and labor reform, not to mention racial equality. In essence, as long as white people of modest means are being manipulated by their circumstances, they will always be convinced that the undeserving </w:t>
      </w:r>
      <w:r w:rsidRPr="00606BA5">
        <w:rPr>
          <w:rFonts w:ascii="Times New Roman" w:hAnsi="Times New Roman" w:cs="Times New Roman"/>
        </w:rPr>
        <w:lastRenderedPageBreak/>
        <w:t>‘other’ will be forever cutting in line before them, and they will support removing that benefit – even if it helps them.</w:t>
      </w:r>
      <w:r w:rsidRPr="00606BA5">
        <w:rPr>
          <w:rStyle w:val="FootnoteReference"/>
          <w:rFonts w:ascii="Times New Roman" w:hAnsi="Times New Roman" w:cs="Times New Roman"/>
        </w:rPr>
        <w:footnoteReference w:id="100"/>
      </w:r>
    </w:p>
    <w:p w14:paraId="2B03E703" w14:textId="64756FC0" w:rsidR="6375CABF" w:rsidRPr="00606BA5" w:rsidRDefault="6375CABF" w:rsidP="6375CABF">
      <w:pPr>
        <w:spacing w:line="480" w:lineRule="auto"/>
        <w:rPr>
          <w:rFonts w:ascii="Times New Roman" w:hAnsi="Times New Roman" w:cs="Times New Roman"/>
        </w:rPr>
      </w:pPr>
    </w:p>
    <w:p w14:paraId="6855C37D" w14:textId="77777777" w:rsidR="00B10FA3" w:rsidRPr="00606BA5" w:rsidRDefault="00B10FA3" w:rsidP="6375CABF">
      <w:pPr>
        <w:spacing w:line="480" w:lineRule="auto"/>
        <w:rPr>
          <w:rFonts w:ascii="Times New Roman" w:hAnsi="Times New Roman" w:cs="Times New Roman"/>
          <w:sz w:val="28"/>
          <w:szCs w:val="28"/>
        </w:rPr>
      </w:pPr>
      <w:r w:rsidRPr="00606BA5">
        <w:rPr>
          <w:rFonts w:ascii="Times New Roman" w:hAnsi="Times New Roman" w:cs="Times New Roman"/>
          <w:b/>
          <w:bCs/>
          <w:sz w:val="28"/>
          <w:szCs w:val="28"/>
        </w:rPr>
        <w:t>The Puppeteers</w:t>
      </w:r>
    </w:p>
    <w:p w14:paraId="3D39856D" w14:textId="77777777" w:rsidR="00B10FA3" w:rsidRPr="00606BA5" w:rsidRDefault="00B10FA3" w:rsidP="6375CABF">
      <w:pPr>
        <w:spacing w:line="480" w:lineRule="auto"/>
        <w:rPr>
          <w:rFonts w:ascii="Times New Roman" w:hAnsi="Times New Roman" w:cs="Times New Roman"/>
        </w:rPr>
      </w:pPr>
      <w:r w:rsidRPr="00606BA5">
        <w:rPr>
          <w:rFonts w:ascii="Times New Roman" w:hAnsi="Times New Roman" w:cs="Times New Roman"/>
        </w:rPr>
        <w:t xml:space="preserve">     So, who cares about America’s working and lower middle classes? The answer is that a lot of people care, because, at present, this particular strata of American demography is the most emotionally, culturally and politically volatile. But most conservative political strategists care in the wrong way. They wish to manipulate working people, often turning them against people of their own culture and class. Financial assistance to the needy is redefined as ‘socialism,’ reproductive rights are called ‘infanticide,’ reformation of the tax structure to provide more fairness is termed ‘big government,’ and gun violence reform is simply ‘anti-American.’</w:t>
      </w:r>
    </w:p>
    <w:p w14:paraId="62C07977" w14:textId="085164DF" w:rsidR="00B10FA3" w:rsidRPr="00606BA5" w:rsidRDefault="00B10FA3" w:rsidP="6375CABF">
      <w:pPr>
        <w:spacing w:line="480" w:lineRule="auto"/>
        <w:rPr>
          <w:rFonts w:ascii="Times New Roman" w:hAnsi="Times New Roman" w:cs="Times New Roman"/>
        </w:rPr>
      </w:pPr>
      <w:r w:rsidRPr="00606BA5">
        <w:rPr>
          <w:rFonts w:ascii="Times New Roman" w:hAnsi="Times New Roman" w:cs="Times New Roman"/>
        </w:rPr>
        <w:t xml:space="preserve">      If one is older, white </w:t>
      </w:r>
      <w:r w:rsidR="00F86D23">
        <w:rPr>
          <w:rFonts w:ascii="Times New Roman" w:hAnsi="Times New Roman" w:cs="Times New Roman"/>
        </w:rPr>
        <w:t xml:space="preserve">and </w:t>
      </w:r>
      <w:r w:rsidRPr="00606BA5">
        <w:rPr>
          <w:rFonts w:ascii="Times New Roman" w:hAnsi="Times New Roman" w:cs="Times New Roman"/>
        </w:rPr>
        <w:t>male</w:t>
      </w:r>
      <w:r w:rsidR="00F86D23">
        <w:rPr>
          <w:rFonts w:ascii="Times New Roman" w:hAnsi="Times New Roman" w:cs="Times New Roman"/>
        </w:rPr>
        <w:t>,</w:t>
      </w:r>
      <w:r w:rsidRPr="00606BA5">
        <w:rPr>
          <w:rFonts w:ascii="Times New Roman" w:hAnsi="Times New Roman" w:cs="Times New Roman"/>
        </w:rPr>
        <w:t xml:space="preserve"> feeling insecure at some level, they may see the mainstream of Christianity as a giving, forgiving faith, or they might be told instead that the message is one of economic accumulation as a reward for the ‘winners’ in the economy. It can be quite confusing. Is the cowboy icon in American self</w:t>
      </w:r>
      <w:r w:rsidR="00F86D23">
        <w:rPr>
          <w:rFonts w:ascii="Times New Roman" w:hAnsi="Times New Roman" w:cs="Times New Roman"/>
        </w:rPr>
        <w:t>-</w:t>
      </w:r>
      <w:r w:rsidRPr="00606BA5">
        <w:rPr>
          <w:rFonts w:ascii="Times New Roman" w:hAnsi="Times New Roman" w:cs="Times New Roman"/>
        </w:rPr>
        <w:t>identity a brave, self</w:t>
      </w:r>
      <w:r w:rsidR="00F86D23">
        <w:rPr>
          <w:rFonts w:ascii="Times New Roman" w:hAnsi="Times New Roman" w:cs="Times New Roman"/>
        </w:rPr>
        <w:t>-</w:t>
      </w:r>
      <w:r w:rsidRPr="00606BA5">
        <w:rPr>
          <w:rFonts w:ascii="Times New Roman" w:hAnsi="Times New Roman" w:cs="Times New Roman"/>
        </w:rPr>
        <w:t xml:space="preserve">reliant American individualist, a poor, single man with little else to offer (the historical truth), or a gun-slinging hero of the Old West? Which archetypes is one to follow? The working-class white man is a victim, so that is hardly desirable. Women? A threat to the status quo in the workplace. Minorities? Ditto. The Other. </w:t>
      </w:r>
    </w:p>
    <w:p w14:paraId="0D00C664" w14:textId="77777777" w:rsidR="00B10FA3" w:rsidRDefault="00B10FA3" w:rsidP="6375CABF">
      <w:pPr>
        <w:spacing w:line="480" w:lineRule="auto"/>
        <w:rPr>
          <w:rFonts w:ascii="Times New Roman" w:hAnsi="Times New Roman" w:cs="Times New Roman"/>
        </w:rPr>
      </w:pPr>
      <w:r w:rsidRPr="00606BA5">
        <w:rPr>
          <w:rFonts w:ascii="Times New Roman" w:hAnsi="Times New Roman" w:cs="Times New Roman"/>
        </w:rPr>
        <w:t xml:space="preserve">     The Republican </w:t>
      </w:r>
      <w:r w:rsidRPr="00606BA5">
        <w:rPr>
          <w:rFonts w:ascii="Times New Roman" w:hAnsi="Times New Roman" w:cs="Times New Roman"/>
          <w:i/>
          <w:iCs/>
        </w:rPr>
        <w:t>Tea Party</w:t>
      </w:r>
      <w:r w:rsidRPr="00606BA5">
        <w:rPr>
          <w:rFonts w:ascii="Times New Roman" w:hAnsi="Times New Roman" w:cs="Times New Roman"/>
        </w:rPr>
        <w:t xml:space="preserve"> movement was able to take these negative tropes and turn them into badges of honor, turning the scourge of white victimhood and powerlessness into </w:t>
      </w:r>
      <w:r w:rsidRPr="00606BA5">
        <w:rPr>
          <w:rFonts w:ascii="Times New Roman" w:hAnsi="Times New Roman" w:cs="Times New Roman"/>
        </w:rPr>
        <w:lastRenderedPageBreak/>
        <w:t xml:space="preserve">symbols of rage and rectification. By their logic, the cowboy was always a master; the white person understood their place social arrangement, so long as each group understood its place. </w:t>
      </w:r>
    </w:p>
    <w:p w14:paraId="1744B6DD" w14:textId="77777777" w:rsidR="00BB4438" w:rsidRPr="00606BA5" w:rsidRDefault="00BB4438" w:rsidP="6375CABF">
      <w:pPr>
        <w:spacing w:line="480" w:lineRule="auto"/>
        <w:rPr>
          <w:rFonts w:ascii="Times New Roman" w:hAnsi="Times New Roman" w:cs="Times New Roman"/>
        </w:rPr>
      </w:pPr>
    </w:p>
    <w:p w14:paraId="71C79CFA" w14:textId="068A88A5" w:rsidR="00B10FA3" w:rsidRPr="00F86D23" w:rsidRDefault="00B10FA3" w:rsidP="6375CABF">
      <w:pPr>
        <w:spacing w:line="480" w:lineRule="auto"/>
        <w:rPr>
          <w:rFonts w:ascii="Times New Roman" w:hAnsi="Times New Roman" w:cs="Times New Roman"/>
          <w:i/>
          <w:iCs/>
          <w:sz w:val="28"/>
          <w:szCs w:val="28"/>
        </w:rPr>
      </w:pPr>
      <w:r w:rsidRPr="00F86D23">
        <w:rPr>
          <w:rFonts w:ascii="Times New Roman" w:hAnsi="Times New Roman" w:cs="Times New Roman"/>
          <w:b/>
          <w:bCs/>
          <w:i/>
          <w:iCs/>
          <w:sz w:val="28"/>
          <w:szCs w:val="28"/>
        </w:rPr>
        <w:t>The Working World</w:t>
      </w:r>
    </w:p>
    <w:p w14:paraId="3D4F6F1F" w14:textId="251FFE5E" w:rsidR="00B10FA3" w:rsidRPr="00606BA5" w:rsidRDefault="00B10FA3" w:rsidP="6375CABF">
      <w:pPr>
        <w:spacing w:line="480" w:lineRule="auto"/>
        <w:ind w:hanging="720"/>
        <w:rPr>
          <w:rFonts w:ascii="Times New Roman" w:hAnsi="Times New Roman" w:cs="Times New Roman"/>
        </w:rPr>
      </w:pPr>
      <w:r w:rsidRPr="00606BA5">
        <w:rPr>
          <w:rFonts w:ascii="Times New Roman" w:hAnsi="Times New Roman" w:cs="Times New Roman"/>
        </w:rPr>
        <w:t xml:space="preserve">                 To put it simply, workers in the US have not fared well for about a generation. In 2011, for example, working class contribution to the GNP was the lowest that it had ever been, and Walmart Corp owned the wealth of 40% of the American population.  To ask the obvious question; why was this allowed to happen? </w:t>
      </w:r>
      <w:r w:rsidR="0088264E">
        <w:rPr>
          <w:rFonts w:ascii="Times New Roman" w:hAnsi="Times New Roman" w:cs="Times New Roman"/>
        </w:rPr>
        <w:t xml:space="preserve">Well, there was, for starters, </w:t>
      </w:r>
      <w:r w:rsidRPr="00606BA5">
        <w:rPr>
          <w:rFonts w:ascii="Times New Roman" w:hAnsi="Times New Roman" w:cs="Times New Roman"/>
        </w:rPr>
        <w:t xml:space="preserve">NAFTA, no minimum wage increase for decades, </w:t>
      </w:r>
      <w:r w:rsidR="0088264E">
        <w:rPr>
          <w:rFonts w:ascii="Times New Roman" w:hAnsi="Times New Roman" w:cs="Times New Roman"/>
        </w:rPr>
        <w:t xml:space="preserve">and </w:t>
      </w:r>
      <w:r w:rsidRPr="00606BA5">
        <w:rPr>
          <w:rFonts w:ascii="Times New Roman" w:hAnsi="Times New Roman" w:cs="Times New Roman"/>
        </w:rPr>
        <w:t xml:space="preserve">fierce resistance to Obamacare. Well, there are no clear, easy answers, but several things do appear as possible contributors. First, women entered the work force in large numbers. This fact changed the dynamics of millions of homes, in ways that we can’t even begin to go into here. Second, credit cards became more common, and easier to obtain. Thus, it became much easier to live the life that one wanted, rather than the life that one had. But that life was to be paid for on borrowed time, at high interest.      </w:t>
      </w:r>
    </w:p>
    <w:p w14:paraId="11DE1AEF" w14:textId="4C21A1F7" w:rsidR="00B10FA3" w:rsidRPr="00606BA5" w:rsidRDefault="00B10FA3" w:rsidP="6375CABF">
      <w:pPr>
        <w:spacing w:line="480" w:lineRule="auto"/>
        <w:ind w:hanging="720"/>
        <w:rPr>
          <w:rFonts w:ascii="Times New Roman" w:hAnsi="Times New Roman" w:cs="Times New Roman"/>
        </w:rPr>
      </w:pPr>
      <w:r w:rsidRPr="00606BA5">
        <w:rPr>
          <w:rFonts w:ascii="Times New Roman" w:hAnsi="Times New Roman" w:cs="Times New Roman"/>
        </w:rPr>
        <w:t xml:space="preserve">     </w:t>
      </w:r>
    </w:p>
    <w:p w14:paraId="10BBFCE6" w14:textId="77777777" w:rsidR="00B10FA3" w:rsidRPr="00606BA5" w:rsidRDefault="00B10FA3" w:rsidP="6375CABF">
      <w:pPr>
        <w:spacing w:line="480" w:lineRule="auto"/>
        <w:rPr>
          <w:rFonts w:ascii="Times New Roman" w:hAnsi="Times New Roman" w:cs="Times New Roman"/>
          <w:sz w:val="28"/>
          <w:szCs w:val="28"/>
        </w:rPr>
      </w:pPr>
      <w:r w:rsidRPr="00606BA5">
        <w:rPr>
          <w:rFonts w:ascii="Times New Roman" w:hAnsi="Times New Roman" w:cs="Times New Roman"/>
        </w:rPr>
        <w:t xml:space="preserve"> </w:t>
      </w:r>
      <w:r w:rsidRPr="00606BA5">
        <w:rPr>
          <w:rFonts w:ascii="Times New Roman" w:hAnsi="Times New Roman" w:cs="Times New Roman"/>
          <w:b/>
          <w:bCs/>
          <w:i/>
          <w:iCs/>
          <w:sz w:val="28"/>
          <w:szCs w:val="28"/>
        </w:rPr>
        <w:t>The Democrats</w:t>
      </w:r>
    </w:p>
    <w:p w14:paraId="16E1AE44" w14:textId="441CCF61" w:rsidR="00B10FA3" w:rsidRPr="00606BA5" w:rsidRDefault="00B10FA3" w:rsidP="6375CABF">
      <w:pPr>
        <w:spacing w:line="480" w:lineRule="auto"/>
        <w:ind w:hanging="720"/>
        <w:rPr>
          <w:rFonts w:ascii="Times New Roman" w:hAnsi="Times New Roman" w:cs="Times New Roman"/>
        </w:rPr>
      </w:pPr>
      <w:r w:rsidRPr="00606BA5">
        <w:rPr>
          <w:rFonts w:ascii="Times New Roman" w:hAnsi="Times New Roman" w:cs="Times New Roman"/>
        </w:rPr>
        <w:t xml:space="preserve">                    During the Obama years (2008-2016), there was, certainly, a reach out to non</w:t>
      </w:r>
      <w:r w:rsidR="4A09D2A1" w:rsidRPr="00606BA5">
        <w:rPr>
          <w:rFonts w:ascii="Times New Roman" w:hAnsi="Times New Roman" w:cs="Times New Roman"/>
        </w:rPr>
        <w:t>-</w:t>
      </w:r>
      <w:r w:rsidRPr="00606BA5">
        <w:rPr>
          <w:rFonts w:ascii="Times New Roman" w:hAnsi="Times New Roman" w:cs="Times New Roman"/>
        </w:rPr>
        <w:t xml:space="preserve">privileged elements of the population. Barack’s wife, Michelle, had grown up in what could little better be called a war zone on Chicago’s South Side. To emerge alive from this culture was a feat; to thrive, go to law school and develop a career was a nothing short of a miracle. But Democrats from this period – liberals – began to espouse a subtlety that was not always evident in the “gay, gender, equality” message that was omnipresent in Democratic debate. Away from these social issues, the Democrats had, for years, </w:t>
      </w:r>
      <w:r w:rsidRPr="00606BA5">
        <w:rPr>
          <w:rFonts w:ascii="Times New Roman" w:hAnsi="Times New Roman" w:cs="Times New Roman"/>
          <w:i/>
          <w:iCs/>
        </w:rPr>
        <w:t>moved away both from working class politics</w:t>
      </w:r>
      <w:r w:rsidRPr="00606BA5">
        <w:rPr>
          <w:rFonts w:ascii="Times New Roman" w:hAnsi="Times New Roman" w:cs="Times New Roman"/>
        </w:rPr>
        <w:t xml:space="preserve">, but </w:t>
      </w:r>
      <w:r w:rsidRPr="00606BA5">
        <w:rPr>
          <w:rFonts w:ascii="Times New Roman" w:hAnsi="Times New Roman" w:cs="Times New Roman"/>
        </w:rPr>
        <w:lastRenderedPageBreak/>
        <w:t xml:space="preserve">also from direct identification with African American and Latin American constituencies, who became increasingly taken for granted. The move away from working class whites was a calculated effort. At some point, the party decided that they were not simply, as a group, worth defending. At some level, the switch was flipped; as a result, blacks, women and Hispanics counted for more electorally in midwestern and southern states than did white, working class votes – which were considered long lost to ideologically reaction-spouting Republicans. </w:t>
      </w:r>
    </w:p>
    <w:p w14:paraId="6AE72EB5" w14:textId="77777777" w:rsidR="00B10FA3" w:rsidRPr="00606BA5" w:rsidRDefault="00B10FA3" w:rsidP="6375CABF">
      <w:pPr>
        <w:spacing w:line="480" w:lineRule="auto"/>
        <w:ind w:hanging="720"/>
        <w:rPr>
          <w:rFonts w:ascii="Times New Roman" w:hAnsi="Times New Roman" w:cs="Times New Roman"/>
        </w:rPr>
      </w:pPr>
      <w:r w:rsidRPr="00606BA5">
        <w:rPr>
          <w:rFonts w:ascii="Times New Roman" w:hAnsi="Times New Roman" w:cs="Times New Roman"/>
        </w:rPr>
        <w:t xml:space="preserve">                   Interest in equality for Democrats, while still a rhetorical cue, dropped off in any meaningful way. Political equality is easy to advocate; economic equality creates conflict, and is politically hard. For example, voting rights is easy to support; there is no direct economic cost. Health care equality is not. Priorities emerge. It is no secret that Barack Obama raised more Wall Street cash than John McCain. But, far from moving towards a “color blind” economy, now President Obama had a different message for us. Perhaps the Republicans represented the “top” 1%, but, according to several credible sources, the Democrats were not far behind.</w:t>
      </w:r>
      <w:r w:rsidRPr="00606BA5">
        <w:rPr>
          <w:rStyle w:val="FootnoteReference"/>
          <w:rFonts w:ascii="Times New Roman" w:hAnsi="Times New Roman" w:cs="Times New Roman"/>
        </w:rPr>
        <w:footnoteReference w:id="101"/>
      </w:r>
    </w:p>
    <w:p w14:paraId="41F7C4F3" w14:textId="77777777" w:rsidR="00B10FA3" w:rsidRPr="00606BA5" w:rsidRDefault="00B10FA3" w:rsidP="6375CABF">
      <w:pPr>
        <w:spacing w:line="480" w:lineRule="auto"/>
        <w:rPr>
          <w:rFonts w:ascii="Times New Roman" w:hAnsi="Times New Roman" w:cs="Times New Roman"/>
        </w:rPr>
      </w:pPr>
      <w:r w:rsidRPr="00606BA5">
        <w:rPr>
          <w:rFonts w:ascii="Times New Roman" w:hAnsi="Times New Roman" w:cs="Times New Roman"/>
          <w:i/>
          <w:iCs/>
        </w:rPr>
        <w:t xml:space="preserve">     So, where does power come from in the US</w:t>
      </w:r>
      <w:r w:rsidRPr="00606BA5">
        <w:rPr>
          <w:rFonts w:ascii="Times New Roman" w:hAnsi="Times New Roman" w:cs="Times New Roman"/>
        </w:rPr>
        <w:t>? We would like to believe that the people control their Republic. Ha. Not even close. Influential groups and individuals have a leg up on the game. Generically, power in the US derives from merit, learning and status – but we all know that this is just the official game. In fact the “</w:t>
      </w:r>
      <w:proofErr w:type="spellStart"/>
      <w:r w:rsidRPr="00606BA5">
        <w:rPr>
          <w:rFonts w:ascii="Times New Roman" w:hAnsi="Times New Roman" w:cs="Times New Roman"/>
        </w:rPr>
        <w:t>valedictocracy</w:t>
      </w:r>
      <w:proofErr w:type="spellEnd"/>
      <w:r w:rsidRPr="00606BA5">
        <w:rPr>
          <w:rFonts w:ascii="Times New Roman" w:hAnsi="Times New Roman" w:cs="Times New Roman"/>
        </w:rPr>
        <w:t>” is more real, as relatives of prestigious schools are more likely to attend the same. America has a kind of ‘class blindness,’ in that they are not raised to think that some people are, by birth or race, better and more privileged than others. But another kind of blindness refuses to accept the generational preservation of class privilege. Odd, no?</w:t>
      </w:r>
    </w:p>
    <w:p w14:paraId="594B6708" w14:textId="77777777" w:rsidR="00B10FA3" w:rsidRPr="00606BA5" w:rsidRDefault="00B10FA3" w:rsidP="6375CABF">
      <w:pPr>
        <w:spacing w:line="480" w:lineRule="auto"/>
        <w:rPr>
          <w:rFonts w:ascii="Times New Roman" w:hAnsi="Times New Roman" w:cs="Times New Roman"/>
        </w:rPr>
      </w:pPr>
      <w:r w:rsidRPr="00606BA5">
        <w:rPr>
          <w:rFonts w:ascii="Times New Roman" w:hAnsi="Times New Roman" w:cs="Times New Roman"/>
        </w:rPr>
        <w:lastRenderedPageBreak/>
        <w:t xml:space="preserve">     The notion that such an arrangement is systemic and generational is particularly hard for Americans to digest, as it flies directly in the face of some dominant American myths regarding equality, opportunity and color blindness. Professional people are not generally perceived as a ‘class,’ per se. Their cache is education, not wealth. They possess the “power to prescribe,” to give advice. And, in their professional milieu, they need only answer to their peers. This is why one needs to hire a lawyer to make sense of the language in a contract.</w:t>
      </w:r>
    </w:p>
    <w:p w14:paraId="3CBC860F" w14:textId="77777777" w:rsidR="00B10FA3" w:rsidRPr="00606BA5" w:rsidRDefault="00B10FA3" w:rsidP="6375CABF">
      <w:pPr>
        <w:spacing w:line="480" w:lineRule="auto"/>
        <w:rPr>
          <w:rFonts w:ascii="Times New Roman" w:hAnsi="Times New Roman" w:cs="Times New Roman"/>
        </w:rPr>
      </w:pPr>
      <w:r w:rsidRPr="00606BA5">
        <w:rPr>
          <w:rFonts w:ascii="Times New Roman" w:hAnsi="Times New Roman" w:cs="Times New Roman"/>
        </w:rPr>
        <w:t xml:space="preserve">      Professionals guard their privilege by restricting the number of members to their cohort. While typically affluent, professionals are driven primarily by the </w:t>
      </w:r>
      <w:r w:rsidRPr="00606BA5">
        <w:rPr>
          <w:rFonts w:ascii="Times New Roman" w:hAnsi="Times New Roman" w:cs="Times New Roman"/>
          <w:i/>
          <w:iCs/>
        </w:rPr>
        <w:t>ownership of knowledge</w:t>
      </w:r>
      <w:r w:rsidRPr="00606BA5">
        <w:rPr>
          <w:rFonts w:ascii="Times New Roman" w:hAnsi="Times New Roman" w:cs="Times New Roman"/>
        </w:rPr>
        <w:t>, and this knowledge is often inaccessible for those outside of the professional clique. Try to obtain free legal guidance online, try to buy glasses without a prescription. This knowledge is concealed; it is not for public consumption, and must be paid for in a structured way.</w:t>
      </w:r>
      <w:r w:rsidRPr="00606BA5">
        <w:rPr>
          <w:rStyle w:val="FootnoteReference"/>
          <w:rFonts w:ascii="Times New Roman" w:hAnsi="Times New Roman" w:cs="Times New Roman"/>
        </w:rPr>
        <w:footnoteReference w:id="102"/>
      </w:r>
      <w:r w:rsidRPr="00606BA5">
        <w:rPr>
          <w:rFonts w:ascii="Times New Roman" w:hAnsi="Times New Roman" w:cs="Times New Roman"/>
        </w:rPr>
        <w:t xml:space="preserve"> </w:t>
      </w:r>
    </w:p>
    <w:p w14:paraId="276FB35C" w14:textId="77777777" w:rsidR="00B10FA3" w:rsidRPr="00606BA5" w:rsidRDefault="00B10FA3" w:rsidP="6375CABF">
      <w:pPr>
        <w:spacing w:line="480" w:lineRule="auto"/>
        <w:rPr>
          <w:rFonts w:ascii="Times New Roman" w:hAnsi="Times New Roman" w:cs="Times New Roman"/>
        </w:rPr>
      </w:pPr>
      <w:r w:rsidRPr="00606BA5">
        <w:rPr>
          <w:rFonts w:ascii="Times New Roman" w:hAnsi="Times New Roman" w:cs="Times New Roman"/>
        </w:rPr>
        <w:t xml:space="preserve">     The United States has changed in recent years. Unions are weaker than they have ever been, corporations name stadiums in cities, men are increasingly choosing not to attend university, and a new predatory business model has taken over in banking, health care and education. Even incarceration in state and federal prisons has, for years been increasingly under an economic model of private control. Perhaps crime itself has been shown to have positive market value. </w:t>
      </w:r>
    </w:p>
    <w:p w14:paraId="034095F6" w14:textId="630017CF" w:rsidR="00B10FA3" w:rsidRPr="00606BA5" w:rsidRDefault="00B10FA3" w:rsidP="6375CABF">
      <w:pPr>
        <w:spacing w:line="480" w:lineRule="auto"/>
        <w:rPr>
          <w:rFonts w:ascii="Times New Roman" w:hAnsi="Times New Roman" w:cs="Times New Roman"/>
        </w:rPr>
      </w:pPr>
      <w:r w:rsidRPr="00606BA5">
        <w:rPr>
          <w:rFonts w:ascii="Times New Roman" w:hAnsi="Times New Roman" w:cs="Times New Roman"/>
        </w:rPr>
        <w:t xml:space="preserve">     Democrats have tended to fall, rhetorically, in line with the ‘falling upward’ elements of the American economy. To be sure, the language is always about economic opportunity and equality, but the political initiatives have tended to lean towards the ‘freedom from’ rather than the ‘freedom towards.</w:t>
      </w:r>
      <w:r w:rsidR="0088264E">
        <w:rPr>
          <w:rFonts w:ascii="Times New Roman" w:hAnsi="Times New Roman" w:cs="Times New Roman"/>
        </w:rPr>
        <w:t>’</w:t>
      </w:r>
      <w:r w:rsidRPr="00606BA5">
        <w:rPr>
          <w:rFonts w:ascii="Times New Roman" w:hAnsi="Times New Roman" w:cs="Times New Roman"/>
        </w:rPr>
        <w:t xml:space="preserve"> In other words, policies to change practice and provide new opportunities have given way to policies that cause no harm, maintaining the status quo. In simple English, protecting gay rights ok, daycare assistance for single mothers less ok. Health </w:t>
      </w:r>
      <w:r w:rsidRPr="00606BA5">
        <w:rPr>
          <w:rFonts w:ascii="Times New Roman" w:hAnsi="Times New Roman" w:cs="Times New Roman"/>
        </w:rPr>
        <w:lastRenderedPageBreak/>
        <w:t>care good. Universal, single payer health care less good. Gun control good. Strict controls over automatic and other weapons less good. Support for democracy around the globe good. Exceptions for Afghanistan and Iraq less good. (Vladamir Putin’s strongest argument today for the invasion of Ukraine is that it is no different than the unprovoked US invasion of Iraq in 2003. Simple regime change.)</w:t>
      </w:r>
    </w:p>
    <w:p w14:paraId="5FC5A10F" w14:textId="1A647220" w:rsidR="00B10FA3" w:rsidRPr="00606BA5" w:rsidRDefault="00B10FA3" w:rsidP="6375CABF">
      <w:pPr>
        <w:spacing w:line="480" w:lineRule="auto"/>
        <w:rPr>
          <w:rFonts w:ascii="Times New Roman" w:hAnsi="Times New Roman" w:cs="Times New Roman"/>
        </w:rPr>
      </w:pPr>
      <w:r w:rsidRPr="00606BA5">
        <w:rPr>
          <w:rFonts w:ascii="Times New Roman" w:hAnsi="Times New Roman" w:cs="Times New Roman"/>
        </w:rPr>
        <w:t xml:space="preserve">    Many contemporary American Democrats believe, like Obama, in </w:t>
      </w:r>
      <w:r w:rsidRPr="00606BA5">
        <w:rPr>
          <w:rFonts w:ascii="Times New Roman" w:hAnsi="Times New Roman" w:cs="Times New Roman"/>
          <w:i/>
          <w:iCs/>
        </w:rPr>
        <w:t>education</w:t>
      </w:r>
      <w:r w:rsidRPr="00606BA5">
        <w:rPr>
          <w:rFonts w:ascii="Times New Roman" w:hAnsi="Times New Roman" w:cs="Times New Roman"/>
        </w:rPr>
        <w:t xml:space="preserve"> as the cure for all social ills. Individual excellence is the model, and, in the liberal community, there is a further obsession with </w:t>
      </w:r>
      <w:r w:rsidRPr="00606BA5">
        <w:rPr>
          <w:rFonts w:ascii="Times New Roman" w:hAnsi="Times New Roman" w:cs="Times New Roman"/>
          <w:i/>
          <w:iCs/>
        </w:rPr>
        <w:t>consensus</w:t>
      </w:r>
      <w:r w:rsidRPr="00606BA5">
        <w:rPr>
          <w:rFonts w:ascii="Times New Roman" w:hAnsi="Times New Roman" w:cs="Times New Roman"/>
        </w:rPr>
        <w:t>. This is a constant irritant with the Biden administration – the constant search for bipartisanship, for reaching across the aisle in Congress. To put it simply – Democrats don’t understand power in the way that Republicans do. Steve Bannon, for all of his faults, understands the politics of cynicism and self</w:t>
      </w:r>
      <w:r w:rsidR="13E09D60" w:rsidRPr="00606BA5">
        <w:rPr>
          <w:rFonts w:ascii="Times New Roman" w:hAnsi="Times New Roman" w:cs="Times New Roman"/>
        </w:rPr>
        <w:t>-</w:t>
      </w:r>
      <w:r w:rsidRPr="00606BA5">
        <w:rPr>
          <w:rFonts w:ascii="Times New Roman" w:hAnsi="Times New Roman" w:cs="Times New Roman"/>
        </w:rPr>
        <w:t xml:space="preserve">interest. He and his compatriots know how to get to where they are going, whether it be federal and Supreme Court appointments, the repeal of abortion rulings, or the untethered illegality of the presidency and the power of the executive branch. They get it. Democrats wallow in truisms about fairness and democratic norms; Republicans play the game with brass knuckles. </w:t>
      </w:r>
    </w:p>
    <w:p w14:paraId="3BC09A1D" w14:textId="77777777" w:rsidR="00B10FA3" w:rsidRPr="00606BA5" w:rsidRDefault="00B10FA3" w:rsidP="6375CABF">
      <w:pPr>
        <w:spacing w:line="480" w:lineRule="auto"/>
        <w:rPr>
          <w:rFonts w:ascii="Times New Roman" w:hAnsi="Times New Roman" w:cs="Times New Roman"/>
        </w:rPr>
      </w:pPr>
      <w:r w:rsidRPr="00606BA5">
        <w:rPr>
          <w:rFonts w:ascii="Times New Roman" w:hAnsi="Times New Roman" w:cs="Times New Roman"/>
        </w:rPr>
        <w:t xml:space="preserve">     Years ago, I worked at the Congressional Research Service, a research arm of the Library of Congress, in Washington, DC. One of the leading analysts of parliamentary procedure there once confided to me “the Democrats are lazy, especially the liberals. They don’t learn parliamentary procedure. As a result, they make mistakes on the floor of the House. They believe that they have the</w:t>
      </w:r>
      <w:r w:rsidRPr="00606BA5">
        <w:rPr>
          <w:rFonts w:ascii="Times New Roman" w:hAnsi="Times New Roman" w:cs="Times New Roman"/>
          <w:i/>
          <w:iCs/>
        </w:rPr>
        <w:t xml:space="preserve"> moral</w:t>
      </w:r>
      <w:r w:rsidRPr="00606BA5">
        <w:rPr>
          <w:rFonts w:ascii="Times New Roman" w:hAnsi="Times New Roman" w:cs="Times New Roman"/>
        </w:rPr>
        <w:t xml:space="preserve"> argument, but they lose the floor fight because they are not prepared for the strategic work. Look at Jesse Helms in the Senate (this was the 1980s), Newt Gingrich in the House. They are utterly cynical in their views, but they know how to win. They understand the dynamics of power.”</w:t>
      </w:r>
      <w:r w:rsidRPr="00606BA5">
        <w:rPr>
          <w:rStyle w:val="FootnoteReference"/>
          <w:rFonts w:ascii="Times New Roman" w:hAnsi="Times New Roman" w:cs="Times New Roman"/>
        </w:rPr>
        <w:footnoteReference w:id="103"/>
      </w:r>
    </w:p>
    <w:p w14:paraId="66E516F6" w14:textId="40F2E314" w:rsidR="00B10FA3" w:rsidRPr="00606BA5" w:rsidRDefault="00B10FA3" w:rsidP="6375CABF">
      <w:pPr>
        <w:spacing w:line="480" w:lineRule="auto"/>
        <w:rPr>
          <w:rFonts w:ascii="Times New Roman" w:hAnsi="Times New Roman" w:cs="Times New Roman"/>
        </w:rPr>
      </w:pPr>
      <w:r w:rsidRPr="00606BA5">
        <w:rPr>
          <w:rFonts w:ascii="Times New Roman" w:hAnsi="Times New Roman" w:cs="Times New Roman"/>
        </w:rPr>
        <w:lastRenderedPageBreak/>
        <w:t xml:space="preserve">     The Democrats made a huge mistake in 1972, during the McGovern Presidential campaign. McGovern was a decent man</w:t>
      </w:r>
      <w:r w:rsidR="3DC1CD87" w:rsidRPr="00606BA5">
        <w:rPr>
          <w:rFonts w:ascii="Times New Roman" w:hAnsi="Times New Roman" w:cs="Times New Roman"/>
        </w:rPr>
        <w:t xml:space="preserve">; he </w:t>
      </w:r>
      <w:r w:rsidRPr="00606BA5">
        <w:rPr>
          <w:rFonts w:ascii="Times New Roman" w:hAnsi="Times New Roman" w:cs="Times New Roman"/>
        </w:rPr>
        <w:t>ran a clean campaign against Richard Nixon. But the Democrats changed the nomination system, permitting open primaries and locking out the power of white, working-class political machines, such as Richard Daley’s in Chicago. While the move was intended as a well</w:t>
      </w:r>
      <w:r w:rsidR="7167098C" w:rsidRPr="00606BA5">
        <w:rPr>
          <w:rFonts w:ascii="Times New Roman" w:hAnsi="Times New Roman" w:cs="Times New Roman"/>
        </w:rPr>
        <w:t>-</w:t>
      </w:r>
      <w:r w:rsidRPr="00606BA5">
        <w:rPr>
          <w:rFonts w:ascii="Times New Roman" w:hAnsi="Times New Roman" w:cs="Times New Roman"/>
        </w:rPr>
        <w:t>intended effort to open the nomination apparatus, and to provide greater transparency, the end result was to cancel (often corrupt but reliable) white, working</w:t>
      </w:r>
      <w:r w:rsidR="7DFD76FF" w:rsidRPr="00606BA5">
        <w:rPr>
          <w:rFonts w:ascii="Times New Roman" w:hAnsi="Times New Roman" w:cs="Times New Roman"/>
        </w:rPr>
        <w:t>-</w:t>
      </w:r>
      <w:r w:rsidRPr="00606BA5">
        <w:rPr>
          <w:rFonts w:ascii="Times New Roman" w:hAnsi="Times New Roman" w:cs="Times New Roman"/>
        </w:rPr>
        <w:t xml:space="preserve">class machine elements and constituencies, pushing them into the hands of the Republicans. </w:t>
      </w:r>
    </w:p>
    <w:p w14:paraId="7DAEBFB1" w14:textId="77777777" w:rsidR="00B10FA3" w:rsidRPr="00606BA5" w:rsidRDefault="00B10FA3" w:rsidP="6375CABF">
      <w:pPr>
        <w:spacing w:line="480" w:lineRule="auto"/>
        <w:rPr>
          <w:rFonts w:ascii="Times New Roman" w:hAnsi="Times New Roman" w:cs="Times New Roman"/>
        </w:rPr>
      </w:pPr>
      <w:r w:rsidRPr="00606BA5">
        <w:rPr>
          <w:rFonts w:ascii="Times New Roman" w:hAnsi="Times New Roman" w:cs="Times New Roman"/>
        </w:rPr>
        <w:t xml:space="preserve">     Imposed quotas for women and minorities only drove the dagger deeper. During the 1972 election, in fact, huge numbers of voters, who had supported Democrats since the Depression years of the 1930s, jumped ship, as they no longer recognized their party.</w:t>
      </w:r>
      <w:r w:rsidRPr="00606BA5">
        <w:rPr>
          <w:rStyle w:val="FootnoteReference"/>
          <w:rFonts w:ascii="Times New Roman" w:hAnsi="Times New Roman" w:cs="Times New Roman"/>
        </w:rPr>
        <w:footnoteReference w:id="104"/>
      </w:r>
      <w:r w:rsidRPr="00606BA5">
        <w:rPr>
          <w:rFonts w:ascii="Times New Roman" w:hAnsi="Times New Roman" w:cs="Times New Roman"/>
        </w:rPr>
        <w:t xml:space="preserve"> The post 1968 Democratic party was focused towards the educated, minorities, the urban and the young.</w:t>
      </w:r>
    </w:p>
    <w:p w14:paraId="33FCF1D2" w14:textId="4435CBDE" w:rsidR="00B10FA3" w:rsidRPr="00606BA5" w:rsidRDefault="00B10FA3" w:rsidP="6375CABF">
      <w:pPr>
        <w:spacing w:line="480" w:lineRule="auto"/>
        <w:rPr>
          <w:rFonts w:ascii="Times New Roman" w:hAnsi="Times New Roman" w:cs="Times New Roman"/>
        </w:rPr>
      </w:pPr>
      <w:r w:rsidRPr="00606BA5">
        <w:rPr>
          <w:rFonts w:ascii="Times New Roman" w:hAnsi="Times New Roman" w:cs="Times New Roman"/>
        </w:rPr>
        <w:t xml:space="preserve">     Over time, the idea that workers should have dignity and respect gave way to the notion that only self</w:t>
      </w:r>
      <w:r w:rsidR="4B7A16AC" w:rsidRPr="00606BA5">
        <w:rPr>
          <w:rFonts w:ascii="Times New Roman" w:hAnsi="Times New Roman" w:cs="Times New Roman"/>
        </w:rPr>
        <w:t>-</w:t>
      </w:r>
      <w:r w:rsidRPr="00606BA5">
        <w:rPr>
          <w:rFonts w:ascii="Times New Roman" w:hAnsi="Times New Roman" w:cs="Times New Roman"/>
        </w:rPr>
        <w:t>help and personal improvement was the only way to advancement. Increasingly, “worth” was defined by educational success. Looked at another way, people deserved what they reaped based on their life decisions. Worth was based on school success, a very cynical rationalization of inequality in the US. To add to the equation, Wall Street profits were not a product of higher education, but of power.</w:t>
      </w:r>
      <w:r w:rsidRPr="00606BA5">
        <w:rPr>
          <w:rStyle w:val="FootnoteReference"/>
          <w:rFonts w:ascii="Times New Roman" w:hAnsi="Times New Roman" w:cs="Times New Roman"/>
        </w:rPr>
        <w:footnoteReference w:id="105"/>
      </w:r>
    </w:p>
    <w:p w14:paraId="09D5DD55" w14:textId="77777777" w:rsidR="00B10FA3" w:rsidRPr="00606BA5" w:rsidRDefault="00B10FA3" w:rsidP="6375CABF">
      <w:pPr>
        <w:spacing w:line="480" w:lineRule="auto"/>
        <w:rPr>
          <w:rFonts w:ascii="Times New Roman" w:hAnsi="Times New Roman" w:cs="Times New Roman"/>
        </w:rPr>
      </w:pPr>
      <w:r w:rsidRPr="00606BA5">
        <w:rPr>
          <w:rFonts w:ascii="Times New Roman" w:hAnsi="Times New Roman" w:cs="Times New Roman"/>
        </w:rPr>
        <w:t xml:space="preserve">     NAFTA might have been the clearest example of brazen class politics in the past generation. The selling point of the treaty was opportunity; more jobs, more access. In fact, it was about taking jobs out of the US (and 700,000 jobs did leave), and providing employers in the US with a new tool – to threaten employees with departure to Mexico if they dared discuss </w:t>
      </w:r>
      <w:r w:rsidRPr="00606BA5">
        <w:rPr>
          <w:rFonts w:ascii="Times New Roman" w:hAnsi="Times New Roman" w:cs="Times New Roman"/>
        </w:rPr>
        <w:lastRenderedPageBreak/>
        <w:t>raise increases, workplace improvement or unionization.</w:t>
      </w:r>
      <w:r w:rsidRPr="00606BA5">
        <w:rPr>
          <w:rStyle w:val="FootnoteReference"/>
          <w:rFonts w:ascii="Times New Roman" w:hAnsi="Times New Roman" w:cs="Times New Roman"/>
        </w:rPr>
        <w:footnoteReference w:id="106"/>
      </w:r>
      <w:r w:rsidRPr="00606BA5">
        <w:rPr>
          <w:rFonts w:ascii="Times New Roman" w:hAnsi="Times New Roman" w:cs="Times New Roman"/>
        </w:rPr>
        <w:t xml:space="preserve">  Bill Clinton was a shrewd politician, but he sold a (successful) brand of politics that has not held up well over time. </w:t>
      </w:r>
    </w:p>
    <w:p w14:paraId="6C98C9C3" w14:textId="77777777" w:rsidR="00B10FA3" w:rsidRPr="00606BA5" w:rsidRDefault="00B10FA3" w:rsidP="6375CABF">
      <w:pPr>
        <w:spacing w:line="480" w:lineRule="auto"/>
        <w:rPr>
          <w:rFonts w:ascii="Times New Roman" w:hAnsi="Times New Roman" w:cs="Times New Roman"/>
        </w:rPr>
      </w:pPr>
      <w:r w:rsidRPr="00606BA5">
        <w:rPr>
          <w:rFonts w:ascii="Times New Roman" w:hAnsi="Times New Roman" w:cs="Times New Roman"/>
        </w:rPr>
        <w:t xml:space="preserve">     The pinnacle of liberal selling-out in the modern era was the Welfare Reform Act. Politically, this move outmaneuvered the GOP, and broke with the “old” liberalism. By 1997, interstate banking was deregulated, and state regulation was eliminated. The deregulation of energy, capital gains cuts for wealthy Americans, and the repeal of the Glass-</w:t>
      </w:r>
      <w:proofErr w:type="spellStart"/>
      <w:r w:rsidRPr="00606BA5">
        <w:rPr>
          <w:rFonts w:ascii="Times New Roman" w:hAnsi="Times New Roman" w:cs="Times New Roman"/>
        </w:rPr>
        <w:t>Steagal</w:t>
      </w:r>
      <w:proofErr w:type="spellEnd"/>
      <w:r w:rsidRPr="00606BA5">
        <w:rPr>
          <w:rFonts w:ascii="Times New Roman" w:hAnsi="Times New Roman" w:cs="Times New Roman"/>
        </w:rPr>
        <w:t xml:space="preserve"> Act in 1999 (under the guise of ‘staying competitive with foreign banks’), all led to the economic collapse of 2008. </w:t>
      </w:r>
    </w:p>
    <w:p w14:paraId="3C812D69" w14:textId="77777777" w:rsidR="00B10FA3" w:rsidRPr="00606BA5" w:rsidRDefault="00B10FA3" w:rsidP="6375CABF">
      <w:pPr>
        <w:spacing w:line="480" w:lineRule="auto"/>
        <w:rPr>
          <w:rFonts w:ascii="Times New Roman" w:hAnsi="Times New Roman" w:cs="Times New Roman"/>
        </w:rPr>
      </w:pPr>
      <w:r w:rsidRPr="00606BA5">
        <w:rPr>
          <w:rFonts w:ascii="Times New Roman" w:hAnsi="Times New Roman" w:cs="Times New Roman"/>
        </w:rPr>
        <w:t xml:space="preserve">     While 1990s neo-liberalism was undermining the working-class issues of previous generations, the American right wing was waging a war of its own, sometimes overt, and sometimes not so. Clinton, for example, recognized the macho trope used since the Nixon era against Democrats; brutality, intolerance and certitude. (Of course, the converse of this </w:t>
      </w:r>
      <w:proofErr w:type="spellStart"/>
      <w:r w:rsidRPr="00606BA5">
        <w:rPr>
          <w:rFonts w:ascii="Times New Roman" w:hAnsi="Times New Roman" w:cs="Times New Roman"/>
        </w:rPr>
        <w:t>janus</w:t>
      </w:r>
      <w:proofErr w:type="spellEnd"/>
      <w:r w:rsidRPr="00606BA5">
        <w:rPr>
          <w:rFonts w:ascii="Times New Roman" w:hAnsi="Times New Roman" w:cs="Times New Roman"/>
        </w:rPr>
        <w:t xml:space="preserve"> face was </w:t>
      </w:r>
      <w:r w:rsidRPr="00606BA5">
        <w:rPr>
          <w:rFonts w:ascii="Times New Roman" w:hAnsi="Times New Roman" w:cs="Times New Roman"/>
          <w:i/>
          <w:iCs/>
        </w:rPr>
        <w:t>femophobia</w:t>
      </w:r>
      <w:r w:rsidRPr="00606BA5">
        <w:rPr>
          <w:rFonts w:ascii="Times New Roman" w:hAnsi="Times New Roman" w:cs="Times New Roman"/>
        </w:rPr>
        <w:t xml:space="preserve">, or fear of women.) President Clinton recognized this trend and tried to mitigate its effect, and to outsize his critics with overt support for the death penalty, and with the inaction of very overt, violent actions, such as the bombing of a Sudanese hospital. Supporters chanted the mantra that “a US President must be willing to shed blood.” </w:t>
      </w:r>
    </w:p>
    <w:p w14:paraId="42B7DA74" w14:textId="77777777" w:rsidR="00B10FA3" w:rsidRPr="00606BA5" w:rsidRDefault="00B10FA3" w:rsidP="6375CABF">
      <w:pPr>
        <w:spacing w:line="480" w:lineRule="auto"/>
        <w:rPr>
          <w:rFonts w:ascii="Times New Roman" w:hAnsi="Times New Roman" w:cs="Times New Roman"/>
        </w:rPr>
      </w:pPr>
      <w:r w:rsidRPr="00606BA5">
        <w:rPr>
          <w:rFonts w:ascii="Times New Roman" w:hAnsi="Times New Roman" w:cs="Times New Roman"/>
        </w:rPr>
        <w:t xml:space="preserve">     At the same time, President Bill Clinton was admired for his affair; his ability to portray an enhanced level of </w:t>
      </w:r>
      <w:r w:rsidRPr="00606BA5">
        <w:rPr>
          <w:rFonts w:ascii="Times New Roman" w:hAnsi="Times New Roman" w:cs="Times New Roman"/>
          <w:i/>
          <w:iCs/>
        </w:rPr>
        <w:t>hypermasculinity</w:t>
      </w:r>
      <w:r w:rsidRPr="00606BA5">
        <w:rPr>
          <w:rFonts w:ascii="Times New Roman" w:hAnsi="Times New Roman" w:cs="Times New Roman"/>
        </w:rPr>
        <w:t xml:space="preserve"> neutralized his conservative opponents, in ways that could be best understood through the lens of a psychotherapist. The triumph of masculinity countered a commensurate fear of emasculation, which, in American politics equates with a loss of independence, and a loss of traditional masculinity.</w:t>
      </w:r>
      <w:r w:rsidRPr="00606BA5">
        <w:rPr>
          <w:rStyle w:val="FootnoteReference"/>
          <w:rFonts w:ascii="Times New Roman" w:hAnsi="Times New Roman" w:cs="Times New Roman"/>
        </w:rPr>
        <w:footnoteReference w:id="107"/>
      </w:r>
      <w:r w:rsidRPr="00606BA5">
        <w:rPr>
          <w:rFonts w:ascii="Times New Roman" w:hAnsi="Times New Roman" w:cs="Times New Roman"/>
        </w:rPr>
        <w:t xml:space="preserve"> </w:t>
      </w:r>
    </w:p>
    <w:p w14:paraId="22446EA8" w14:textId="77777777" w:rsidR="00B10FA3" w:rsidRPr="00606BA5" w:rsidRDefault="00B10FA3" w:rsidP="6375CABF">
      <w:pPr>
        <w:spacing w:line="480" w:lineRule="auto"/>
        <w:rPr>
          <w:rFonts w:ascii="Times New Roman" w:hAnsi="Times New Roman" w:cs="Times New Roman"/>
        </w:rPr>
      </w:pPr>
      <w:r w:rsidRPr="00606BA5">
        <w:rPr>
          <w:rFonts w:ascii="Times New Roman" w:hAnsi="Times New Roman" w:cs="Times New Roman"/>
        </w:rPr>
        <w:lastRenderedPageBreak/>
        <w:t xml:space="preserve">     Over time, the issues (though never overtly stated) that are presented to Americans are couched, whether explicitly or implicitly, in gender terms. “Red meat moments,” where Republicans use guns and violence toward political gain, fit this model. Further, </w:t>
      </w:r>
      <w:r w:rsidRPr="00606BA5">
        <w:rPr>
          <w:rFonts w:ascii="Times New Roman" w:hAnsi="Times New Roman" w:cs="Times New Roman"/>
          <w:i/>
          <w:iCs/>
        </w:rPr>
        <w:t xml:space="preserve">homophobia </w:t>
      </w:r>
      <w:r w:rsidRPr="00606BA5">
        <w:rPr>
          <w:rFonts w:ascii="Times New Roman" w:hAnsi="Times New Roman" w:cs="Times New Roman"/>
        </w:rPr>
        <w:t xml:space="preserve">and </w:t>
      </w:r>
      <w:r w:rsidRPr="00606BA5">
        <w:rPr>
          <w:rFonts w:ascii="Times New Roman" w:hAnsi="Times New Roman" w:cs="Times New Roman"/>
          <w:i/>
          <w:iCs/>
        </w:rPr>
        <w:t>femophobia</w:t>
      </w:r>
      <w:r w:rsidRPr="00606BA5">
        <w:rPr>
          <w:rFonts w:ascii="Times New Roman" w:hAnsi="Times New Roman" w:cs="Times New Roman"/>
        </w:rPr>
        <w:t xml:space="preserve"> appear to be closely aligned. Right wing women, notably Lauren Boebart and Marjorie Taylor Green have used masculine tropes of violence and aggression a means to neutralize their opponents – in fact, they try to ‘feminize’ their adversaries. In sync with their violence prone compatriots, there are organizations that carry the flag of white nationalism, and white male dominance. One of these was the Promise Keepers, a group devoted to protecting American white male dominance. Feminists were considered the enemy, and Promise Keepers feared the ‘political effeminacy’ of American men.</w:t>
      </w:r>
      <w:r w:rsidRPr="00606BA5">
        <w:rPr>
          <w:rStyle w:val="FootnoteReference"/>
          <w:rFonts w:ascii="Times New Roman" w:hAnsi="Times New Roman" w:cs="Times New Roman"/>
        </w:rPr>
        <w:footnoteReference w:id="108"/>
      </w:r>
    </w:p>
    <w:p w14:paraId="3655E6B1" w14:textId="77777777" w:rsidR="00B10FA3" w:rsidRPr="00606BA5" w:rsidRDefault="00B10FA3" w:rsidP="6375CABF">
      <w:pPr>
        <w:spacing w:line="480" w:lineRule="auto"/>
        <w:rPr>
          <w:rFonts w:ascii="Times New Roman" w:hAnsi="Times New Roman" w:cs="Times New Roman"/>
        </w:rPr>
      </w:pPr>
      <w:r w:rsidRPr="00606BA5">
        <w:rPr>
          <w:rFonts w:ascii="Times New Roman" w:hAnsi="Times New Roman" w:cs="Times New Roman"/>
        </w:rPr>
        <w:t xml:space="preserve">     This wasn’t the first time that gender and gender norms were brought into the light of politics.   The German Third Reich demonized ‘effeminate’ enemies, as did the Milosevic regime in Yugoslavia in the 1980s. In modern times, the American right wing has used effeminacy to discredit its liberal opponents, and often with great effect. A new twist to the ‘emasculation’ of their opponents, is the employment of </w:t>
      </w:r>
      <w:r w:rsidRPr="00606BA5">
        <w:rPr>
          <w:rFonts w:ascii="Times New Roman" w:hAnsi="Times New Roman" w:cs="Times New Roman"/>
          <w:i/>
          <w:iCs/>
        </w:rPr>
        <w:t>female</w:t>
      </w:r>
      <w:r w:rsidRPr="00606BA5">
        <w:rPr>
          <w:rFonts w:ascii="Times New Roman" w:hAnsi="Times New Roman" w:cs="Times New Roman"/>
        </w:rPr>
        <w:t xml:space="preserve"> Republicans, employing gun toting and hyper traditional masculine rhetoric. Of these, Lauren </w:t>
      </w:r>
      <w:proofErr w:type="spellStart"/>
      <w:r w:rsidRPr="00606BA5">
        <w:rPr>
          <w:rFonts w:ascii="Times New Roman" w:hAnsi="Times New Roman" w:cs="Times New Roman"/>
        </w:rPr>
        <w:t>Boebart</w:t>
      </w:r>
      <w:proofErr w:type="spellEnd"/>
      <w:r w:rsidRPr="00606BA5">
        <w:rPr>
          <w:rFonts w:ascii="Times New Roman" w:hAnsi="Times New Roman" w:cs="Times New Roman"/>
        </w:rPr>
        <w:t xml:space="preserve"> and Majorie Taylor Greene are the most visible exponents of the new strategy.</w:t>
      </w:r>
    </w:p>
    <w:p w14:paraId="187FEEF7" w14:textId="77777777" w:rsidR="00B10FA3" w:rsidRPr="00606BA5" w:rsidRDefault="00B10FA3" w:rsidP="6375CABF">
      <w:pPr>
        <w:spacing w:line="480" w:lineRule="auto"/>
        <w:rPr>
          <w:rFonts w:ascii="Times New Roman" w:hAnsi="Times New Roman" w:cs="Times New Roman"/>
        </w:rPr>
      </w:pPr>
      <w:r w:rsidRPr="00606BA5">
        <w:rPr>
          <w:rFonts w:ascii="Times New Roman" w:hAnsi="Times New Roman" w:cs="Times New Roman"/>
        </w:rPr>
        <w:t xml:space="preserve">     The use of female spokespersons as vehicles for messages of feminization towards a predominately male political population is a new twist, but the message conveying the fear of the feminine runs deep in western culture. To be sure – women are, and have been feared through time. Traditional definitions of masculinity may differ here and there, but there tends to be an adhesive that removes itself from certain qualities of self, such as intimacy, vulnerability and dependency. The Jungian </w:t>
      </w:r>
      <w:r w:rsidRPr="00606BA5">
        <w:rPr>
          <w:rFonts w:ascii="Times New Roman" w:hAnsi="Times New Roman" w:cs="Times New Roman"/>
          <w:i/>
          <w:iCs/>
        </w:rPr>
        <w:t>anima</w:t>
      </w:r>
      <w:r w:rsidRPr="00606BA5">
        <w:rPr>
          <w:rFonts w:ascii="Times New Roman" w:hAnsi="Times New Roman" w:cs="Times New Roman"/>
        </w:rPr>
        <w:t xml:space="preserve"> represents the feminine side of men, and </w:t>
      </w:r>
      <w:r w:rsidRPr="00606BA5">
        <w:rPr>
          <w:rFonts w:ascii="Times New Roman" w:hAnsi="Times New Roman" w:cs="Times New Roman"/>
        </w:rPr>
        <w:lastRenderedPageBreak/>
        <w:t>this characterization is not always welcomed. For example, studies have often shown that men pay a much higher price for ‘cross gender’ behavior than do women.</w:t>
      </w:r>
      <w:r w:rsidRPr="00606BA5">
        <w:rPr>
          <w:rStyle w:val="FootnoteReference"/>
          <w:rFonts w:ascii="Times New Roman" w:hAnsi="Times New Roman" w:cs="Times New Roman"/>
        </w:rPr>
        <w:footnoteReference w:id="109"/>
      </w:r>
      <w:r w:rsidRPr="00606BA5">
        <w:rPr>
          <w:rFonts w:ascii="Times New Roman" w:hAnsi="Times New Roman" w:cs="Times New Roman"/>
        </w:rPr>
        <w:t xml:space="preserve"> </w:t>
      </w:r>
    </w:p>
    <w:p w14:paraId="7EFF4B53" w14:textId="4160B372" w:rsidR="00B10FA3" w:rsidRPr="00606BA5" w:rsidRDefault="00B10FA3" w:rsidP="6375CABF">
      <w:pPr>
        <w:spacing w:line="480" w:lineRule="auto"/>
        <w:rPr>
          <w:rFonts w:ascii="Times New Roman" w:hAnsi="Times New Roman" w:cs="Times New Roman"/>
        </w:rPr>
      </w:pPr>
      <w:r w:rsidRPr="00606BA5">
        <w:rPr>
          <w:rFonts w:ascii="Times New Roman" w:hAnsi="Times New Roman" w:cs="Times New Roman"/>
        </w:rPr>
        <w:t xml:space="preserve">     Research also shows that, generally speaking, men tend to fear the expressions of emotion, vulnerability, and tend to devalue self</w:t>
      </w:r>
      <w:r w:rsidR="3CDCB85D" w:rsidRPr="00606BA5">
        <w:rPr>
          <w:rFonts w:ascii="Times New Roman" w:hAnsi="Times New Roman" w:cs="Times New Roman"/>
        </w:rPr>
        <w:t>-</w:t>
      </w:r>
      <w:r w:rsidRPr="00606BA5">
        <w:rPr>
          <w:rFonts w:ascii="Times New Roman" w:hAnsi="Times New Roman" w:cs="Times New Roman"/>
        </w:rPr>
        <w:t xml:space="preserve">awareness. The reproductive role of women is both admired and feared by men. This carries over to the mother figure, for whom men can develop strong and often conflicting feelings. On the Freudian notion of the </w:t>
      </w:r>
      <w:r w:rsidRPr="00606BA5">
        <w:rPr>
          <w:rFonts w:ascii="Times New Roman" w:hAnsi="Times New Roman" w:cs="Times New Roman"/>
          <w:i/>
          <w:iCs/>
        </w:rPr>
        <w:t>Oedipal Complex</w:t>
      </w:r>
      <w:r w:rsidRPr="00606BA5">
        <w:rPr>
          <w:rFonts w:ascii="Times New Roman" w:hAnsi="Times New Roman" w:cs="Times New Roman"/>
        </w:rPr>
        <w:t xml:space="preserve">, whereby the boy, attached to the mother, kills the father to make the mother his own, some men are left with conflicted feelings towards women generally. This “split” often results in men viewing their own mothers as </w:t>
      </w:r>
      <w:r w:rsidR="002D3073">
        <w:rPr>
          <w:rFonts w:ascii="Times New Roman" w:hAnsi="Times New Roman" w:cs="Times New Roman"/>
        </w:rPr>
        <w:t>M</w:t>
      </w:r>
      <w:r w:rsidRPr="00606BA5">
        <w:rPr>
          <w:rFonts w:ascii="Times New Roman" w:hAnsi="Times New Roman" w:cs="Times New Roman"/>
        </w:rPr>
        <w:t>adonna; perfect emblems of the gender, while all other women are considered “whores,” by comparison.</w:t>
      </w:r>
      <w:r w:rsidRPr="00606BA5">
        <w:rPr>
          <w:rStyle w:val="FootnoteReference"/>
          <w:rFonts w:ascii="Times New Roman" w:hAnsi="Times New Roman" w:cs="Times New Roman"/>
        </w:rPr>
        <w:footnoteReference w:id="110"/>
      </w:r>
    </w:p>
    <w:p w14:paraId="22F9A7F0" w14:textId="3F3813C9" w:rsidR="00B10FA3" w:rsidRPr="00606BA5" w:rsidRDefault="00B10FA3" w:rsidP="6375CABF">
      <w:pPr>
        <w:spacing w:line="480" w:lineRule="auto"/>
        <w:rPr>
          <w:rFonts w:ascii="Times New Roman" w:hAnsi="Times New Roman" w:cs="Times New Roman"/>
        </w:rPr>
      </w:pPr>
      <w:r w:rsidRPr="00606BA5">
        <w:rPr>
          <w:rFonts w:ascii="Times New Roman" w:hAnsi="Times New Roman" w:cs="Times New Roman"/>
        </w:rPr>
        <w:t xml:space="preserve">     By the same token, </w:t>
      </w:r>
      <w:r w:rsidR="00107E4C">
        <w:rPr>
          <w:rFonts w:ascii="Times New Roman" w:hAnsi="Times New Roman" w:cs="Times New Roman"/>
        </w:rPr>
        <w:t>it has been postulated</w:t>
      </w:r>
      <w:r w:rsidRPr="00606BA5">
        <w:rPr>
          <w:rFonts w:ascii="Times New Roman" w:hAnsi="Times New Roman" w:cs="Times New Roman"/>
        </w:rPr>
        <w:t xml:space="preserve"> that a strong mother figure in the life of a boy can</w:t>
      </w:r>
      <w:r w:rsidR="0088264E">
        <w:rPr>
          <w:rFonts w:ascii="Times New Roman" w:hAnsi="Times New Roman" w:cs="Times New Roman"/>
        </w:rPr>
        <w:t xml:space="preserve"> contribute</w:t>
      </w:r>
      <w:r w:rsidRPr="00606BA5">
        <w:rPr>
          <w:rFonts w:ascii="Times New Roman" w:hAnsi="Times New Roman" w:cs="Times New Roman"/>
        </w:rPr>
        <w:t xml:space="preserve"> either towards homosexuality </w:t>
      </w:r>
      <w:r w:rsidRPr="00606BA5">
        <w:rPr>
          <w:rFonts w:ascii="Times New Roman" w:hAnsi="Times New Roman" w:cs="Times New Roman"/>
          <w:i/>
          <w:iCs/>
        </w:rPr>
        <w:t>or</w:t>
      </w:r>
      <w:r w:rsidRPr="00606BA5">
        <w:rPr>
          <w:rFonts w:ascii="Times New Roman" w:hAnsi="Times New Roman" w:cs="Times New Roman"/>
        </w:rPr>
        <w:t xml:space="preserve"> to </w:t>
      </w:r>
      <w:r w:rsidR="00107E4C">
        <w:rPr>
          <w:rFonts w:ascii="Times New Roman" w:hAnsi="Times New Roman" w:cs="Times New Roman"/>
        </w:rPr>
        <w:t xml:space="preserve">macho </w:t>
      </w:r>
      <w:r w:rsidRPr="00606BA5">
        <w:rPr>
          <w:rFonts w:ascii="Times New Roman" w:hAnsi="Times New Roman" w:cs="Times New Roman"/>
        </w:rPr>
        <w:t>hyper-masculinity – either a clinging to the symbols of motherhood, or towards a caricature of ‘proper’ male behavior. The key to a healthy and balanced gender sense is often said to relate to the period during which the boy disassociates with the mother (separation and individuation), and becomes independent of her. It is only through this process that he might fully develop his potential.</w:t>
      </w:r>
      <w:r w:rsidRPr="00606BA5">
        <w:rPr>
          <w:rStyle w:val="FootnoteReference"/>
          <w:rFonts w:ascii="Times New Roman" w:hAnsi="Times New Roman" w:cs="Times New Roman"/>
        </w:rPr>
        <w:footnoteReference w:id="111"/>
      </w:r>
    </w:p>
    <w:p w14:paraId="1E29BB19" w14:textId="1A2D282B" w:rsidR="6375CABF" w:rsidRPr="00606BA5" w:rsidRDefault="6375CABF" w:rsidP="6375CABF">
      <w:pPr>
        <w:spacing w:line="480" w:lineRule="auto"/>
        <w:rPr>
          <w:rFonts w:ascii="Times New Roman" w:hAnsi="Times New Roman" w:cs="Times New Roman"/>
        </w:rPr>
      </w:pPr>
    </w:p>
    <w:p w14:paraId="5EAC7488" w14:textId="2A76F8F1" w:rsidR="00B10FA3" w:rsidRPr="00606BA5" w:rsidRDefault="77568113" w:rsidP="6375CABF">
      <w:pPr>
        <w:spacing w:line="480" w:lineRule="auto"/>
        <w:rPr>
          <w:rFonts w:ascii="Times New Roman" w:hAnsi="Times New Roman" w:cs="Times New Roman"/>
          <w:sz w:val="28"/>
          <w:szCs w:val="28"/>
        </w:rPr>
      </w:pPr>
      <w:r w:rsidRPr="00606BA5">
        <w:rPr>
          <w:rFonts w:ascii="Times New Roman" w:hAnsi="Times New Roman" w:cs="Times New Roman"/>
          <w:b/>
          <w:bCs/>
          <w:i/>
          <w:iCs/>
          <w:sz w:val="28"/>
          <w:szCs w:val="28"/>
        </w:rPr>
        <w:t>“</w:t>
      </w:r>
      <w:r w:rsidR="00B10FA3" w:rsidRPr="00606BA5">
        <w:rPr>
          <w:rFonts w:ascii="Times New Roman" w:hAnsi="Times New Roman" w:cs="Times New Roman"/>
          <w:b/>
          <w:bCs/>
          <w:i/>
          <w:iCs/>
          <w:sz w:val="28"/>
          <w:szCs w:val="28"/>
        </w:rPr>
        <w:t>The Other</w:t>
      </w:r>
      <w:r w:rsidR="189FD62A" w:rsidRPr="00606BA5">
        <w:rPr>
          <w:rFonts w:ascii="Times New Roman" w:hAnsi="Times New Roman" w:cs="Times New Roman"/>
          <w:b/>
          <w:bCs/>
          <w:i/>
          <w:iCs/>
          <w:sz w:val="28"/>
          <w:szCs w:val="28"/>
        </w:rPr>
        <w:t>”</w:t>
      </w:r>
      <w:r w:rsidR="00B10FA3" w:rsidRPr="00606BA5">
        <w:rPr>
          <w:rFonts w:ascii="Times New Roman" w:hAnsi="Times New Roman" w:cs="Times New Roman"/>
          <w:b/>
          <w:bCs/>
          <w:i/>
          <w:iCs/>
          <w:sz w:val="28"/>
          <w:szCs w:val="28"/>
        </w:rPr>
        <w:t xml:space="preserve"> in American Cultur</w:t>
      </w:r>
      <w:r w:rsidR="00B10FA3" w:rsidRPr="00606BA5">
        <w:rPr>
          <w:rFonts w:ascii="Times New Roman" w:hAnsi="Times New Roman" w:cs="Times New Roman"/>
          <w:b/>
          <w:bCs/>
          <w:sz w:val="28"/>
          <w:szCs w:val="28"/>
        </w:rPr>
        <w:t>e</w:t>
      </w:r>
      <w:r w:rsidR="00B10FA3" w:rsidRPr="00606BA5">
        <w:rPr>
          <w:rFonts w:ascii="Times New Roman" w:hAnsi="Times New Roman" w:cs="Times New Roman"/>
          <w:sz w:val="28"/>
          <w:szCs w:val="28"/>
        </w:rPr>
        <w:t xml:space="preserve"> </w:t>
      </w:r>
    </w:p>
    <w:p w14:paraId="18FF7726" w14:textId="77777777" w:rsidR="00B10FA3" w:rsidRPr="00606BA5" w:rsidRDefault="00B10FA3" w:rsidP="6375CABF">
      <w:pPr>
        <w:spacing w:line="480" w:lineRule="auto"/>
        <w:rPr>
          <w:rFonts w:ascii="Times New Roman" w:hAnsi="Times New Roman" w:cs="Times New Roman"/>
        </w:rPr>
      </w:pPr>
      <w:r w:rsidRPr="00606BA5">
        <w:rPr>
          <w:rFonts w:ascii="Times New Roman" w:hAnsi="Times New Roman" w:cs="Times New Roman"/>
        </w:rPr>
        <w:t xml:space="preserve">     There are many organizing principles in politics; one of the most enduring – and dangerous – of these is the portrayal of minority groups, other out groups, or simply political opponents as “the other.” By this tactic, the goal is to discredit the attacked unit, so that they cease to </w:t>
      </w:r>
      <w:r w:rsidRPr="00606BA5">
        <w:rPr>
          <w:rFonts w:ascii="Times New Roman" w:hAnsi="Times New Roman" w:cs="Times New Roman"/>
        </w:rPr>
        <w:lastRenderedPageBreak/>
        <w:t xml:space="preserve">represent mere loyal opposition in the system, but instead embody a cancer from without, making them, in fact the enemy of not only their opponents, but of the larger population. Such targets are, historically, groups that have suffered discrimination in the given society. Cultural cues can be subtle, but, if exploited properly, can reveal deep historical prejudices – or, in some cases, create new ones. The </w:t>
      </w:r>
      <w:r w:rsidRPr="00606BA5">
        <w:rPr>
          <w:rFonts w:ascii="Times New Roman" w:hAnsi="Times New Roman" w:cs="Times New Roman"/>
          <w:i/>
          <w:iCs/>
        </w:rPr>
        <w:t>Dreyfus Case</w:t>
      </w:r>
      <w:r w:rsidRPr="00606BA5">
        <w:rPr>
          <w:rFonts w:ascii="Times New Roman" w:hAnsi="Times New Roman" w:cs="Times New Roman"/>
        </w:rPr>
        <w:t xml:space="preserve"> in France at the close of the 19</w:t>
      </w:r>
      <w:r w:rsidRPr="00606BA5">
        <w:rPr>
          <w:rFonts w:ascii="Times New Roman" w:hAnsi="Times New Roman" w:cs="Times New Roman"/>
          <w:vertAlign w:val="superscript"/>
        </w:rPr>
        <w:t>th</w:t>
      </w:r>
      <w:r w:rsidRPr="00606BA5">
        <w:rPr>
          <w:rFonts w:ascii="Times New Roman" w:hAnsi="Times New Roman" w:cs="Times New Roman"/>
        </w:rPr>
        <w:t xml:space="preserve"> century was, in part a product of Jews being accused of conspiracies against France, and ancient antisemitic prejudices came roaring back to the fore. The Third Reich attacked ‘the other’ from both </w:t>
      </w:r>
      <w:r w:rsidRPr="00606BA5">
        <w:rPr>
          <w:rFonts w:ascii="Times New Roman" w:hAnsi="Times New Roman" w:cs="Times New Roman"/>
          <w:i/>
          <w:iCs/>
        </w:rPr>
        <w:t>within and without</w:t>
      </w:r>
      <w:r w:rsidRPr="00606BA5">
        <w:rPr>
          <w:rFonts w:ascii="Times New Roman" w:hAnsi="Times New Roman" w:cs="Times New Roman"/>
        </w:rPr>
        <w:t xml:space="preserve"> Germany; Jews, gays and Roma were the internal problem, while international Communism was the issue from outside of German borders. </w:t>
      </w:r>
    </w:p>
    <w:p w14:paraId="1B8ABC4E" w14:textId="77777777" w:rsidR="00B10FA3" w:rsidRPr="00606BA5" w:rsidRDefault="00B10FA3" w:rsidP="6375CABF">
      <w:pPr>
        <w:spacing w:line="480" w:lineRule="auto"/>
        <w:rPr>
          <w:rFonts w:ascii="Times New Roman" w:hAnsi="Times New Roman" w:cs="Times New Roman"/>
        </w:rPr>
      </w:pPr>
      <w:r w:rsidRPr="00606BA5">
        <w:rPr>
          <w:rFonts w:ascii="Times New Roman" w:hAnsi="Times New Roman" w:cs="Times New Roman"/>
        </w:rPr>
        <w:t xml:space="preserve">     In revolutionary Cambodia in the 1970s, the ‘Other’ became, for the radical Khmer Rouge, anyone who was, in any way, westernized – with education, familiarity with technology or other skills, or even those who wore glasses, a sign of modernism in a radically ideologically regressive political period. More recently, the Orban regime in Hungary has used refugees from the Syrian war as exemplars of the ‘Other.’   </w:t>
      </w:r>
    </w:p>
    <w:p w14:paraId="3466CB76" w14:textId="77777777" w:rsidR="00B10FA3" w:rsidRPr="00606BA5" w:rsidRDefault="00B10FA3" w:rsidP="6375CABF">
      <w:pPr>
        <w:spacing w:line="480" w:lineRule="auto"/>
        <w:rPr>
          <w:rFonts w:ascii="Times New Roman" w:hAnsi="Times New Roman" w:cs="Times New Roman"/>
        </w:rPr>
      </w:pPr>
      <w:r w:rsidRPr="00606BA5">
        <w:rPr>
          <w:rFonts w:ascii="Times New Roman" w:hAnsi="Times New Roman" w:cs="Times New Roman"/>
        </w:rPr>
        <w:t xml:space="preserve">     After 9/11, Muslims assumed the mantel of otherness in the US and other western countries. President Donald Trump continued this prejudice, by refusing entry to the US from a number of countries, most of which were Muslim. Muslim religion was represented as nothing beyond a desire for jihad, and this concept was, in turn, treated as an extant threat to the West.</w:t>
      </w:r>
      <w:r w:rsidRPr="00606BA5">
        <w:rPr>
          <w:rStyle w:val="FootnoteReference"/>
          <w:rFonts w:ascii="Times New Roman" w:hAnsi="Times New Roman" w:cs="Times New Roman"/>
        </w:rPr>
        <w:footnoteReference w:id="112"/>
      </w:r>
      <w:r w:rsidRPr="00606BA5">
        <w:rPr>
          <w:rFonts w:ascii="Times New Roman" w:hAnsi="Times New Roman" w:cs="Times New Roman"/>
        </w:rPr>
        <w:t xml:space="preserve"> The use of ‘otherness’ in an Islamic guise was instructive and useful in many social and cultural ways that were not overtly political in the West. For example, even western music videos from the Iraq War period amalgamate the concepts of Arab and Muslim, treating them identically, in an effort to project inferior, duplicitous otherness upon them as a means </w:t>
      </w:r>
      <w:r w:rsidRPr="00606BA5">
        <w:rPr>
          <w:rFonts w:ascii="Times New Roman" w:hAnsi="Times New Roman" w:cs="Times New Roman"/>
        </w:rPr>
        <w:lastRenderedPageBreak/>
        <w:t>for reaffirming traditional tropes and behaviors related to traditional western masculine values.</w:t>
      </w:r>
      <w:r w:rsidRPr="00606BA5">
        <w:rPr>
          <w:rStyle w:val="FootnoteReference"/>
          <w:rFonts w:ascii="Times New Roman" w:hAnsi="Times New Roman" w:cs="Times New Roman"/>
        </w:rPr>
        <w:footnoteReference w:id="113"/>
      </w:r>
      <w:r w:rsidRPr="00606BA5">
        <w:rPr>
          <w:rFonts w:ascii="Times New Roman" w:hAnsi="Times New Roman" w:cs="Times New Roman"/>
        </w:rPr>
        <w:t xml:space="preserve"> </w:t>
      </w:r>
    </w:p>
    <w:p w14:paraId="66984083" w14:textId="77777777" w:rsidR="00B10FA3" w:rsidRPr="00606BA5" w:rsidRDefault="00B10FA3" w:rsidP="6375CABF">
      <w:pPr>
        <w:spacing w:line="480" w:lineRule="auto"/>
        <w:rPr>
          <w:rFonts w:ascii="Times New Roman" w:hAnsi="Times New Roman" w:cs="Times New Roman"/>
        </w:rPr>
      </w:pPr>
      <w:r w:rsidRPr="00606BA5">
        <w:rPr>
          <w:rFonts w:ascii="Times New Roman" w:hAnsi="Times New Roman" w:cs="Times New Roman"/>
        </w:rPr>
        <w:t xml:space="preserve">     Trump also utilized populations south of the American border as his whipping boys, claiming that they were flooding the US with rapists and murderers. Most recently, transgender groups have been singled out for exclusion, based on ludicrous conspiracies that trans groups are working to subvert children, “grooming” them, to confuse and manipulate their identity.</w:t>
      </w:r>
      <w:r w:rsidRPr="00606BA5">
        <w:rPr>
          <w:rStyle w:val="FootnoteReference"/>
          <w:rFonts w:ascii="Times New Roman" w:hAnsi="Times New Roman" w:cs="Times New Roman"/>
        </w:rPr>
        <w:footnoteReference w:id="114"/>
      </w:r>
    </w:p>
    <w:p w14:paraId="79EFC8D6" w14:textId="17311A00" w:rsidR="00B10FA3" w:rsidRPr="00606BA5" w:rsidRDefault="00B10FA3" w:rsidP="6375CABF">
      <w:pPr>
        <w:spacing w:line="480" w:lineRule="auto"/>
        <w:rPr>
          <w:rFonts w:ascii="Times New Roman" w:hAnsi="Times New Roman" w:cs="Times New Roman"/>
        </w:rPr>
      </w:pPr>
      <w:r w:rsidRPr="00606BA5">
        <w:rPr>
          <w:rFonts w:ascii="Times New Roman" w:hAnsi="Times New Roman" w:cs="Times New Roman"/>
        </w:rPr>
        <w:t xml:space="preserve">     Ironically, then, it is common for ideologues who use the rhetoric of The Other to try very hard themselves to manipulate the identities of their targets. One of the common ways of doing this, particularly to male targets, is to </w:t>
      </w:r>
      <w:r w:rsidRPr="00606BA5">
        <w:rPr>
          <w:rFonts w:ascii="Times New Roman" w:hAnsi="Times New Roman" w:cs="Times New Roman"/>
          <w:i/>
          <w:iCs/>
        </w:rPr>
        <w:t>feminize</w:t>
      </w:r>
      <w:r w:rsidRPr="00606BA5">
        <w:rPr>
          <w:rFonts w:ascii="Times New Roman" w:hAnsi="Times New Roman" w:cs="Times New Roman"/>
        </w:rPr>
        <w:t xml:space="preserve"> them. Right-wing men fear political feminization, and use this tactic relentlessly against opponents, going back to the Third Reich, to Slobodan Milosevic in Yugoslavia in the 1990s, and, most recently to </w:t>
      </w:r>
      <w:r w:rsidR="42579E13" w:rsidRPr="00606BA5">
        <w:rPr>
          <w:rFonts w:ascii="Times New Roman" w:hAnsi="Times New Roman" w:cs="Times New Roman"/>
        </w:rPr>
        <w:t xml:space="preserve">former </w:t>
      </w:r>
      <w:r w:rsidRPr="00606BA5">
        <w:rPr>
          <w:rFonts w:ascii="Times New Roman" w:hAnsi="Times New Roman" w:cs="Times New Roman"/>
        </w:rPr>
        <w:t xml:space="preserve">President </w:t>
      </w:r>
      <w:proofErr w:type="spellStart"/>
      <w:r w:rsidRPr="00606BA5">
        <w:rPr>
          <w:rFonts w:ascii="Times New Roman" w:hAnsi="Times New Roman" w:cs="Times New Roman"/>
        </w:rPr>
        <w:t>Bols</w:t>
      </w:r>
      <w:r w:rsidR="00D31F7C">
        <w:rPr>
          <w:rFonts w:ascii="Times New Roman" w:hAnsi="Times New Roman" w:cs="Times New Roman"/>
        </w:rPr>
        <w:t>a</w:t>
      </w:r>
      <w:r w:rsidRPr="00606BA5">
        <w:rPr>
          <w:rFonts w:ascii="Times New Roman" w:hAnsi="Times New Roman" w:cs="Times New Roman"/>
        </w:rPr>
        <w:t>naro</w:t>
      </w:r>
      <w:proofErr w:type="spellEnd"/>
      <w:r w:rsidRPr="00606BA5">
        <w:rPr>
          <w:rFonts w:ascii="Times New Roman" w:hAnsi="Times New Roman" w:cs="Times New Roman"/>
        </w:rPr>
        <w:t xml:space="preserve"> in Brazil, who, during the Covid pandemic, routinely associated mask wearing with weakness and effeminacy.</w:t>
      </w:r>
      <w:r w:rsidRPr="00606BA5">
        <w:rPr>
          <w:rStyle w:val="FootnoteReference"/>
          <w:rFonts w:ascii="Times New Roman" w:hAnsi="Times New Roman" w:cs="Times New Roman"/>
        </w:rPr>
        <w:footnoteReference w:id="115"/>
      </w:r>
      <w:r w:rsidRPr="00606BA5">
        <w:rPr>
          <w:rFonts w:ascii="Times New Roman" w:hAnsi="Times New Roman" w:cs="Times New Roman"/>
        </w:rPr>
        <w:t xml:space="preserve"> </w:t>
      </w:r>
    </w:p>
    <w:p w14:paraId="7EF8C57B" w14:textId="77777777" w:rsidR="00B10FA3" w:rsidRPr="00606BA5" w:rsidRDefault="00B10FA3" w:rsidP="6375CABF">
      <w:pPr>
        <w:spacing w:line="480" w:lineRule="auto"/>
        <w:rPr>
          <w:rFonts w:ascii="Times New Roman" w:hAnsi="Times New Roman" w:cs="Times New Roman"/>
        </w:rPr>
      </w:pPr>
      <w:r w:rsidRPr="00606BA5">
        <w:rPr>
          <w:rFonts w:ascii="Times New Roman" w:hAnsi="Times New Roman" w:cs="Times New Roman"/>
        </w:rPr>
        <w:t xml:space="preserve">      Of course, anyone can claim conspiracy theories, or assert that certain outgroups are responsible for social harm, or undermining society. That’s easy. What is more difficult is getting people to listen. Secure people tend to brush off outlandish ideas about ‘internal enemies,’ especially if the claims lack any sort of reliable, empirical proof. But insecure people are vulnerable to such messages. </w:t>
      </w:r>
    </w:p>
    <w:p w14:paraId="28BCF6BF" w14:textId="77777777" w:rsidR="00B10FA3" w:rsidRPr="00606BA5" w:rsidRDefault="00B10FA3" w:rsidP="005C0CD0">
      <w:pPr>
        <w:rPr>
          <w:rFonts w:ascii="Times New Roman" w:hAnsi="Times New Roman" w:cs="Times New Roman"/>
        </w:rPr>
      </w:pPr>
    </w:p>
    <w:p w14:paraId="7452C8FD" w14:textId="77777777" w:rsidR="00B10FA3" w:rsidRPr="00606BA5" w:rsidRDefault="00B10FA3" w:rsidP="007C79B0">
      <w:pPr>
        <w:ind w:hanging="720"/>
        <w:rPr>
          <w:rFonts w:ascii="Times New Roman" w:hAnsi="Times New Roman" w:cs="Times New Roman"/>
        </w:rPr>
      </w:pPr>
      <w:r w:rsidRPr="00606BA5">
        <w:rPr>
          <w:rFonts w:ascii="Times New Roman" w:hAnsi="Times New Roman" w:cs="Times New Roman"/>
        </w:rPr>
        <w:t xml:space="preserve"> </w:t>
      </w:r>
    </w:p>
    <w:p w14:paraId="26F57651" w14:textId="77777777" w:rsidR="00B10FA3" w:rsidRPr="00606BA5" w:rsidRDefault="00B10FA3" w:rsidP="007C79B0">
      <w:pPr>
        <w:ind w:hanging="720"/>
        <w:rPr>
          <w:rFonts w:ascii="Times New Roman" w:hAnsi="Times New Roman" w:cs="Times New Roman"/>
          <w:color w:val="FF0000"/>
        </w:rPr>
      </w:pPr>
      <w:r w:rsidRPr="00606BA5">
        <w:rPr>
          <w:rFonts w:ascii="Times New Roman" w:hAnsi="Times New Roman" w:cs="Times New Roman"/>
        </w:rPr>
        <w:t xml:space="preserve">          </w:t>
      </w:r>
    </w:p>
    <w:p w14:paraId="31C8C430" w14:textId="77777777" w:rsidR="00B10FA3" w:rsidRPr="00606BA5" w:rsidRDefault="00B10FA3" w:rsidP="005C0CD0">
      <w:pPr>
        <w:ind w:hanging="720"/>
        <w:rPr>
          <w:rFonts w:ascii="Times New Roman" w:hAnsi="Times New Roman" w:cs="Times New Roman"/>
        </w:rPr>
      </w:pPr>
    </w:p>
    <w:p w14:paraId="756E82F0" w14:textId="35A7BD74" w:rsidR="00B10FA3" w:rsidRPr="00606BA5" w:rsidRDefault="00B10FA3" w:rsidP="005C0CD0">
      <w:pPr>
        <w:ind w:hanging="720"/>
        <w:rPr>
          <w:rFonts w:ascii="Times New Roman" w:hAnsi="Times New Roman" w:cs="Times New Roman"/>
          <w:b/>
          <w:bCs/>
          <w:sz w:val="32"/>
          <w:szCs w:val="32"/>
        </w:rPr>
      </w:pPr>
      <w:r w:rsidRPr="00606BA5">
        <w:rPr>
          <w:rFonts w:ascii="Times New Roman" w:hAnsi="Times New Roman" w:cs="Times New Roman"/>
        </w:rPr>
        <w:t xml:space="preserve">  </w:t>
      </w:r>
    </w:p>
    <w:p w14:paraId="2BA2258D" w14:textId="77777777" w:rsidR="00B10FA3" w:rsidRPr="00606BA5" w:rsidRDefault="00B10FA3" w:rsidP="00AA0D6D">
      <w:pPr>
        <w:ind w:hanging="720"/>
        <w:rPr>
          <w:rFonts w:ascii="Times New Roman" w:hAnsi="Times New Roman" w:cs="Times New Roman"/>
          <w:b/>
          <w:bCs/>
          <w:sz w:val="32"/>
          <w:szCs w:val="32"/>
        </w:rPr>
      </w:pPr>
      <w:r w:rsidRPr="00606BA5">
        <w:rPr>
          <w:rFonts w:ascii="Times New Roman" w:hAnsi="Times New Roman" w:cs="Times New Roman"/>
          <w:sz w:val="32"/>
          <w:szCs w:val="32"/>
        </w:rPr>
        <w:t xml:space="preserve">     </w:t>
      </w:r>
    </w:p>
    <w:p w14:paraId="19DFF55A" w14:textId="77777777" w:rsidR="00A11A47" w:rsidRDefault="00A11A47"/>
    <w:p w14:paraId="4CDC1AB9" w14:textId="77777777" w:rsidR="00A11A47" w:rsidRDefault="00A11A47"/>
    <w:p w14:paraId="1A1246A8" w14:textId="0F8EDF53" w:rsidR="00B10FA3" w:rsidRPr="00FB5840" w:rsidRDefault="00B10FA3" w:rsidP="00A11A47">
      <w:pPr>
        <w:ind w:left="2880" w:firstLine="720"/>
        <w:rPr>
          <w:b/>
          <w:bCs/>
          <w:i/>
          <w:iCs/>
          <w:sz w:val="28"/>
          <w:szCs w:val="28"/>
        </w:rPr>
      </w:pPr>
      <w:r>
        <w:t xml:space="preserve">  </w:t>
      </w:r>
      <w:r w:rsidRPr="00FB5840">
        <w:rPr>
          <w:b/>
          <w:bCs/>
          <w:i/>
          <w:iCs/>
          <w:sz w:val="28"/>
          <w:szCs w:val="28"/>
        </w:rPr>
        <w:t xml:space="preserve">Chapter </w:t>
      </w:r>
      <w:r>
        <w:rPr>
          <w:b/>
          <w:bCs/>
          <w:i/>
          <w:iCs/>
          <w:sz w:val="28"/>
          <w:szCs w:val="28"/>
        </w:rPr>
        <w:t>5</w:t>
      </w:r>
    </w:p>
    <w:p w14:paraId="4A2D4B36" w14:textId="77777777" w:rsidR="00B10FA3" w:rsidRDefault="00B10FA3"/>
    <w:p w14:paraId="46AB2897" w14:textId="77777777" w:rsidR="00B10FA3" w:rsidRPr="003A430A" w:rsidRDefault="00B10FA3">
      <w:pPr>
        <w:rPr>
          <w:b/>
          <w:bCs/>
          <w:i/>
          <w:iCs/>
          <w:sz w:val="28"/>
          <w:szCs w:val="28"/>
        </w:rPr>
      </w:pPr>
      <w:r w:rsidRPr="003A430A">
        <w:rPr>
          <w:i/>
          <w:iCs/>
        </w:rPr>
        <w:t xml:space="preserve">                   </w:t>
      </w:r>
      <w:r w:rsidRPr="003A430A">
        <w:rPr>
          <w:b/>
          <w:bCs/>
          <w:i/>
          <w:iCs/>
          <w:sz w:val="28"/>
          <w:szCs w:val="28"/>
        </w:rPr>
        <w:t xml:space="preserve">                   </w:t>
      </w:r>
      <w:r>
        <w:rPr>
          <w:b/>
          <w:bCs/>
          <w:i/>
          <w:iCs/>
          <w:sz w:val="28"/>
          <w:szCs w:val="28"/>
        </w:rPr>
        <w:t xml:space="preserve">Men: </w:t>
      </w:r>
      <w:r w:rsidRPr="003A430A">
        <w:rPr>
          <w:b/>
          <w:bCs/>
          <w:i/>
          <w:iCs/>
          <w:sz w:val="28"/>
          <w:szCs w:val="28"/>
        </w:rPr>
        <w:t>Status Loss and Radicalization</w:t>
      </w:r>
    </w:p>
    <w:p w14:paraId="2F40F7C2" w14:textId="77777777" w:rsidR="00B10FA3" w:rsidRDefault="00B10FA3">
      <w:pPr>
        <w:rPr>
          <w:i/>
          <w:iCs/>
          <w:sz w:val="28"/>
          <w:szCs w:val="28"/>
        </w:rPr>
      </w:pPr>
    </w:p>
    <w:p w14:paraId="6A6D8B37" w14:textId="77777777" w:rsidR="00B10FA3" w:rsidRDefault="00B10FA3">
      <w:pPr>
        <w:rPr>
          <w:i/>
          <w:iCs/>
          <w:sz w:val="28"/>
          <w:szCs w:val="28"/>
        </w:rPr>
      </w:pPr>
    </w:p>
    <w:p w14:paraId="0782B099" w14:textId="12EC4EFA" w:rsidR="00B10FA3" w:rsidRDefault="00B10FA3" w:rsidP="00DE477A">
      <w:pPr>
        <w:spacing w:line="240" w:lineRule="auto"/>
        <w:ind w:left="2268" w:right="2268"/>
        <w:rPr>
          <w:i/>
          <w:iCs/>
          <w:sz w:val="22"/>
          <w:szCs w:val="22"/>
        </w:rPr>
      </w:pPr>
      <w:r w:rsidRPr="0041280E">
        <w:rPr>
          <w:i/>
          <w:iCs/>
          <w:sz w:val="22"/>
          <w:szCs w:val="22"/>
        </w:rPr>
        <w:t>“To be white, or straight, or male, or middle class is to be simultaneously ubiquit</w:t>
      </w:r>
      <w:r w:rsidR="009D1A6B">
        <w:rPr>
          <w:i/>
          <w:iCs/>
          <w:sz w:val="22"/>
          <w:szCs w:val="22"/>
        </w:rPr>
        <w:t>o</w:t>
      </w:r>
      <w:r w:rsidRPr="0041280E">
        <w:rPr>
          <w:i/>
          <w:iCs/>
          <w:sz w:val="22"/>
          <w:szCs w:val="22"/>
        </w:rPr>
        <w:t xml:space="preserve">us and invisible. You’re everywhere you look, you’re the standard against which everyone else is measured. You’re like water, like air. People will tell you they went to see a “woman doctor” or they will say they went to see “the doctor.” People will tell you they have a “gay colleague” or they’ll tell you about a colleague. A white person will be happy to tell you about a “Black friend,” but when that same person simply mentions a “friend,” everyone will assume the person is white. Any college course that doesn’t have the word “woman” or “gay” or “minority” in its title is a course about men, heterosexuals, and white people. But we call those courses “literature,” “history” or “political science.” This invisibility is political. </w:t>
      </w:r>
      <w:r w:rsidRPr="0041280E">
        <w:rPr>
          <w:i/>
          <w:iCs/>
          <w:sz w:val="22"/>
          <w:szCs w:val="22"/>
        </w:rPr>
        <w:br/>
      </w:r>
    </w:p>
    <w:p w14:paraId="3BBD9B79" w14:textId="77777777" w:rsidR="00B10FA3" w:rsidRDefault="00B10FA3" w:rsidP="00DE477A">
      <w:pPr>
        <w:spacing w:line="240" w:lineRule="auto"/>
        <w:ind w:left="2268" w:right="2268"/>
        <w:rPr>
          <w:i/>
          <w:iCs/>
          <w:sz w:val="22"/>
          <w:szCs w:val="22"/>
        </w:rPr>
      </w:pPr>
    </w:p>
    <w:p w14:paraId="74024C24" w14:textId="77777777" w:rsidR="00B10FA3" w:rsidRPr="0041280E" w:rsidRDefault="00B10FA3" w:rsidP="00DE477A">
      <w:pPr>
        <w:spacing w:line="240" w:lineRule="auto"/>
        <w:ind w:left="2268" w:right="2268"/>
        <w:rPr>
          <w:i/>
          <w:iCs/>
          <w:sz w:val="22"/>
          <w:szCs w:val="22"/>
        </w:rPr>
      </w:pPr>
      <w:r w:rsidRPr="0041280E">
        <w:rPr>
          <w:i/>
          <w:iCs/>
          <w:sz w:val="22"/>
          <w:szCs w:val="22"/>
        </w:rPr>
        <w:t xml:space="preserve">― </w:t>
      </w:r>
      <w:r w:rsidRPr="0041280E">
        <w:rPr>
          <w:rStyle w:val="authorortitle"/>
          <w:i/>
          <w:iCs/>
          <w:sz w:val="22"/>
          <w:szCs w:val="22"/>
        </w:rPr>
        <w:t>Michael S. Kimmel</w:t>
      </w:r>
    </w:p>
    <w:p w14:paraId="17300375" w14:textId="77777777" w:rsidR="00B10FA3" w:rsidRDefault="00B10FA3">
      <w:pPr>
        <w:rPr>
          <w:i/>
          <w:iCs/>
          <w:sz w:val="28"/>
          <w:szCs w:val="28"/>
        </w:rPr>
      </w:pPr>
    </w:p>
    <w:p w14:paraId="28015514" w14:textId="77777777" w:rsidR="00B10FA3" w:rsidRDefault="00B10FA3">
      <w:pPr>
        <w:rPr>
          <w:i/>
          <w:iCs/>
          <w:sz w:val="28"/>
          <w:szCs w:val="28"/>
        </w:rPr>
      </w:pPr>
    </w:p>
    <w:p w14:paraId="5629B53C" w14:textId="77777777" w:rsidR="00B10FA3" w:rsidRDefault="00B10FA3" w:rsidP="004441D0">
      <w:pPr>
        <w:spacing w:line="480" w:lineRule="auto"/>
        <w:rPr>
          <w:sz w:val="28"/>
          <w:szCs w:val="28"/>
        </w:rPr>
      </w:pPr>
    </w:p>
    <w:p w14:paraId="191A97E4" w14:textId="77777777" w:rsidR="00B10FA3" w:rsidRDefault="00B10FA3" w:rsidP="004441D0">
      <w:pPr>
        <w:spacing w:line="480" w:lineRule="auto"/>
        <w:rPr>
          <w:sz w:val="28"/>
          <w:szCs w:val="28"/>
        </w:rPr>
      </w:pPr>
    </w:p>
    <w:p w14:paraId="2C41B82E" w14:textId="77777777" w:rsidR="00B10FA3" w:rsidRDefault="00B10FA3" w:rsidP="004441D0">
      <w:pPr>
        <w:spacing w:line="480" w:lineRule="auto"/>
        <w:rPr>
          <w:sz w:val="28"/>
          <w:szCs w:val="28"/>
        </w:rPr>
      </w:pPr>
    </w:p>
    <w:p w14:paraId="704398F2" w14:textId="77777777" w:rsidR="00B10FA3" w:rsidRDefault="00B10FA3" w:rsidP="004441D0">
      <w:pPr>
        <w:spacing w:line="480" w:lineRule="auto"/>
        <w:rPr>
          <w:sz w:val="28"/>
          <w:szCs w:val="28"/>
        </w:rPr>
      </w:pPr>
    </w:p>
    <w:p w14:paraId="6C4F6CC1" w14:textId="77777777" w:rsidR="00B10FA3" w:rsidRDefault="00B10FA3" w:rsidP="004441D0">
      <w:pPr>
        <w:spacing w:line="480" w:lineRule="auto"/>
        <w:rPr>
          <w:sz w:val="28"/>
          <w:szCs w:val="28"/>
        </w:rPr>
      </w:pPr>
    </w:p>
    <w:p w14:paraId="3E0C173B" w14:textId="77777777" w:rsidR="00B10FA3" w:rsidRDefault="00B10FA3" w:rsidP="004441D0">
      <w:pPr>
        <w:spacing w:line="480" w:lineRule="auto"/>
        <w:rPr>
          <w:sz w:val="28"/>
          <w:szCs w:val="28"/>
        </w:rPr>
      </w:pPr>
    </w:p>
    <w:p w14:paraId="70E41AA8" w14:textId="77777777" w:rsidR="00B10FA3" w:rsidRDefault="00B10FA3" w:rsidP="004441D0">
      <w:pPr>
        <w:spacing w:line="480" w:lineRule="auto"/>
      </w:pPr>
      <w:r>
        <w:rPr>
          <w:sz w:val="28"/>
          <w:szCs w:val="28"/>
        </w:rPr>
        <w:t xml:space="preserve">     </w:t>
      </w:r>
      <w:r>
        <w:t>After having examined American political and social culture, and paying homage to the mythological symbols within the American psyche, we might now look at one of the most pivotal aspects of American modern cultural change: the examination of white men in America in 2024; their status, their worries, their prejudices and preferences, and the case that they might make against a culture that has sometimes seemed to have all but written them off as irrelevant.</w:t>
      </w:r>
    </w:p>
    <w:p w14:paraId="79DF9245" w14:textId="4EC3F221" w:rsidR="00B10FA3" w:rsidRDefault="00B10FA3" w:rsidP="004441D0">
      <w:pPr>
        <w:spacing w:line="480" w:lineRule="auto"/>
      </w:pPr>
      <w:r>
        <w:t xml:space="preserve">     In analyzing the current and future status of white males in America, one cannot ignore the fact that the subject itself is controversial, and involves scurrying down a potential rabbit hole of politically correct supposition, feminist outrage, and, of course, the standard contemporary cauldron of white male resentment. The research presented here is designed for one purpose only, and with two criteria; 1. To present the American white male as a demographic unit on the defensive in the modern American political and social world and 2. To evaluate and analyze that posture and to try to find a way forward, given that a major demographic group in decline can </w:t>
      </w:r>
      <w:proofErr w:type="spellStart"/>
      <w:r>
        <w:t>wrec</w:t>
      </w:r>
      <w:r w:rsidR="00193ED6">
        <w:t>k</w:t>
      </w:r>
      <w:r>
        <w:t xml:space="preserve"> havoc</w:t>
      </w:r>
      <w:proofErr w:type="spellEnd"/>
      <w:r>
        <w:t xml:space="preserve"> on the body politic, if their grievances are continually ignored. </w:t>
      </w:r>
    </w:p>
    <w:p w14:paraId="10FB48FF" w14:textId="77777777" w:rsidR="00B10FA3" w:rsidRDefault="00B10FA3" w:rsidP="004441D0">
      <w:pPr>
        <w:spacing w:line="480" w:lineRule="auto"/>
      </w:pPr>
      <w:r>
        <w:lastRenderedPageBreak/>
        <w:t xml:space="preserve">     Let us first look at whiteness in a </w:t>
      </w:r>
      <w:r w:rsidRPr="0041280E">
        <w:rPr>
          <w:i/>
          <w:iCs/>
        </w:rPr>
        <w:t>regional sense</w:t>
      </w:r>
      <w:r>
        <w:t xml:space="preserve">. The Civil Rights Movement of the late 1950s and 1960s is typically viewed through the perspective of </w:t>
      </w:r>
      <w:r w:rsidRPr="008D0321">
        <w:rPr>
          <w:i/>
          <w:iCs/>
        </w:rPr>
        <w:t>racial conflict</w:t>
      </w:r>
      <w:r>
        <w:t xml:space="preserve">.  Indeed, race and racial subjugation played a huge part in Southern life from the antebellum period until the present. In America, it is, for myriad reasons, impossible to extricate race from class either historically or contemporaneously. The purity of Marxist class categorization explains nearly nothing about the nuances of a very difficult – and in some ways unique - American political and social economy. </w:t>
      </w:r>
    </w:p>
    <w:p w14:paraId="132C0FB8" w14:textId="77777777" w:rsidR="00B10FA3" w:rsidRDefault="00B10FA3" w:rsidP="004441D0">
      <w:pPr>
        <w:spacing w:line="480" w:lineRule="auto"/>
      </w:pPr>
      <w:r>
        <w:t xml:space="preserve">     But, importantly, one must step back from facile interpretations of the true battles of the civil rights era and see that, perhaps as important, if not more important than a racial battle, the White South was fighting against was a </w:t>
      </w:r>
      <w:r w:rsidRPr="00C578F8">
        <w:rPr>
          <w:i/>
          <w:iCs/>
        </w:rPr>
        <w:t>redistribution of power</w:t>
      </w:r>
      <w:r>
        <w:t xml:space="preserve"> that favored a new group. That new bodies were empowered was primary, and perhaps consequential to those new bodies being black. The social balance was being upset. </w:t>
      </w:r>
      <w:r w:rsidRPr="0041280E">
        <w:rPr>
          <w:i/>
          <w:iCs/>
        </w:rPr>
        <w:t>That this group was African American is significant, but it is not determinative</w:t>
      </w:r>
      <w:r>
        <w:t>.  One could imagine newly enfranchised blacks finding common ground with poor and working-class whites, and, as a result, the socio-economic order of the class-stratified South could be skewed even further.</w:t>
      </w:r>
    </w:p>
    <w:p w14:paraId="1C63B859" w14:textId="77777777" w:rsidR="00B10FA3" w:rsidRPr="00B82AC4" w:rsidRDefault="00B10FA3" w:rsidP="004441D0">
      <w:pPr>
        <w:spacing w:line="480" w:lineRule="auto"/>
      </w:pPr>
      <w:r>
        <w:t xml:space="preserve">    White power generally, and white male power specifically were under threat, and these threats were real. Several interpretations of the modern South come into play here. The first, called by some the </w:t>
      </w:r>
      <w:r>
        <w:rPr>
          <w:i/>
          <w:iCs/>
        </w:rPr>
        <w:t>Down Home South</w:t>
      </w:r>
      <w:r>
        <w:t xml:space="preserve">, was a way of conceiving the rural South as a bulwark against modernism and change; a place where time stood still and traditional values prevailed. This nostalgic approach to understanding the modern South, depicted in television </w:t>
      </w:r>
      <w:r>
        <w:lastRenderedPageBreak/>
        <w:t xml:space="preserve">shows such as </w:t>
      </w:r>
      <w:r>
        <w:rPr>
          <w:i/>
          <w:iCs/>
        </w:rPr>
        <w:t>The Beverly Hillbillies</w:t>
      </w:r>
      <w:r>
        <w:t xml:space="preserve"> was a benign and comforting way of understanding a traditional past that may or may not have ever existed.</w:t>
      </w:r>
      <w:r>
        <w:rPr>
          <w:rStyle w:val="FootnoteReference"/>
        </w:rPr>
        <w:footnoteReference w:id="116"/>
      </w:r>
    </w:p>
    <w:p w14:paraId="38A3F225" w14:textId="13992A52" w:rsidR="00B10FA3" w:rsidRDefault="00B10FA3" w:rsidP="00F24048">
      <w:pPr>
        <w:spacing w:line="480" w:lineRule="auto"/>
      </w:pPr>
      <w:r>
        <w:rPr>
          <w:i/>
          <w:iCs/>
          <w:sz w:val="28"/>
          <w:szCs w:val="28"/>
        </w:rPr>
        <w:t xml:space="preserve">     </w:t>
      </w:r>
      <w:r>
        <w:t>Moving in to the 1970s: Zachary Lechner introduced other categories of “</w:t>
      </w:r>
      <w:proofErr w:type="spellStart"/>
      <w:r>
        <w:t>Southernity</w:t>
      </w:r>
      <w:proofErr w:type="spellEnd"/>
      <w:r>
        <w:t xml:space="preserve">,” including ‘The </w:t>
      </w:r>
      <w:r w:rsidRPr="00E4628E">
        <w:rPr>
          <w:i/>
          <w:iCs/>
        </w:rPr>
        <w:t>Changing South</w:t>
      </w:r>
      <w:r>
        <w:t xml:space="preserve">, in which he describes modern bands such as the Allman Brothers as crossing the racial </w:t>
      </w:r>
      <w:proofErr w:type="spellStart"/>
      <w:r>
        <w:t>rub</w:t>
      </w:r>
      <w:r w:rsidR="002D3073">
        <w:t>i</w:t>
      </w:r>
      <w:r>
        <w:t>con</w:t>
      </w:r>
      <w:proofErr w:type="spellEnd"/>
      <w:r>
        <w:t xml:space="preserve">, creating mixed race bands, and working towards a more inclusive social scene. </w:t>
      </w:r>
    </w:p>
    <w:p w14:paraId="048D37AF" w14:textId="5E246B9F" w:rsidR="00B10FA3" w:rsidRDefault="00B10FA3" w:rsidP="00F24048">
      <w:pPr>
        <w:spacing w:line="480" w:lineRule="auto"/>
      </w:pPr>
      <w:r>
        <w:t xml:space="preserve">     Counterposed to this notion was that of the </w:t>
      </w:r>
      <w:r w:rsidRPr="00E4628E">
        <w:rPr>
          <w:i/>
          <w:iCs/>
        </w:rPr>
        <w:t xml:space="preserve">Masculine South, </w:t>
      </w:r>
      <w:r>
        <w:t>which describes those who felt most compromised and emasculated by the gains of the civil rights movement. His example of Lyny</w:t>
      </w:r>
      <w:r w:rsidR="00107E4C">
        <w:t>r</w:t>
      </w:r>
      <w:r>
        <w:t xml:space="preserve">d Skynyrd, as opposed to the Allman Brothers, suggests a macho pushback against a reformist, inclusive and racially tolerant ethic in the South, and a recognition of working-class white masculinity. </w:t>
      </w:r>
    </w:p>
    <w:p w14:paraId="389DD791" w14:textId="77777777" w:rsidR="00B10FA3" w:rsidRDefault="00B10FA3" w:rsidP="00F24048">
      <w:pPr>
        <w:spacing w:line="480" w:lineRule="auto"/>
      </w:pPr>
      <w:r>
        <w:t xml:space="preserve">     At the extreme of the ‘masculine South’ was the “vicious” South, personified by the reactionary and often violent action by players such as George Wallace and others who spared no effort to demonstrate racism to non-white groups in the most salient ways.</w:t>
      </w:r>
      <w:r>
        <w:rPr>
          <w:rStyle w:val="FootnoteReference"/>
        </w:rPr>
        <w:footnoteReference w:id="117"/>
      </w:r>
    </w:p>
    <w:p w14:paraId="1A63A8D9" w14:textId="77777777" w:rsidR="00B10FA3" w:rsidRDefault="00B10FA3" w:rsidP="00F24048">
      <w:pPr>
        <w:spacing w:line="480" w:lineRule="auto"/>
      </w:pPr>
      <w:r>
        <w:t xml:space="preserve">     But as easy as it might be to focus on </w:t>
      </w:r>
      <w:r w:rsidRPr="00C578F8">
        <w:rPr>
          <w:i/>
          <w:iCs/>
        </w:rPr>
        <w:t>Southern</w:t>
      </w:r>
      <w:r>
        <w:t xml:space="preserve"> white men as the most reactionary group in modern times, a closer look shows that the concerns and fears surrounding white male power and its fading influence, have been shared throughout the territory of the US, and have been for some time. </w:t>
      </w:r>
    </w:p>
    <w:p w14:paraId="3CED0911" w14:textId="77777777" w:rsidR="00205EB2" w:rsidRDefault="00205EB2" w:rsidP="00F24048">
      <w:pPr>
        <w:spacing w:line="480" w:lineRule="auto"/>
      </w:pPr>
    </w:p>
    <w:p w14:paraId="7C515822" w14:textId="77777777" w:rsidR="00B10FA3" w:rsidRPr="00107E4C" w:rsidRDefault="00B10FA3" w:rsidP="00F24048">
      <w:pPr>
        <w:spacing w:line="480" w:lineRule="auto"/>
        <w:rPr>
          <w:rFonts w:ascii="Times New Roman" w:hAnsi="Times New Roman" w:cs="Times New Roman"/>
          <w:b/>
          <w:bCs/>
          <w:i/>
          <w:iCs/>
          <w:sz w:val="28"/>
          <w:szCs w:val="28"/>
        </w:rPr>
      </w:pPr>
      <w:r w:rsidRPr="00107E4C">
        <w:rPr>
          <w:rFonts w:ascii="Times New Roman" w:hAnsi="Times New Roman" w:cs="Times New Roman"/>
          <w:b/>
          <w:bCs/>
          <w:i/>
          <w:iCs/>
          <w:sz w:val="28"/>
          <w:szCs w:val="28"/>
        </w:rPr>
        <w:lastRenderedPageBreak/>
        <w:t>Making Sense of It</w:t>
      </w:r>
    </w:p>
    <w:p w14:paraId="57AEFF3F" w14:textId="77777777" w:rsidR="00B10FA3" w:rsidRDefault="00B10FA3" w:rsidP="00F24048">
      <w:pPr>
        <w:spacing w:line="480" w:lineRule="auto"/>
      </w:pPr>
      <w:r>
        <w:t xml:space="preserve">     In 1970, American sociologist Seymour Martin Lipset published </w:t>
      </w:r>
      <w:r>
        <w:rPr>
          <w:i/>
          <w:iCs/>
        </w:rPr>
        <w:t>The Politics of Unreason: Right Wing Extremism in America 1790-1970.</w:t>
      </w:r>
      <w:r>
        <w:t xml:space="preserve"> The work was a profound exposition of the underpinnings of right-wing extremism. However, the work was largely non-ideological; instead of imposing a doctrinally neo-Marxist, liberal, conservative or libertarian imprimatur on the phenomenon of political extremism, he concentrated on political actors, upon </w:t>
      </w:r>
      <w:r w:rsidRPr="008D0321">
        <w:rPr>
          <w:i/>
          <w:iCs/>
        </w:rPr>
        <w:t>political man</w:t>
      </w:r>
      <w:r>
        <w:t>, as a means of determining how human beings react to various social, economic and political challenges. His work has stood the test of time, as it does not confuse the rational with the purposeful, not falling into a priori strictures about class or cultural behavior.</w:t>
      </w:r>
    </w:p>
    <w:p w14:paraId="6F82E721" w14:textId="77777777" w:rsidR="00B10FA3" w:rsidRDefault="00B10FA3" w:rsidP="00F24048">
      <w:pPr>
        <w:spacing w:line="480" w:lineRule="auto"/>
      </w:pPr>
      <w:r>
        <w:t xml:space="preserve">     </w:t>
      </w:r>
      <w:proofErr w:type="spellStart"/>
      <w:r>
        <w:t>Lipset</w:t>
      </w:r>
      <w:proofErr w:type="spellEnd"/>
      <w:r>
        <w:t xml:space="preserve"> examines the human animal free of chauvinism or class sentimentality, though he considers elements of class carefully. He, like Freud, realized that human behavior often, if not typically, masks itself in varying justifications - rational or not - that may contradict one another.  </w:t>
      </w:r>
    </w:p>
    <w:p w14:paraId="0BE9D5A0" w14:textId="77777777" w:rsidR="00B10FA3" w:rsidRDefault="00B10FA3" w:rsidP="00F24048">
      <w:pPr>
        <w:spacing w:line="480" w:lineRule="auto"/>
      </w:pPr>
      <w:r>
        <w:t xml:space="preserve">     In the political realm, a human actor plays a role in a societal drama; his or her character in that role is largely determined by their perceived status stability.  Political sympathies that emerge from groups that feel under siege in terms of their social and political status may appear irrational, ill-informed, misguided or even crazy, but, to the political actor, they are valid, and worth sacrificing for, as the stakes are simply too systemic and existential, at least in their minds. </w:t>
      </w:r>
    </w:p>
    <w:p w14:paraId="24B51FB0" w14:textId="77777777" w:rsidR="00B10FA3" w:rsidRDefault="00B10FA3" w:rsidP="00F24048">
      <w:pPr>
        <w:spacing w:line="480" w:lineRule="auto"/>
      </w:pPr>
      <w:r>
        <w:t xml:space="preserve">     This essay will lean heavily on </w:t>
      </w:r>
      <w:proofErr w:type="spellStart"/>
      <w:r>
        <w:t>Lipset</w:t>
      </w:r>
      <w:proofErr w:type="spellEnd"/>
      <w:r>
        <w:t xml:space="preserve"> and some other contemporaries to better make sense of the anger, the irrationality and the regression in politics that the US is caught in the midst of. Of all of the chapters in the book, this one is the most analytical and doctrinal: that, </w:t>
      </w:r>
      <w:r>
        <w:lastRenderedPageBreak/>
        <w:t>hopefully, shouldn’t render it too tedious. Rather, I hope to provide some historical perspective that might ring true to the present era, and our own sticky travails.</w:t>
      </w:r>
    </w:p>
    <w:p w14:paraId="538D5E21" w14:textId="77777777" w:rsidR="00B10FA3" w:rsidRDefault="00B10FA3" w:rsidP="00F24048">
      <w:pPr>
        <w:spacing w:line="480" w:lineRule="auto"/>
      </w:pPr>
    </w:p>
    <w:p w14:paraId="716104DB" w14:textId="3E70269F" w:rsidR="00B10FA3" w:rsidRDefault="00B10FA3" w:rsidP="00F24048">
      <w:pPr>
        <w:spacing w:line="480" w:lineRule="auto"/>
        <w:rPr>
          <w:rFonts w:ascii="Times New Roman" w:hAnsi="Times New Roman" w:cs="Times New Roman"/>
          <w:b/>
          <w:bCs/>
          <w:i/>
          <w:iCs/>
          <w:sz w:val="28"/>
          <w:szCs w:val="28"/>
        </w:rPr>
      </w:pPr>
      <w:r w:rsidRPr="00107E4C">
        <w:rPr>
          <w:rFonts w:ascii="Times New Roman" w:hAnsi="Times New Roman" w:cs="Times New Roman"/>
          <w:b/>
          <w:bCs/>
          <w:i/>
          <w:iCs/>
          <w:sz w:val="28"/>
          <w:szCs w:val="28"/>
        </w:rPr>
        <w:t>Extremism: A Definition</w:t>
      </w:r>
    </w:p>
    <w:p w14:paraId="320442D7" w14:textId="77777777" w:rsidR="00B10FA3" w:rsidRDefault="00B10FA3" w:rsidP="00F24048">
      <w:pPr>
        <w:spacing w:line="480" w:lineRule="auto"/>
        <w:rPr>
          <w:b/>
          <w:bCs/>
          <w:sz w:val="28"/>
          <w:szCs w:val="28"/>
        </w:rPr>
      </w:pPr>
      <w:r>
        <w:rPr>
          <w:b/>
          <w:bCs/>
          <w:sz w:val="28"/>
          <w:szCs w:val="28"/>
        </w:rPr>
        <w:t xml:space="preserve">   </w:t>
      </w:r>
      <w:r>
        <w:t>The word “extremism” implies a testing of limits, of going beyond normal boundaries, of pushing norms. In politics, this can be mitigated by the passage of time; what was ‘radical’ or ‘extreme’ regarding views towards gay rights, might now, several decades later, be regarded as the ‘normal’ or ‘consensual’ position. Thus, ‘extremism’ is a viewpoint that is, by necessity, constantly in the flux of change. It has been noted that there are four types of societies: the Traditional, in which there are differentiated but fixed standards, the Populist, in which standards are fluid but uniform; the Monistic, in which standards are both uniform and fixed, and Pluralistic, in which standards are both differentiated and fluid.</w:t>
      </w:r>
      <w:r>
        <w:rPr>
          <w:rStyle w:val="FootnoteReference"/>
        </w:rPr>
        <w:footnoteReference w:id="118"/>
      </w:r>
      <w:r>
        <w:rPr>
          <w:b/>
          <w:bCs/>
          <w:sz w:val="28"/>
          <w:szCs w:val="28"/>
        </w:rPr>
        <w:t xml:space="preserve">     </w:t>
      </w:r>
    </w:p>
    <w:p w14:paraId="6885008E" w14:textId="60E03A51" w:rsidR="00B10FA3" w:rsidRDefault="00B10FA3" w:rsidP="00F24048">
      <w:pPr>
        <w:spacing w:line="480" w:lineRule="auto"/>
      </w:pPr>
      <w:r>
        <w:rPr>
          <w:b/>
          <w:bCs/>
          <w:sz w:val="28"/>
          <w:szCs w:val="28"/>
        </w:rPr>
        <w:t xml:space="preserve">     </w:t>
      </w:r>
      <w:r>
        <w:t xml:space="preserve">The </w:t>
      </w:r>
      <w:r w:rsidR="00AE14CB">
        <w:t xml:space="preserve">baseline </w:t>
      </w:r>
      <w:r>
        <w:t xml:space="preserve">theory put forth by </w:t>
      </w:r>
      <w:proofErr w:type="spellStart"/>
      <w:r>
        <w:t>Lipset</w:t>
      </w:r>
      <w:proofErr w:type="spellEnd"/>
      <w:r>
        <w:t xml:space="preserve"> is one of </w:t>
      </w:r>
      <w:r w:rsidRPr="00AE14CB">
        <w:rPr>
          <w:i/>
          <w:iCs/>
          <w:u w:val="single"/>
        </w:rPr>
        <w:t>status deprivation</w:t>
      </w:r>
      <w:r>
        <w:t xml:space="preserve"> as the cause of extremist behavior. The usefulness of this notion is that it is not, like some theories of social behavior, wedded to a preconceived notion of class. While certain social classes, particularly the lower middle class, seem prone to extremist behavior, status deprivation is a subjective concept, indicating a perceived loss of power and influence, regardless of social standing, resulting in skewed individual and group political behavior. </w:t>
      </w:r>
    </w:p>
    <w:p w14:paraId="5173283E" w14:textId="77777777" w:rsidR="00B10FA3" w:rsidRPr="007E6B72" w:rsidRDefault="00B10FA3" w:rsidP="00F24048">
      <w:pPr>
        <w:spacing w:line="480" w:lineRule="auto"/>
      </w:pPr>
      <w:r>
        <w:t xml:space="preserve">     Importantly, the </w:t>
      </w:r>
      <w:r>
        <w:rPr>
          <w:i/>
          <w:iCs/>
        </w:rPr>
        <w:t>stated justification</w:t>
      </w:r>
      <w:r>
        <w:t xml:space="preserve"> for political and social action is often quite different from the likely catalyst. Fear of communism might be the justification for loyalty oaths; fear </w:t>
      </w:r>
      <w:r>
        <w:lastRenderedPageBreak/>
        <w:t xml:space="preserve">of rape of white women by black men may justify a lynch mob. But economics, or economic crisis may drive both – as might technological change, flight from rural areas, or changing sexual or gender norms. Large numbers of immigrants may trigger a racist backlash. But, under the purported justification, it is perceived </w:t>
      </w:r>
      <w:r>
        <w:rPr>
          <w:i/>
          <w:iCs/>
        </w:rPr>
        <w:t>status change</w:t>
      </w:r>
      <w:r>
        <w:t xml:space="preserve"> that drives behavior – the loss of jobs, of voting power, of recognizable culture, of </w:t>
      </w:r>
      <w:r>
        <w:rPr>
          <w:i/>
          <w:iCs/>
        </w:rPr>
        <w:t xml:space="preserve">normalcy. </w:t>
      </w:r>
      <w:r>
        <w:t xml:space="preserve"> The political actions of extremist groups are often symbolic or metaphorical, burying the true source of discontent under a canopy of patriotism, militarism, morality and tradition.</w:t>
      </w:r>
    </w:p>
    <w:p w14:paraId="49DBB880" w14:textId="77777777" w:rsidR="00B10FA3" w:rsidRDefault="00B10FA3" w:rsidP="00F24048">
      <w:pPr>
        <w:spacing w:line="480" w:lineRule="auto"/>
      </w:pPr>
      <w:r>
        <w:rPr>
          <w:b/>
          <w:bCs/>
          <w:sz w:val="28"/>
          <w:szCs w:val="28"/>
        </w:rPr>
        <w:t xml:space="preserve">     </w:t>
      </w:r>
      <w:r>
        <w:t>Extremism is, generally, a posture that opposes pluralism, differentiation, the expansion of representation or the idea that more input for varying sources in a positive quality for a body politic. Classical liberalism, deriving from the Enlightenment of the 18</w:t>
      </w:r>
      <w:r w:rsidRPr="00E35D70">
        <w:rPr>
          <w:vertAlign w:val="superscript"/>
        </w:rPr>
        <w:t>th</w:t>
      </w:r>
      <w:r>
        <w:t xml:space="preserve"> century, valued the notion of a “marketplace of ideas,” that the more open a society was to intellectual discourse and risk taking, the better it would be in the long run. An </w:t>
      </w:r>
      <w:r>
        <w:rPr>
          <w:i/>
          <w:iCs/>
        </w:rPr>
        <w:t>extremist</w:t>
      </w:r>
      <w:r>
        <w:t xml:space="preserve"> position denies the above, wishing to </w:t>
      </w:r>
      <w:r w:rsidRPr="0041280E">
        <w:rPr>
          <w:i/>
          <w:iCs/>
        </w:rPr>
        <w:t>close down the marketplace</w:t>
      </w:r>
      <w:r>
        <w:t xml:space="preserve"> of ideas as radically anti-pluralist. Ideas that are not clear and evident are considered </w:t>
      </w:r>
      <w:r>
        <w:rPr>
          <w:i/>
          <w:iCs/>
        </w:rPr>
        <w:t>illegitimate</w:t>
      </w:r>
      <w:r>
        <w:t xml:space="preserve">. What often emerges in an extremist movement is a tendency towards </w:t>
      </w:r>
      <w:r w:rsidRPr="00DF54CF">
        <w:rPr>
          <w:b/>
          <w:bCs/>
          <w:i/>
          <w:iCs/>
        </w:rPr>
        <w:t>monism</w:t>
      </w:r>
      <w:r w:rsidRPr="00DF54CF">
        <w:rPr>
          <w:b/>
          <w:bCs/>
        </w:rPr>
        <w:t>,</w:t>
      </w:r>
      <w:r>
        <w:t xml:space="preserve"> the idea that there is, in fact, only one answer, one discussion, one perspective.</w:t>
      </w:r>
      <w:r>
        <w:rPr>
          <w:rStyle w:val="FootnoteReference"/>
        </w:rPr>
        <w:footnoteReference w:id="119"/>
      </w:r>
      <w:r>
        <w:t xml:space="preserve"> This concept may be reflected in religious social or governing terms: one faith, one morality, one leader.</w:t>
      </w:r>
    </w:p>
    <w:p w14:paraId="0D41E882" w14:textId="77777777" w:rsidR="00B10FA3" w:rsidRDefault="00B10FA3" w:rsidP="00F24048">
      <w:pPr>
        <w:spacing w:line="480" w:lineRule="auto"/>
      </w:pPr>
      <w:r>
        <w:t xml:space="preserve">     </w:t>
      </w:r>
      <w:proofErr w:type="spellStart"/>
      <w:r>
        <w:t>Lipset</w:t>
      </w:r>
      <w:proofErr w:type="spellEnd"/>
      <w:r>
        <w:t xml:space="preserve"> points out Thomas Jefferson’s admonition (paraphrased here) for free speech that “If there be any among us who would wish to dissolve the Union or to change its Republican form, let them stand as monuments of the safety with which error of opinion may be tolerated where reason is free to combat it.”</w:t>
      </w:r>
      <w:r>
        <w:rPr>
          <w:rStyle w:val="FootnoteReference"/>
        </w:rPr>
        <w:footnoteReference w:id="120"/>
      </w:r>
      <w:r>
        <w:t xml:space="preserve">  The American proclivity to trust human </w:t>
      </w:r>
      <w:r>
        <w:lastRenderedPageBreak/>
        <w:t>reason also leaves open the possibility that humans are not infallible. Hence, the marketplace of ideas is dynamic and creative, but it is also prone to error, which must be tolerated as a necessary by-product of the search for truth. Enlightenment age thinkers were not naïve; they understood that a meaningful conversation in the social and political realm would and should involve error, exaggeration, hyperbole and prejudice. But, in the end, after reasoned debate and the honing of belief, a reasoned and discernible perspective might emerge from the chaos of rhetoric. Or so they thought.</w:t>
      </w:r>
    </w:p>
    <w:p w14:paraId="3C3F5301" w14:textId="77777777" w:rsidR="00205EB2" w:rsidRDefault="00205EB2" w:rsidP="00F24048">
      <w:pPr>
        <w:spacing w:line="480" w:lineRule="auto"/>
      </w:pPr>
    </w:p>
    <w:p w14:paraId="253B29F3" w14:textId="77777777" w:rsidR="00B10FA3" w:rsidRPr="00A5603D" w:rsidRDefault="00B10FA3" w:rsidP="00F24048">
      <w:pPr>
        <w:spacing w:line="480" w:lineRule="auto"/>
        <w:rPr>
          <w:b/>
          <w:bCs/>
          <w:i/>
          <w:iCs/>
          <w:sz w:val="28"/>
          <w:szCs w:val="28"/>
        </w:rPr>
      </w:pPr>
      <w:r w:rsidRPr="00A5603D">
        <w:rPr>
          <w:b/>
          <w:bCs/>
          <w:i/>
          <w:iCs/>
          <w:sz w:val="28"/>
          <w:szCs w:val="28"/>
        </w:rPr>
        <w:t xml:space="preserve"> Manipulated Speech, Manipulated People</w:t>
      </w:r>
    </w:p>
    <w:p w14:paraId="69C50659" w14:textId="77777777" w:rsidR="00B10FA3" w:rsidRDefault="00B10FA3" w:rsidP="00F24048">
      <w:pPr>
        <w:spacing w:line="480" w:lineRule="auto"/>
      </w:pPr>
      <w:r>
        <w:t xml:space="preserve">     Perhaps the problem with the logic of the Founding Fathers was that they were prepared to do battle with error, but not necessarily with </w:t>
      </w:r>
      <w:r>
        <w:rPr>
          <w:i/>
          <w:iCs/>
        </w:rPr>
        <w:t>trickery</w:t>
      </w:r>
      <w:r>
        <w:t>. While cynicism and opportunism might be acknowledged, deliberate and ill-conceived language was, in the main, not anticipated by 18</w:t>
      </w:r>
      <w:r w:rsidRPr="00AF2FE8">
        <w:rPr>
          <w:vertAlign w:val="superscript"/>
        </w:rPr>
        <w:t>th</w:t>
      </w:r>
      <w:r>
        <w:t xml:space="preserve"> century reason- bound political theorists. </w:t>
      </w:r>
    </w:p>
    <w:p w14:paraId="46917194" w14:textId="77777777" w:rsidR="00B10FA3" w:rsidRDefault="00B10FA3" w:rsidP="00F24048">
      <w:pPr>
        <w:spacing w:line="480" w:lineRule="auto"/>
      </w:pPr>
      <w:r>
        <w:t xml:space="preserve">     Modern propagandistic techniques, developed from American social theorists and marketing pioneers such as Edward Bernays, would heavily influence Western politics from the First World War onward. The malleability of the human personality and viewpoint was a discovery of the Freudian period. (Of note: Edward Bernays’ mother was Sigmund Freud’s sister.)</w:t>
      </w:r>
    </w:p>
    <w:p w14:paraId="54BF0E29" w14:textId="77777777" w:rsidR="00B10FA3" w:rsidRDefault="00B10FA3" w:rsidP="00F24048">
      <w:pPr>
        <w:spacing w:line="480" w:lineRule="auto"/>
      </w:pPr>
      <w:r>
        <w:t xml:space="preserve">     In essence, Bernays, who was pivotal in developing the modern American advertising industry, believed that the only alternative to democracy was anarchy, and that only a few, select ‘intelligent’ members of society could direct the masses towards their own best interests:</w:t>
      </w:r>
    </w:p>
    <w:p w14:paraId="408F1B1A" w14:textId="77777777" w:rsidR="00B10FA3" w:rsidRPr="00A5345B" w:rsidRDefault="00B10FA3" w:rsidP="00F91FDE">
      <w:pPr>
        <w:spacing w:before="100" w:beforeAutospacing="1" w:after="100" w:afterAutospacing="1" w:line="240" w:lineRule="auto"/>
        <w:rPr>
          <w:rFonts w:eastAsia="Times New Roman"/>
          <w:lang w:eastAsia="en-CA"/>
        </w:rPr>
      </w:pPr>
      <w:r>
        <w:rPr>
          <w:rFonts w:eastAsia="Times New Roman"/>
          <w:lang w:eastAsia="en-CA"/>
        </w:rPr>
        <w:lastRenderedPageBreak/>
        <w:t>…</w:t>
      </w:r>
      <w:r w:rsidRPr="00A5345B">
        <w:rPr>
          <w:rFonts w:eastAsia="Times New Roman"/>
          <w:lang w:eastAsia="en-CA"/>
        </w:rPr>
        <w:t>the "masses" are driven by factors outside their conscious understanding, and therefore that their minds can and should be manipulated by the capable few. "Intelligent men must realize that propaganda is the modern instrument by which they can fight for productive ends and help to bring order out of chaos."</w:t>
      </w:r>
      <w:r>
        <w:rPr>
          <w:rStyle w:val="FootnoteReference"/>
          <w:rFonts w:eastAsia="Times New Roman"/>
          <w:lang w:eastAsia="en-CA"/>
        </w:rPr>
        <w:footnoteReference w:id="121"/>
      </w:r>
    </w:p>
    <w:p w14:paraId="4D0F96FA" w14:textId="77777777" w:rsidR="00B10FA3" w:rsidRDefault="00B10FA3" w:rsidP="00F91FDE">
      <w:pPr>
        <w:spacing w:beforeAutospacing="1" w:after="100" w:afterAutospacing="1" w:line="240" w:lineRule="auto"/>
        <w:rPr>
          <w:rFonts w:eastAsia="Times New Roman"/>
          <w:lang w:eastAsia="en-CA"/>
        </w:rPr>
      </w:pPr>
      <w:r w:rsidRPr="00A5345B">
        <w:rPr>
          <w:rFonts w:eastAsia="Times New Roman"/>
          <w:lang w:eastAsia="en-CA"/>
        </w:rPr>
        <w:t>The conscious and intelligent manipulation of the organized habits and opinions of the masses is an important element in</w:t>
      </w:r>
      <w:r>
        <w:rPr>
          <w:rFonts w:eastAsia="Times New Roman"/>
          <w:lang w:eastAsia="en-CA"/>
        </w:rPr>
        <w:t xml:space="preserve"> democratic</w:t>
      </w:r>
      <w:r w:rsidRPr="00A5345B">
        <w:rPr>
          <w:rFonts w:eastAsia="Times New Roman"/>
          <w:lang w:eastAsia="en-CA"/>
        </w:rPr>
        <w:t xml:space="preserve"> society. Those who manipulate this unseen mechanism of society constitute an </w:t>
      </w:r>
      <w:r>
        <w:rPr>
          <w:rFonts w:eastAsia="Times New Roman"/>
          <w:lang w:eastAsia="en-CA"/>
        </w:rPr>
        <w:t>invisible government, wh</w:t>
      </w:r>
      <w:r w:rsidRPr="00A5345B">
        <w:rPr>
          <w:rFonts w:eastAsia="Times New Roman"/>
          <w:lang w:eastAsia="en-CA"/>
        </w:rPr>
        <w:t xml:space="preserve">ich is the true ruling power of our country. …We are governed, our minds are molded, our tastes formed, our ideas suggested, largely by men we have never heard of. </w:t>
      </w:r>
    </w:p>
    <w:p w14:paraId="6A1FC930" w14:textId="77777777" w:rsidR="00B10FA3" w:rsidRDefault="00B10FA3" w:rsidP="00F91FDE">
      <w:pPr>
        <w:spacing w:beforeAutospacing="1" w:after="100" w:afterAutospacing="1" w:line="240" w:lineRule="auto"/>
        <w:rPr>
          <w:rFonts w:eastAsia="Times New Roman"/>
          <w:lang w:eastAsia="en-CA"/>
        </w:rPr>
      </w:pPr>
      <w:r w:rsidRPr="00A5345B">
        <w:rPr>
          <w:rFonts w:eastAsia="Times New Roman"/>
          <w:lang w:eastAsia="en-CA"/>
        </w:rPr>
        <w:t>This is a logical result of the way in which our democratic society is organized. Vast numbers of human beings must cooperate in this manner if they are to live together as a smoothly functioning society. …In almost every act of our daily lives, whether in the sphere o</w:t>
      </w:r>
      <w:r>
        <w:rPr>
          <w:rFonts w:eastAsia="Times New Roman"/>
          <w:lang w:eastAsia="en-CA"/>
        </w:rPr>
        <w:t xml:space="preserve">r politics </w:t>
      </w:r>
      <w:r w:rsidRPr="00A5345B">
        <w:rPr>
          <w:rFonts w:eastAsia="Times New Roman"/>
          <w:lang w:eastAsia="en-CA"/>
        </w:rPr>
        <w:t>or business, in our social conduct or our</w:t>
      </w:r>
      <w:r>
        <w:rPr>
          <w:rFonts w:eastAsia="Times New Roman"/>
          <w:lang w:eastAsia="en-CA"/>
        </w:rPr>
        <w:t xml:space="preserve"> ethical </w:t>
      </w:r>
      <w:r w:rsidRPr="00A5345B">
        <w:rPr>
          <w:rFonts w:eastAsia="Times New Roman"/>
          <w:lang w:eastAsia="en-CA"/>
        </w:rPr>
        <w:t>thinking, we are dominated by the relatively small number of persons… who understand the mental processes and social patterns of the masses. It is they who pull the wires which control the public mind.</w:t>
      </w:r>
      <w:r>
        <w:rPr>
          <w:rStyle w:val="FootnoteReference"/>
          <w:rFonts w:eastAsia="Times New Roman"/>
          <w:lang w:eastAsia="en-CA"/>
        </w:rPr>
        <w:footnoteReference w:id="122"/>
      </w:r>
    </w:p>
    <w:p w14:paraId="60762481" w14:textId="77777777" w:rsidR="00B10FA3" w:rsidRPr="004D2B79" w:rsidRDefault="00B10FA3" w:rsidP="004D2B79">
      <w:pPr>
        <w:spacing w:before="100" w:beforeAutospacing="1" w:after="100" w:afterAutospacing="1" w:line="480" w:lineRule="auto"/>
        <w:rPr>
          <w:rFonts w:eastAsia="Times New Roman"/>
          <w:lang w:eastAsia="en-CA"/>
        </w:rPr>
      </w:pPr>
      <w:r>
        <w:rPr>
          <w:rFonts w:eastAsia="Times New Roman"/>
          <w:lang w:eastAsia="en-CA"/>
        </w:rPr>
        <w:t xml:space="preserve">     Bernays echoed the sentiments of a liberal contemporary, Walter Lippman. Lippman, the founder of the </w:t>
      </w:r>
      <w:r>
        <w:rPr>
          <w:rFonts w:eastAsia="Times New Roman"/>
          <w:i/>
          <w:iCs/>
          <w:lang w:eastAsia="en-CA"/>
        </w:rPr>
        <w:t>New Republic</w:t>
      </w:r>
      <w:r>
        <w:rPr>
          <w:rFonts w:eastAsia="Times New Roman"/>
          <w:lang w:eastAsia="en-CA"/>
        </w:rPr>
        <w:t xml:space="preserve"> magazine, was a reformist liberal who nonetheless believed that the better part of the population was made up of what he called “the bewildered herd,” a population of ignorant and malleable stooges; for democracy to function, they needed to be shown the way by their betters, towards a scientific, rational modern society.</w:t>
      </w:r>
      <w:r>
        <w:rPr>
          <w:rStyle w:val="FootnoteReference"/>
          <w:rFonts w:eastAsia="Times New Roman"/>
          <w:lang w:eastAsia="en-CA"/>
        </w:rPr>
        <w:footnoteReference w:id="123"/>
      </w:r>
    </w:p>
    <w:p w14:paraId="2F63628C" w14:textId="77777777" w:rsidR="00B10FA3" w:rsidRPr="00A5345B" w:rsidRDefault="00B10FA3" w:rsidP="00F91FDE">
      <w:pPr>
        <w:spacing w:beforeAutospacing="1" w:after="100" w:afterAutospacing="1" w:line="240" w:lineRule="auto"/>
        <w:rPr>
          <w:rFonts w:eastAsia="Times New Roman"/>
          <w:lang w:eastAsia="en-CA"/>
        </w:rPr>
      </w:pPr>
      <w:r>
        <w:rPr>
          <w:rFonts w:eastAsia="Times New Roman"/>
          <w:lang w:eastAsia="en-CA"/>
        </w:rPr>
        <w:t xml:space="preserve">     ….</w:t>
      </w:r>
      <w:r>
        <w:t>universal literacy has given [the common man] a rubber stamp, a rubber stamp inked with advertising slogans, with editorials, with published scientific data, with the trivialities of tabloids and the profundities of history, but quite innocent of original thought. Each man's rubber stamp is the twin of millions of others, so that when these millions are exposed to the same stimuli, all receive identical imprints. [...] The amazing readiness with which large masses accept this process is probably accounted for by the fact that no attempt is made to convince them that black is white.</w:t>
      </w:r>
      <w:r>
        <w:rPr>
          <w:rStyle w:val="FootnoteReference"/>
        </w:rPr>
        <w:footnoteReference w:id="124"/>
      </w:r>
    </w:p>
    <w:p w14:paraId="12C86E1A" w14:textId="77777777" w:rsidR="00B10FA3" w:rsidRDefault="00B10FA3" w:rsidP="00F91FDE">
      <w:pPr>
        <w:spacing w:line="240" w:lineRule="auto"/>
        <w:ind w:left="170" w:right="170"/>
      </w:pPr>
    </w:p>
    <w:p w14:paraId="2E349BBC" w14:textId="77777777" w:rsidR="00B10FA3" w:rsidRDefault="00B10FA3" w:rsidP="00AB0B5C">
      <w:pPr>
        <w:spacing w:line="480" w:lineRule="auto"/>
        <w:ind w:left="170" w:right="170"/>
      </w:pPr>
      <w:r>
        <w:lastRenderedPageBreak/>
        <w:t xml:space="preserve">     The cynicism and determinism that prevailed in the thought of a Bernays or a Lippman was not unusual in an early 20</w:t>
      </w:r>
      <w:r w:rsidRPr="00AB0B5C">
        <w:rPr>
          <w:vertAlign w:val="superscript"/>
        </w:rPr>
        <w:t>th</w:t>
      </w:r>
      <w:r>
        <w:t xml:space="preserve"> century intellectual world, where, among the educated classes, theories on intelligence testing, eugenics, Freudian analysis, fascism, Stalinism, industrialism and mass production prevailed – all with implications for the mass man.</w:t>
      </w:r>
    </w:p>
    <w:p w14:paraId="33474F4B" w14:textId="0E24A100" w:rsidR="00B10FA3" w:rsidRDefault="00B10FA3" w:rsidP="009025D1">
      <w:pPr>
        <w:spacing w:line="480" w:lineRule="auto"/>
      </w:pPr>
      <w:r>
        <w:t xml:space="preserve">        Another theorist of elite control was Sociologist C. Wright Mills, who contended, in the mid </w:t>
      </w:r>
      <w:r w:rsidR="00AE14CB">
        <w:t xml:space="preserve">- </w:t>
      </w:r>
      <w:r>
        <w:t>20</w:t>
      </w:r>
      <w:r w:rsidRPr="009025D1">
        <w:rPr>
          <w:vertAlign w:val="superscript"/>
        </w:rPr>
        <w:t>th</w:t>
      </w:r>
      <w:r>
        <w:t xml:space="preserve"> century that there were three modes of power: coercion, authority and manipulation. Coercion involved the very rudimentary forms of violence and physical abuse. Authority indicated a general, reinforced, coercive and socially pressured respect for societal institutions and structures, rendering potential opposition to the ruling order impotent. Finally, manipulation was the means by which the powerful controlled the powerless without the knowledge of the latter.</w:t>
      </w:r>
      <w:r>
        <w:rPr>
          <w:rStyle w:val="FootnoteReference"/>
        </w:rPr>
        <w:footnoteReference w:id="125"/>
      </w:r>
    </w:p>
    <w:p w14:paraId="51B9BB79" w14:textId="77777777" w:rsidR="00B10FA3" w:rsidRDefault="00B10FA3" w:rsidP="009025D1">
      <w:pPr>
        <w:spacing w:line="480" w:lineRule="auto"/>
        <w:rPr>
          <w:b/>
          <w:bCs/>
          <w:i/>
          <w:iCs/>
          <w:sz w:val="32"/>
          <w:szCs w:val="32"/>
        </w:rPr>
      </w:pPr>
      <w:r w:rsidRPr="00DF54CF">
        <w:rPr>
          <w:b/>
          <w:bCs/>
          <w:i/>
          <w:iCs/>
          <w:sz w:val="32"/>
          <w:szCs w:val="32"/>
        </w:rPr>
        <w:t xml:space="preserve"> </w:t>
      </w:r>
    </w:p>
    <w:p w14:paraId="5D59F8E2" w14:textId="77777777" w:rsidR="00B10FA3" w:rsidRPr="00BE4F8F" w:rsidRDefault="00B10FA3" w:rsidP="009025D1">
      <w:pPr>
        <w:spacing w:line="480" w:lineRule="auto"/>
        <w:rPr>
          <w:sz w:val="28"/>
          <w:szCs w:val="28"/>
        </w:rPr>
      </w:pPr>
      <w:r w:rsidRPr="00BE4F8F">
        <w:rPr>
          <w:b/>
          <w:bCs/>
          <w:i/>
          <w:iCs/>
          <w:sz w:val="28"/>
          <w:szCs w:val="28"/>
        </w:rPr>
        <w:t>Additional Trademarks of Extremism</w:t>
      </w:r>
      <w:r w:rsidRPr="00BE4F8F">
        <w:rPr>
          <w:sz w:val="28"/>
          <w:szCs w:val="28"/>
        </w:rPr>
        <w:t xml:space="preserve">  </w:t>
      </w:r>
    </w:p>
    <w:p w14:paraId="5FADCD77" w14:textId="0706B220" w:rsidR="00B10FA3" w:rsidRDefault="00B10FA3" w:rsidP="00F24048">
      <w:pPr>
        <w:spacing w:line="480" w:lineRule="auto"/>
      </w:pPr>
      <w:r>
        <w:t xml:space="preserve">     As </w:t>
      </w:r>
      <w:r>
        <w:rPr>
          <w:i/>
          <w:iCs/>
        </w:rPr>
        <w:t>monism</w:t>
      </w:r>
      <w:r>
        <w:t xml:space="preserve"> allowed for a focus on a single issue as a means of expanding an extremist agenda, so too did </w:t>
      </w:r>
      <w:r w:rsidRPr="00DF54CF">
        <w:rPr>
          <w:b/>
          <w:bCs/>
          <w:i/>
          <w:iCs/>
        </w:rPr>
        <w:t>simplism</w:t>
      </w:r>
      <w:r>
        <w:t xml:space="preserve"> </w:t>
      </w:r>
      <w:r w:rsidR="00AE14CB">
        <w:t xml:space="preserve">( a term coined by S. </w:t>
      </w:r>
      <w:proofErr w:type="spellStart"/>
      <w:r w:rsidR="00AE14CB">
        <w:t>Lipset</w:t>
      </w:r>
      <w:proofErr w:type="spellEnd"/>
      <w:r w:rsidR="00AE14CB">
        <w:t xml:space="preserve">) </w:t>
      </w:r>
      <w:r>
        <w:t>create a framework that was intelligible to mass audiences. What is simplism? One example would be the belief that the American Constitution was a document that was created, almost inevitably, from the ‘genius’ of its authors – a perfect creation that required no change, adaptation or interpretation over time. A sort of secular bible, composed by contemporary, 18</w:t>
      </w:r>
      <w:r w:rsidRPr="00830F3C">
        <w:rPr>
          <w:vertAlign w:val="superscript"/>
        </w:rPr>
        <w:t>th</w:t>
      </w:r>
      <w:r>
        <w:t xml:space="preserve"> century infallible prophets. The insights from 1783 are timeless, and were never questioned, even from the beginning. </w:t>
      </w:r>
    </w:p>
    <w:p w14:paraId="29B0467E" w14:textId="77777777" w:rsidR="00B10FA3" w:rsidRDefault="00B10FA3" w:rsidP="00F24048">
      <w:pPr>
        <w:spacing w:line="480" w:lineRule="auto"/>
      </w:pPr>
      <w:r>
        <w:lastRenderedPageBreak/>
        <w:t xml:space="preserve">     In recent decades, </w:t>
      </w:r>
      <w:r w:rsidRPr="00736A79">
        <w:rPr>
          <w:i/>
          <w:iCs/>
        </w:rPr>
        <w:t>simplism</w:t>
      </w:r>
      <w:r>
        <w:t xml:space="preserve"> is experienced as an </w:t>
      </w:r>
      <w:r w:rsidRPr="00322199">
        <w:rPr>
          <w:i/>
          <w:iCs/>
        </w:rPr>
        <w:t>inability to think critically</w:t>
      </w:r>
      <w:r>
        <w:t>; to see the world (or the US) as a simple, bifurcated choice between, say, free markets and government control, religious faith, or collectivism vs. individualism. It is a black and white (not to mention stagnant) manner of seeing the world, and holds no tolerance for nuance.</w:t>
      </w:r>
      <w:r>
        <w:rPr>
          <w:rStyle w:val="FootnoteReference"/>
        </w:rPr>
        <w:footnoteReference w:id="126"/>
      </w:r>
    </w:p>
    <w:p w14:paraId="6A8D17B4" w14:textId="77777777" w:rsidR="00B10FA3" w:rsidRDefault="00B10FA3" w:rsidP="00F24048">
      <w:pPr>
        <w:spacing w:line="480" w:lineRule="auto"/>
      </w:pPr>
      <w:r>
        <w:t xml:space="preserve">     It is also important to express something when discussing the Constitution and politics generally; that, though perhaps intuitive and obvious, it is rarely talked openly about in politics that we, as individuals and as collectives of like mindedness, really </w:t>
      </w:r>
      <w:r w:rsidRPr="00327E04">
        <w:rPr>
          <w:i/>
          <w:iCs/>
        </w:rPr>
        <w:t>want our own truth to be true.</w:t>
      </w:r>
      <w:r>
        <w:t xml:space="preserve"> We want our team to win. Our identity is tied up in our ideology - and our identity; it colors our perception in ways that we may not be aware of. And we will twist extant documents to fit that desire.</w:t>
      </w:r>
    </w:p>
    <w:p w14:paraId="41D33C9E" w14:textId="77777777" w:rsidR="00B10FA3" w:rsidRDefault="00B10FA3" w:rsidP="00F24048">
      <w:pPr>
        <w:spacing w:line="480" w:lineRule="auto"/>
      </w:pPr>
      <w:r>
        <w:t xml:space="preserve">     Any historian worth their salt will tell you that, not only is history often written by the ‘winners,’ but that every historian brings his or her prejudices into the telling of their tale; how could it be overwise? We grow up with values, knowledge, location, class, culture, preferences, prejudices, relatives, religion, and all of the baggage that comes from them. It would seem a bit presumptuous to suppose that one (whether a scholar or not) could simply step aside for a moment, ‘shed their skin,’ and see things from another perspective. Our pleasures, preferences, passions and prejudices are, literally, in our DNA. </w:t>
      </w:r>
    </w:p>
    <w:p w14:paraId="5FC94646" w14:textId="77777777" w:rsidR="00B10FA3" w:rsidRPr="00BE4F8F" w:rsidRDefault="00B10FA3" w:rsidP="00F24048">
      <w:pPr>
        <w:spacing w:line="480" w:lineRule="auto"/>
        <w:rPr>
          <w:sz w:val="28"/>
          <w:szCs w:val="28"/>
        </w:rPr>
      </w:pPr>
    </w:p>
    <w:p w14:paraId="4799D335" w14:textId="77777777" w:rsidR="00B10FA3" w:rsidRPr="00BE4F8F" w:rsidRDefault="00B10FA3" w:rsidP="00F24048">
      <w:pPr>
        <w:spacing w:line="480" w:lineRule="auto"/>
        <w:rPr>
          <w:b/>
          <w:bCs/>
          <w:i/>
          <w:iCs/>
          <w:sz w:val="28"/>
          <w:szCs w:val="28"/>
        </w:rPr>
      </w:pPr>
      <w:r w:rsidRPr="00BE4F8F">
        <w:rPr>
          <w:b/>
          <w:bCs/>
          <w:i/>
          <w:iCs/>
          <w:sz w:val="28"/>
          <w:szCs w:val="28"/>
        </w:rPr>
        <w:t>Desire of Belief</w:t>
      </w:r>
    </w:p>
    <w:p w14:paraId="734861AE" w14:textId="77777777" w:rsidR="00B10FA3" w:rsidRDefault="00B10FA3" w:rsidP="00F24048">
      <w:pPr>
        <w:spacing w:line="480" w:lineRule="auto"/>
      </w:pPr>
      <w:r>
        <w:rPr>
          <w:b/>
          <w:bCs/>
          <w:sz w:val="28"/>
          <w:szCs w:val="28"/>
        </w:rPr>
        <w:t xml:space="preserve">     </w:t>
      </w:r>
      <w:r>
        <w:t xml:space="preserve">Connected both to the phenomena of monism and simplism is the idea of </w:t>
      </w:r>
      <w:r>
        <w:rPr>
          <w:i/>
          <w:iCs/>
        </w:rPr>
        <w:t>desire</w:t>
      </w:r>
      <w:r>
        <w:t xml:space="preserve"> of opinion. One might argue that we all wish to mold the world in our view – as we all know </w:t>
      </w:r>
      <w:r>
        <w:lastRenderedPageBreak/>
        <w:t>what is best for mankind. But American history is replete with example of wishful thinking on important matters of policy, often relying solely on the mystical power of the word. If I believe it strongly enough, it must be true. When this happens, the ‘belief’ becomes real, and the engine behind the belief is the desire to believe. Combined, this cognitive phenomenon can cause people to place faith in all kinds of matters, though there is no empirical data to back up the claim.</w:t>
      </w:r>
    </w:p>
    <w:p w14:paraId="3AD850B7" w14:textId="77777777" w:rsidR="00B10FA3" w:rsidRDefault="00B10FA3" w:rsidP="00F24048">
      <w:pPr>
        <w:spacing w:line="480" w:lineRule="auto"/>
      </w:pPr>
      <w:r>
        <w:t xml:space="preserve">     </w:t>
      </w:r>
      <w:r>
        <w:rPr>
          <w:i/>
          <w:iCs/>
        </w:rPr>
        <w:t>Desire</w:t>
      </w:r>
      <w:r>
        <w:t xml:space="preserve"> in the political sense is not terribly different from the word in the religious context. Believing the right thing is the ‘substance of victory and remedy.’ Assuming that our desires and wishes are good ones, we enter into a phenomenon that </w:t>
      </w:r>
      <w:proofErr w:type="spellStart"/>
      <w:r>
        <w:t>Lipset</w:t>
      </w:r>
      <w:proofErr w:type="spellEnd"/>
      <w:r>
        <w:t xml:space="preserve"> refers to as ‘</w:t>
      </w:r>
      <w:r w:rsidRPr="00267529">
        <w:rPr>
          <w:i/>
          <w:iCs/>
        </w:rPr>
        <w:t>Historical Moralism</w:t>
      </w:r>
      <w:r>
        <w:t xml:space="preserve">.’ This term refers to the idea that human </w:t>
      </w:r>
      <w:r w:rsidRPr="00267529">
        <w:rPr>
          <w:b/>
          <w:bCs/>
          <w:i/>
          <w:iCs/>
        </w:rPr>
        <w:t>wishes</w:t>
      </w:r>
      <w:r>
        <w:t xml:space="preserve"> create truth because they themselves are true. Put another way, that historical events are shaped by the superiority of good hopes, wishes, desires and dreams, and that these, by their own power, will prevail over bad ideas in the world.</w:t>
      </w:r>
      <w:r>
        <w:rPr>
          <w:rStyle w:val="FootnoteReference"/>
        </w:rPr>
        <w:footnoteReference w:id="127"/>
      </w:r>
    </w:p>
    <w:p w14:paraId="179D43BD" w14:textId="77777777" w:rsidR="00B10FA3" w:rsidRDefault="00B10FA3" w:rsidP="00F24048">
      <w:pPr>
        <w:spacing w:line="480" w:lineRule="auto"/>
      </w:pPr>
      <w:r>
        <w:t xml:space="preserve">     This wishful quality is not of the harmless variety of run of the mill optimism; it is hard baked into the American psyche, and it distinguishes us from other peoples. Kurt Anderson describes this phenomenon well in his seminal work </w:t>
      </w:r>
      <w:r>
        <w:rPr>
          <w:i/>
          <w:iCs/>
        </w:rPr>
        <w:t>Fantasyland</w:t>
      </w:r>
      <w:r>
        <w:t>, in which he documents three and a half centuries of American fantastical thinking, ranging from the early pioneers who believed that they were building a “shining house on the hill,” to religious fanatics and their disparate cults and followers through the 17</w:t>
      </w:r>
      <w:r w:rsidRPr="00C96278">
        <w:rPr>
          <w:vertAlign w:val="superscript"/>
        </w:rPr>
        <w:t>th</w:t>
      </w:r>
      <w:r>
        <w:t xml:space="preserve"> century to the present, who believed that they could remake heaven here on earth. </w:t>
      </w:r>
    </w:p>
    <w:p w14:paraId="073C798A" w14:textId="77777777" w:rsidR="00B10FA3" w:rsidRDefault="00B10FA3" w:rsidP="00F24048">
      <w:pPr>
        <w:spacing w:line="480" w:lineRule="auto"/>
      </w:pPr>
      <w:r>
        <w:t xml:space="preserve">      Anderson’s analysis delves into get rich schemes, ‘gold fever’ in California, Scientology, expansion into North American territory, the exploitation and extermination of the native </w:t>
      </w:r>
      <w:r>
        <w:lastRenderedPageBreak/>
        <w:t xml:space="preserve">population under the guise of a ‘higher’ morality, American ‘exceptionalism,’ our outmoded levels of belief in religious and magical thinking – unique in the modern, western world, are indicative of this mode of thinking. Even the Vietnam conflict might be ascribed to the belief that, if ‘we’ will it, then it must be right and just. </w:t>
      </w:r>
    </w:p>
    <w:p w14:paraId="360F4860" w14:textId="77777777" w:rsidR="00B10FA3" w:rsidRDefault="00B10FA3" w:rsidP="00F24048">
      <w:pPr>
        <w:spacing w:line="480" w:lineRule="auto"/>
      </w:pPr>
      <w:r>
        <w:t xml:space="preserve">      The ascendancy of D. Trump is termed by Anderson as the ‘apotheosis’ of American wishful thinking: we will ‘get tired of winning,’ we will possess the ‘best health care,’ ‘will do deals with Putin and others to </w:t>
      </w:r>
      <w:r w:rsidRPr="00FE4DB6">
        <w:rPr>
          <w:i/>
          <w:iCs/>
        </w:rPr>
        <w:t>instantly</w:t>
      </w:r>
      <w:r>
        <w:t xml:space="preserve"> stop world conflicts, </w:t>
      </w:r>
      <w:r w:rsidRPr="00FE4DB6">
        <w:t>and</w:t>
      </w:r>
      <w:r>
        <w:t xml:space="preserve"> most importantly, that we will reclaim a lost America, one that was white, male and recognizable.’</w:t>
      </w:r>
      <w:r>
        <w:rPr>
          <w:rStyle w:val="FootnoteReference"/>
        </w:rPr>
        <w:footnoteReference w:id="128"/>
      </w:r>
      <w:r>
        <w:t xml:space="preserve">    </w:t>
      </w:r>
    </w:p>
    <w:p w14:paraId="035848EB" w14:textId="77777777" w:rsidR="00B10FA3" w:rsidRDefault="00B10FA3" w:rsidP="00F24048">
      <w:pPr>
        <w:spacing w:line="480" w:lineRule="auto"/>
        <w:rPr>
          <w:b/>
          <w:bCs/>
          <w:i/>
          <w:iCs/>
          <w:sz w:val="28"/>
          <w:szCs w:val="28"/>
        </w:rPr>
      </w:pPr>
    </w:p>
    <w:p w14:paraId="6CF22221" w14:textId="77777777" w:rsidR="00B10FA3" w:rsidRDefault="00B10FA3" w:rsidP="00F24048">
      <w:pPr>
        <w:spacing w:line="480" w:lineRule="auto"/>
        <w:rPr>
          <w:b/>
          <w:bCs/>
          <w:i/>
          <w:iCs/>
        </w:rPr>
      </w:pPr>
      <w:r>
        <w:rPr>
          <w:b/>
          <w:bCs/>
          <w:i/>
          <w:iCs/>
          <w:sz w:val="28"/>
          <w:szCs w:val="28"/>
        </w:rPr>
        <w:t>The Moral Impulse</w:t>
      </w:r>
      <w:r>
        <w:rPr>
          <w:b/>
          <w:bCs/>
          <w:i/>
          <w:iCs/>
        </w:rPr>
        <w:t xml:space="preserve">    </w:t>
      </w:r>
    </w:p>
    <w:p w14:paraId="20144620" w14:textId="799C90B4" w:rsidR="00B10FA3" w:rsidRDefault="00B10FA3" w:rsidP="00F24048">
      <w:pPr>
        <w:spacing w:line="480" w:lineRule="auto"/>
      </w:pPr>
      <w:r>
        <w:rPr>
          <w:b/>
          <w:bCs/>
          <w:i/>
          <w:iCs/>
        </w:rPr>
        <w:t xml:space="preserve">    </w:t>
      </w:r>
      <w:r w:rsidRPr="007E6C4B">
        <w:rPr>
          <w:b/>
          <w:bCs/>
          <w:i/>
          <w:iCs/>
        </w:rPr>
        <w:t>Moralism</w:t>
      </w:r>
      <w:r>
        <w:t xml:space="preserve"> can assume many forms; during the Prohibition Era, anti-alcohol was the moral standard, but, in different eras it has been anti-suffrage for women, pro-gun, anti-birth control, pro-death penalty, anti-crime, anti</w:t>
      </w:r>
      <w:r w:rsidR="004D303C">
        <w:t>-</w:t>
      </w:r>
      <w:r>
        <w:t>immigrant, anti</w:t>
      </w:r>
      <w:r w:rsidR="004D303C">
        <w:t>-</w:t>
      </w:r>
      <w:r>
        <w:t xml:space="preserve">child abuse, anti-drug, anti-business on Sunday, anti-pornography. During the Cold War, the typical appeal from right wing moralists was not so much Democracy versus Socialism, but Christianity vs Communism. Here, the lines were clearly drawn, and the position and identity of The Other was clearly established. </w:t>
      </w:r>
    </w:p>
    <w:p w14:paraId="44D2F019" w14:textId="77777777" w:rsidR="00B10FA3" w:rsidRDefault="00B10FA3" w:rsidP="00F24048">
      <w:pPr>
        <w:spacing w:line="480" w:lineRule="auto"/>
      </w:pPr>
      <w:r>
        <w:t xml:space="preserve">     </w:t>
      </w:r>
      <w:r w:rsidRPr="00F70904">
        <w:rPr>
          <w:i/>
          <w:iCs/>
        </w:rPr>
        <w:t xml:space="preserve">Monistic movements </w:t>
      </w:r>
      <w:r>
        <w:t xml:space="preserve">tend to heed no opposition, and they often blend with religious or mystical themes and groups. Populism is well suited to monism, whether from the right or the left; Nazi Germany and the Soviet Union both carried out agendas ‘in the name of the </w:t>
      </w:r>
      <w:r>
        <w:lastRenderedPageBreak/>
        <w:t>people.’ In the US, religious and mystical belief has often historically been combined to express a ‘will of the people’ the sees itself as righteous, just and correct, reflecting all that is good and true. In a culture that is bombarded with rhetoric from an early age about “number one,” “the world’s oldest democracy,” “the leader of the free world,” and the “Sheriff of the West,” none of this should seem surprising.</w:t>
      </w:r>
      <w:r>
        <w:rPr>
          <w:rStyle w:val="FootnoteReference"/>
        </w:rPr>
        <w:footnoteReference w:id="129"/>
      </w:r>
    </w:p>
    <w:p w14:paraId="6B51CAF1" w14:textId="77777777" w:rsidR="00B10FA3" w:rsidRDefault="00B10FA3" w:rsidP="00F24048">
      <w:pPr>
        <w:spacing w:line="480" w:lineRule="auto"/>
      </w:pPr>
      <w:r>
        <w:t xml:space="preserve">     In a political world in which reality and phenomena are expressed through the lens of moralism, simplism, and monism, one might suppose that a natural outgrowth of such ‘styles of belief’ might lend themselves to </w:t>
      </w:r>
      <w:r w:rsidRPr="00267529">
        <w:rPr>
          <w:i/>
          <w:iCs/>
        </w:rPr>
        <w:t>conspiracy theories</w:t>
      </w:r>
      <w:r>
        <w:t xml:space="preserve"> – and they would be correct. Conspiracy is a natural companion to moralism; if one operates in a political world in which each stage is a matter of good vs evil, mistakes or miscalculations along the way are not just wrong – they are evil. That is the moralist verdict. The conspiratorial aspect enters when the ‘errors’ of one group or another are attributed to the deliberate machinations of those who intend to do us in.</w:t>
      </w:r>
    </w:p>
    <w:p w14:paraId="3BE373EA" w14:textId="77777777" w:rsidR="00B10FA3" w:rsidRDefault="00B10FA3" w:rsidP="00F24048">
      <w:pPr>
        <w:spacing w:line="480" w:lineRule="auto"/>
      </w:pPr>
      <w:r>
        <w:t xml:space="preserve">     In 1964, Richard Hofstadter published </w:t>
      </w:r>
      <w:r>
        <w:rPr>
          <w:i/>
          <w:iCs/>
        </w:rPr>
        <w:t>The Paranoid Style in American Politics</w:t>
      </w:r>
      <w:r>
        <w:t xml:space="preserve">, which went a long way to explaining some uniquely American characteristics in the political realm. He wrote: </w:t>
      </w:r>
    </w:p>
    <w:p w14:paraId="1FE2B54C" w14:textId="77777777" w:rsidR="00B10FA3" w:rsidRDefault="00B10FA3" w:rsidP="00F24048">
      <w:pPr>
        <w:spacing w:line="480" w:lineRule="auto"/>
      </w:pPr>
    </w:p>
    <w:p w14:paraId="5751DD8E" w14:textId="77777777" w:rsidR="00B10FA3" w:rsidRDefault="00B10FA3" w:rsidP="004C016F">
      <w:pPr>
        <w:spacing w:line="240" w:lineRule="auto"/>
        <w:ind w:left="567" w:right="567"/>
      </w:pPr>
      <w:r>
        <w:t xml:space="preserve">American politics has often been an arena for angry minds. In recent years we have seen angry minds at work mainly among extreme right-wingers, who have now demonstrated in the Goldwater movement how much political leverage can be got out of the animosities and passions of a small minority. But behind this I believe there is a style of mind that is far from new and that is not necessarily right-wing. I call it the </w:t>
      </w:r>
      <w:r w:rsidRPr="00267529">
        <w:rPr>
          <w:i/>
          <w:iCs/>
        </w:rPr>
        <w:t>paranoid style</w:t>
      </w:r>
      <w:r>
        <w:t xml:space="preserve"> simply because no other word adequately </w:t>
      </w:r>
      <w:r>
        <w:lastRenderedPageBreak/>
        <w:t>evokes the sense of heated exaggeration, suspiciousness, and conspiratorial fantasy that I have in mind.</w:t>
      </w:r>
      <w:r>
        <w:rPr>
          <w:rStyle w:val="FootnoteReference"/>
        </w:rPr>
        <w:footnoteReference w:id="130"/>
      </w:r>
      <w:r>
        <w:t xml:space="preserve">      </w:t>
      </w:r>
    </w:p>
    <w:p w14:paraId="7AAD6C38" w14:textId="77777777" w:rsidR="00B10FA3" w:rsidRDefault="00B10FA3" w:rsidP="00D038C7">
      <w:pPr>
        <w:spacing w:line="240" w:lineRule="auto"/>
        <w:ind w:left="-284" w:right="-284"/>
      </w:pPr>
    </w:p>
    <w:p w14:paraId="6A1DA62A" w14:textId="77777777" w:rsidR="00B10FA3" w:rsidRDefault="00B10FA3" w:rsidP="00D038C7">
      <w:pPr>
        <w:spacing w:line="480" w:lineRule="auto"/>
      </w:pPr>
      <w:r>
        <w:t xml:space="preserve">     Hofstadter documented several centuries of American chicanery in the political sphere; radical Jacobins, Illuminati, Masons, Communists, Civil Rights workers and others who appeared to live for no other reason than to subvert American life and institutions. The key to understanding the connection between all of the above claims to subversion is a </w:t>
      </w:r>
      <w:r w:rsidRPr="007E6C4B">
        <w:rPr>
          <w:i/>
          <w:iCs/>
        </w:rPr>
        <w:t>cultural proclivity in the United States, Hofstadter argued, that tends to exhibit a ‘paranoid style</w:t>
      </w:r>
      <w:r>
        <w:t>,’ which over time, manages to see a(n) (often but not always international) conspiratorial network designed to perpetrate acts of the most fiendish character.”</w:t>
      </w:r>
      <w:r>
        <w:rPr>
          <w:rStyle w:val="FootnoteReference"/>
        </w:rPr>
        <w:footnoteReference w:id="131"/>
      </w:r>
    </w:p>
    <w:p w14:paraId="0E7C82FC" w14:textId="77777777" w:rsidR="00B10FA3" w:rsidRDefault="00B10FA3" w:rsidP="00F70DEA">
      <w:pPr>
        <w:spacing w:line="240" w:lineRule="auto"/>
        <w:ind w:left="-284" w:right="-284"/>
      </w:pPr>
    </w:p>
    <w:p w14:paraId="59B9BC56" w14:textId="77777777" w:rsidR="00B10FA3" w:rsidRDefault="00B10FA3" w:rsidP="00F70DEA">
      <w:pPr>
        <w:spacing w:line="240" w:lineRule="auto"/>
        <w:ind w:left="851" w:right="851"/>
      </w:pPr>
      <w:r>
        <w:t>The modern right wing, as Daniel Bell has put it, feels dispossessed: America has been largely taken away from them and their kind, though they are determined to try to repossess it and to prevent the final destructive act of subversion. The old American virtues have already been eaten away by cosmopolitans and intellectuals; the old competitive capitalism has been gradually undermined by socialistic and communistic schemers; the old national security and independence have been destroyed by treasonous plots, having as their most powerful agents not merely outsiders and foreigners as of old but major statesmen who are at the very centers of American power. Their predecessors had discovered conspiracies; the modern radical right finds conspiracy to be betrayal from on high.</w:t>
      </w:r>
    </w:p>
    <w:p w14:paraId="457B1153" w14:textId="77777777" w:rsidR="00B10FA3" w:rsidRDefault="00B10FA3" w:rsidP="00F70DEA">
      <w:pPr>
        <w:spacing w:line="480" w:lineRule="auto"/>
      </w:pPr>
    </w:p>
    <w:p w14:paraId="1D546E14" w14:textId="77777777" w:rsidR="00B10FA3" w:rsidRPr="001A0E8B" w:rsidRDefault="00B10FA3" w:rsidP="00F70DEA">
      <w:pPr>
        <w:spacing w:line="480" w:lineRule="auto"/>
      </w:pPr>
      <w:r>
        <w:lastRenderedPageBreak/>
        <w:t xml:space="preserve">     Political theorist Karl Popper commented once that “the adoption of the conspiracy theory can hardly be avoided by those who think that they know how to make heaven on earth.”</w:t>
      </w:r>
      <w:r>
        <w:rPr>
          <w:rStyle w:val="FootnoteReference"/>
        </w:rPr>
        <w:footnoteReference w:id="132"/>
      </w:r>
    </w:p>
    <w:p w14:paraId="4B0FAF56" w14:textId="77777777" w:rsidR="00B10FA3" w:rsidRDefault="00B10FA3" w:rsidP="00F24048">
      <w:pPr>
        <w:spacing w:line="480" w:lineRule="auto"/>
      </w:pPr>
      <w:r>
        <w:t xml:space="preserve">     To be sure, both the political Left and Right in the US have used moralism to advance their causes. In both cases, although the issues or constituencies may differ, there is an effort to maximize the myriad shades of grey on issues to a simple formula, expressed in an emotional manner, as a fight between good and evil, moral and immoral, or threat versus survival. </w:t>
      </w:r>
    </w:p>
    <w:p w14:paraId="539C91F5" w14:textId="77777777" w:rsidR="00B175F7" w:rsidRDefault="00B175F7" w:rsidP="00F24048">
      <w:pPr>
        <w:spacing w:line="480" w:lineRule="auto"/>
        <w:rPr>
          <w:b/>
          <w:bCs/>
          <w:i/>
          <w:iCs/>
          <w:sz w:val="28"/>
          <w:szCs w:val="28"/>
        </w:rPr>
      </w:pPr>
    </w:p>
    <w:p w14:paraId="1B4CF065" w14:textId="4AE1CDAF" w:rsidR="00B10FA3" w:rsidRPr="00BE4F8F" w:rsidRDefault="00B10FA3" w:rsidP="00F24048">
      <w:pPr>
        <w:spacing w:line="480" w:lineRule="auto"/>
        <w:rPr>
          <w:b/>
          <w:bCs/>
          <w:i/>
          <w:iCs/>
          <w:sz w:val="28"/>
          <w:szCs w:val="28"/>
        </w:rPr>
      </w:pPr>
      <w:r w:rsidRPr="00BE4F8F">
        <w:rPr>
          <w:b/>
          <w:bCs/>
          <w:i/>
          <w:iCs/>
          <w:sz w:val="28"/>
          <w:szCs w:val="28"/>
        </w:rPr>
        <w:t>Centralized versus Local</w:t>
      </w:r>
    </w:p>
    <w:p w14:paraId="71AF1839" w14:textId="41E4140B" w:rsidR="00B10FA3" w:rsidRDefault="00B10FA3" w:rsidP="00F24048">
      <w:pPr>
        <w:spacing w:line="480" w:lineRule="auto"/>
      </w:pPr>
      <w:r>
        <w:t xml:space="preserve">     The cliché in American politics has been, since the Reagan Era, that conservatives are for “small” government and that liberals are for “big” government. In the first place, this interpretation fails to take into account constituency; a multi</w:t>
      </w:r>
      <w:r w:rsidR="00244145">
        <w:t>-</w:t>
      </w:r>
      <w:r>
        <w:t xml:space="preserve">billion-dollar defense contractor is hardly a local influencer; they represent organized corporate power. The neo-fascist movement of Father Charles Coughlin in the 1930s was statist, in its presentation and articulation. Similarly, sometimes basic issues, such as gay rights, or trans toilets, quite the local phenomenon, are elevated to national status. This does much to suggest that the traditional categories of (anti-state) conservative and (pro-state) liberal don’t hold up well. Rather, these concepts exist on a perpetually moving gridiron of public opinion, campaign financing and rhetorical skill. The old categories are all but irrelevant. It does not stretch the imagination to suppose that ‘big’ and ‘small’ government admonitions are, in fact, just </w:t>
      </w:r>
      <w:r>
        <w:lastRenderedPageBreak/>
        <w:t>hackneyed rhetorical tools to advance disparate agendas, which, in fact, bear little resemblance to the big/small dichotomy.</w:t>
      </w:r>
      <w:r>
        <w:rPr>
          <w:rStyle w:val="FootnoteReference"/>
        </w:rPr>
        <w:footnoteReference w:id="133"/>
      </w:r>
    </w:p>
    <w:p w14:paraId="65413220" w14:textId="77777777" w:rsidR="00B10FA3" w:rsidRDefault="00B10FA3" w:rsidP="00F24048">
      <w:pPr>
        <w:spacing w:line="480" w:lineRule="auto"/>
      </w:pPr>
      <w:r>
        <w:t xml:space="preserve">     That brings us to another characteristic of reactionary politics, what </w:t>
      </w:r>
      <w:proofErr w:type="spellStart"/>
      <w:r>
        <w:t>Lipset</w:t>
      </w:r>
      <w:proofErr w:type="spellEnd"/>
      <w:r>
        <w:t xml:space="preserve"> calls</w:t>
      </w:r>
      <w:r w:rsidRPr="00327E04">
        <w:rPr>
          <w:b/>
          <w:bCs/>
        </w:rPr>
        <w:t xml:space="preserve"> </w:t>
      </w:r>
      <w:proofErr w:type="spellStart"/>
      <w:r w:rsidRPr="00327E04">
        <w:rPr>
          <w:b/>
          <w:bCs/>
          <w:i/>
          <w:iCs/>
        </w:rPr>
        <w:t>preservatism</w:t>
      </w:r>
      <w:proofErr w:type="spellEnd"/>
      <w:r>
        <w:rPr>
          <w:i/>
          <w:iCs/>
        </w:rPr>
        <w:t xml:space="preserve">. </w:t>
      </w:r>
      <w:r>
        <w:t>In establishing and maintaining power relations, the left tends to trend towards a more inclusive, innovative interpretation of power. The more the merrier quotient. The right, on the other hand tends to see power diffusion as a threat to the status quo – and, to be sure, to the upper economic groupings; they tend to support the preservation of the balance of influence, as it stands.</w:t>
      </w:r>
      <w:r>
        <w:rPr>
          <w:rStyle w:val="FootnoteReference"/>
        </w:rPr>
        <w:footnoteReference w:id="134"/>
      </w:r>
      <w:r>
        <w:t xml:space="preserve"> But, essential to understanding American political and social history, the</w:t>
      </w:r>
      <w:r w:rsidRPr="00327E04">
        <w:rPr>
          <w:i/>
          <w:iCs/>
        </w:rPr>
        <w:t xml:space="preserve"> </w:t>
      </w:r>
      <w:proofErr w:type="spellStart"/>
      <w:r w:rsidRPr="00327E04">
        <w:rPr>
          <w:i/>
          <w:iCs/>
        </w:rPr>
        <w:t>preservatist</w:t>
      </w:r>
      <w:proofErr w:type="spellEnd"/>
      <w:r>
        <w:t xml:space="preserve"> claim of ‘originalism,’ ‘localism,’ or ‘anti-statism’ must be viewed as opportunistic tactical measures, rather than anything that has any true ideological consistency. The record is overwhelmingly otherwise. In fact, many who call themselves ‘small government conservatives’ today are, in fact, statist authoritarian in their views. And did I mention paranoia?</w:t>
      </w:r>
    </w:p>
    <w:p w14:paraId="44D9AA02" w14:textId="77777777" w:rsidR="00B175F7" w:rsidRDefault="00B175F7" w:rsidP="00F24048">
      <w:pPr>
        <w:spacing w:line="480" w:lineRule="auto"/>
      </w:pPr>
    </w:p>
    <w:p w14:paraId="7FB5532C" w14:textId="1825C610" w:rsidR="00B10FA3" w:rsidRPr="008E31FF" w:rsidRDefault="00244145" w:rsidP="00F24048">
      <w:pPr>
        <w:spacing w:line="480" w:lineRule="auto"/>
        <w:rPr>
          <w:b/>
          <w:bCs/>
          <w:i/>
          <w:iCs/>
          <w:sz w:val="28"/>
          <w:szCs w:val="28"/>
        </w:rPr>
      </w:pPr>
      <w:r>
        <w:rPr>
          <w:b/>
          <w:bCs/>
          <w:i/>
          <w:iCs/>
          <w:sz w:val="28"/>
          <w:szCs w:val="28"/>
        </w:rPr>
        <w:t>Co</w:t>
      </w:r>
      <w:r w:rsidR="00B10FA3">
        <w:rPr>
          <w:b/>
          <w:bCs/>
          <w:i/>
          <w:iCs/>
          <w:sz w:val="28"/>
          <w:szCs w:val="28"/>
        </w:rPr>
        <w:t>nspiracies, Cults and Miscreants</w:t>
      </w:r>
    </w:p>
    <w:p w14:paraId="6A44CE9F" w14:textId="77777777" w:rsidR="00B10FA3" w:rsidRPr="007914A9" w:rsidRDefault="00B10FA3" w:rsidP="00F24048">
      <w:pPr>
        <w:spacing w:line="480" w:lineRule="auto"/>
      </w:pPr>
      <w:r>
        <w:t xml:space="preserve">     Q-Anon might seem a strange development in modern America, but we’ve been here before. Many times. The </w:t>
      </w:r>
      <w:r>
        <w:rPr>
          <w:i/>
          <w:iCs/>
        </w:rPr>
        <w:t>Illuminati</w:t>
      </w:r>
      <w:r>
        <w:t xml:space="preserve"> conspiracy of the 18</w:t>
      </w:r>
      <w:r w:rsidRPr="007914A9">
        <w:rPr>
          <w:vertAlign w:val="superscript"/>
        </w:rPr>
        <w:t>th</w:t>
      </w:r>
      <w:r>
        <w:t xml:space="preserve"> century was promoted by the Augsburg Jesuits, claiming that the ideas of the French Revolution were being promoted throughout Europe. Before long, there were ripe conspiracies in both England and the US, claiming a ‘triple conspiracy’ of Freemasons, Anti-Christians and Illuminati, all with the intent </w:t>
      </w:r>
      <w:r>
        <w:lastRenderedPageBreak/>
        <w:t xml:space="preserve">of destroying religion and order. The conspiracies led to the eventual passage of the </w:t>
      </w:r>
      <w:r>
        <w:rPr>
          <w:i/>
          <w:iCs/>
        </w:rPr>
        <w:t>Alien and Sedition Acts</w:t>
      </w:r>
      <w:r>
        <w:t>, under the administration of President John Adams, laws that snuffed out freedom of speech in the US for a time.</w:t>
      </w:r>
      <w:r>
        <w:rPr>
          <w:rStyle w:val="FootnoteReference"/>
        </w:rPr>
        <w:footnoteReference w:id="135"/>
      </w:r>
    </w:p>
    <w:p w14:paraId="6CB78B8A" w14:textId="43762D25" w:rsidR="00B10FA3" w:rsidRPr="00190908" w:rsidRDefault="00B10FA3" w:rsidP="00F24048">
      <w:pPr>
        <w:spacing w:line="480" w:lineRule="auto"/>
        <w:rPr>
          <w:color w:val="0D0D0D" w:themeColor="text1" w:themeTint="F2"/>
        </w:rPr>
      </w:pPr>
      <w:r>
        <w:rPr>
          <w:color w:val="FF0000"/>
        </w:rPr>
        <w:t xml:space="preserve">     </w:t>
      </w:r>
      <w:r>
        <w:rPr>
          <w:color w:val="0D0D0D" w:themeColor="text1" w:themeTint="F2"/>
        </w:rPr>
        <w:t xml:space="preserve">Later, groups such as the </w:t>
      </w:r>
      <w:r>
        <w:rPr>
          <w:i/>
          <w:iCs/>
          <w:color w:val="0D0D0D" w:themeColor="text1" w:themeTint="F2"/>
        </w:rPr>
        <w:t>Know-Nothings</w:t>
      </w:r>
      <w:r>
        <w:rPr>
          <w:color w:val="0D0D0D" w:themeColor="text1" w:themeTint="F2"/>
        </w:rPr>
        <w:t xml:space="preserve"> created conspiracies associated with immigrants – groups that were perceived as threatening the status of the native born, as well as the American Protective Association, or APA, which was an anti-Catholic group, with anti-immigrant and anti-Irish policies. They comingled with the resurgent Ku Klux Klan, or KKK, of the late 19</w:t>
      </w:r>
      <w:r w:rsidRPr="00190908">
        <w:rPr>
          <w:color w:val="0D0D0D" w:themeColor="text1" w:themeTint="F2"/>
          <w:vertAlign w:val="superscript"/>
        </w:rPr>
        <w:t>th</w:t>
      </w:r>
      <w:r>
        <w:rPr>
          <w:color w:val="0D0D0D" w:themeColor="text1" w:themeTint="F2"/>
        </w:rPr>
        <w:t xml:space="preserve"> and early 20</w:t>
      </w:r>
      <w:r w:rsidRPr="00190908">
        <w:rPr>
          <w:color w:val="0D0D0D" w:themeColor="text1" w:themeTint="F2"/>
          <w:vertAlign w:val="superscript"/>
        </w:rPr>
        <w:t>th</w:t>
      </w:r>
      <w:r>
        <w:rPr>
          <w:color w:val="0D0D0D" w:themeColor="text1" w:themeTint="F2"/>
        </w:rPr>
        <w:t xml:space="preserve"> centuries. The KKK was anti-Catholic, anti-foreigner, anti-black, anti-Jewish, and occasionally anti</w:t>
      </w:r>
      <w:r w:rsidR="00A11A47">
        <w:rPr>
          <w:color w:val="0D0D0D" w:themeColor="text1" w:themeTint="F2"/>
        </w:rPr>
        <w:t>-</w:t>
      </w:r>
      <w:r>
        <w:rPr>
          <w:color w:val="0D0D0D" w:themeColor="text1" w:themeTint="F2"/>
        </w:rPr>
        <w:t xml:space="preserve">capitalist. But it was always </w:t>
      </w:r>
      <w:r>
        <w:rPr>
          <w:b/>
          <w:bCs/>
          <w:i/>
          <w:iCs/>
          <w:color w:val="0D0D0D" w:themeColor="text1" w:themeTint="F2"/>
        </w:rPr>
        <w:t>nativist</w:t>
      </w:r>
      <w:r>
        <w:rPr>
          <w:color w:val="0D0D0D" w:themeColor="text1" w:themeTint="F2"/>
        </w:rPr>
        <w:t xml:space="preserve">, meaning that it believed that the only ‘true’ Americans were white Protestants of Northern European descent. The KKK had nearly six million members in the 1920s. </w:t>
      </w:r>
    </w:p>
    <w:p w14:paraId="58712EE8" w14:textId="54554E98" w:rsidR="00B10FA3" w:rsidRDefault="00B10FA3" w:rsidP="00F24048">
      <w:pPr>
        <w:spacing w:line="480" w:lineRule="auto"/>
      </w:pPr>
      <w:r>
        <w:t xml:space="preserve">        The 1930 witnessed the rise of Fr. Charles Coughlin, a radical right-wing priest, who, while initially supporting the administration of President Franklin Roosevelt, became increasingly antisemitic, racist and profascist in the 1930s, though he remained non-nativist, undoubtedly as his strongest support came from (often immigrant) Catholics. Coughlin hosted a Detroit based radio show that attracted tens of millions of followers each week, and his base was primarily in the Midwest and New England (with its large Irish population). Coughlin</w:t>
      </w:r>
      <w:r w:rsidR="00244145">
        <w:t>’</w:t>
      </w:r>
      <w:r>
        <w:t xml:space="preserve">s right wing contemporaries included the </w:t>
      </w:r>
      <w:r>
        <w:rPr>
          <w:i/>
          <w:iCs/>
        </w:rPr>
        <w:t xml:space="preserve">Black Legion, </w:t>
      </w:r>
      <w:r>
        <w:t>a movement with militia elements, that proclaimed a holy war against blacks, jews, Catholics and foreigners. Like Coughlin, the Black Legion supported a highly authoritarian view of politics and policy, and had its main base of support in the Midwest.</w:t>
      </w:r>
    </w:p>
    <w:p w14:paraId="09216B34" w14:textId="4FE4E69C" w:rsidR="00B10FA3" w:rsidRDefault="00B10FA3" w:rsidP="00F24048">
      <w:pPr>
        <w:spacing w:line="480" w:lineRule="auto"/>
      </w:pPr>
      <w:r>
        <w:lastRenderedPageBreak/>
        <w:t xml:space="preserve">     The period of the 1950s ushered in a phenomenon now called “McCarthyism,” a conspiracy - fueled tendency, driven by US Sen. Joseph McCarthy. After the Communist Revolution in China in 1949, the ascendency of the Communist Soviet Union to super power status in the post war world, and the testing of a nuclear device by that country, American paranoia and insecurity ran high. Into that void waltzed McCarthy, with his theory that a Communist was hiding behind every bush. McCarthy masterfully utilized innuendo, ‘guilt by association’ techniques, and overt lying to gain personal influence, put the US government on the defensive, and ruin many, many careers. Education was likely the most important factor in the support or opposition to McCarthy (although political party favored significantly), with grammar school and non-college educated provided the most support for his actions.</w:t>
      </w:r>
      <w:r>
        <w:rPr>
          <w:rStyle w:val="FootnoteReference"/>
        </w:rPr>
        <w:footnoteReference w:id="136"/>
      </w:r>
      <w:r>
        <w:t xml:space="preserve"> McCarthy was able to galvanize a ‘style’ of radicalism and extremism that targeted ‘elites,’ race and wealth, allowing for the development of a mass following – one that did not survive 1955.</w:t>
      </w:r>
    </w:p>
    <w:p w14:paraId="621A5319" w14:textId="77777777" w:rsidR="00B10FA3" w:rsidRDefault="00B10FA3" w:rsidP="00F24048">
      <w:pPr>
        <w:spacing w:line="480" w:lineRule="auto"/>
        <w:rPr>
          <w:i/>
          <w:iCs/>
        </w:rPr>
      </w:pPr>
      <w:r>
        <w:t xml:space="preserve">     Of course, the tumult of the Civil Rights struggles of the 1960s led to reaction on the right. One exemplar of this phenomenon was the John Birch society, and organization that espoused  anti-statist (read: anti-intervention for civil rights), anti-elitist (though many of its leaders were wealthy) and anti-communist stances. The group was deeply conspiratorial, and played on the fears of the most culturally insecure, though, like McCarthy, typically through an abstract sense of what constituted ‘the other.’   </w:t>
      </w:r>
      <w:r>
        <w:rPr>
          <w:i/>
          <w:iCs/>
        </w:rPr>
        <w:t xml:space="preserve"> </w:t>
      </w:r>
    </w:p>
    <w:p w14:paraId="26F2E28A" w14:textId="2150914D" w:rsidR="00B10FA3" w:rsidRPr="00BE4F8F" w:rsidRDefault="00244145" w:rsidP="00F24048">
      <w:pPr>
        <w:spacing w:line="480" w:lineRule="auto"/>
      </w:pPr>
      <w:r>
        <w:t xml:space="preserve">     </w:t>
      </w:r>
      <w:r w:rsidR="00B10FA3">
        <w:t xml:space="preserve">In recent decades, the resurgence of right-wing conspiratorialism has resurfaced and accelerated, particularly as American society has diversified. Immigration, fear of the Other, xenophobia, isolationism, misogyny and outright racism have experienced a historic revival in </w:t>
      </w:r>
      <w:r w:rsidR="00B10FA3">
        <w:lastRenderedPageBreak/>
        <w:t xml:space="preserve">the Trump Era. The developments are new, the language contemporary, but the source of anger, of discontent, of irrational expressions of displaced extremism come straight out of the American past.  </w:t>
      </w:r>
    </w:p>
    <w:p w14:paraId="4EE996A8" w14:textId="77777777" w:rsidR="00B10FA3" w:rsidRPr="008F0CF2" w:rsidRDefault="00B10FA3" w:rsidP="00F24048">
      <w:pPr>
        <w:spacing w:line="480" w:lineRule="auto"/>
      </w:pPr>
      <w:r>
        <w:t xml:space="preserve">     </w:t>
      </w:r>
    </w:p>
    <w:p w14:paraId="724592A8" w14:textId="77777777" w:rsidR="00B10FA3" w:rsidRPr="007D708E" w:rsidRDefault="00B10FA3" w:rsidP="00F24048">
      <w:pPr>
        <w:spacing w:line="480" w:lineRule="auto"/>
      </w:pPr>
    </w:p>
    <w:p w14:paraId="721818E3" w14:textId="77777777" w:rsidR="00B10FA3" w:rsidRDefault="00B10FA3" w:rsidP="00F24048">
      <w:pPr>
        <w:spacing w:line="480" w:lineRule="auto"/>
      </w:pPr>
    </w:p>
    <w:p w14:paraId="217F9EFF" w14:textId="77777777" w:rsidR="00B10FA3" w:rsidRDefault="00B10FA3" w:rsidP="00F24048">
      <w:pPr>
        <w:spacing w:line="480" w:lineRule="auto"/>
      </w:pPr>
      <w:r>
        <w:t xml:space="preserve"> </w:t>
      </w:r>
    </w:p>
    <w:p w14:paraId="38037115" w14:textId="77777777" w:rsidR="00B10FA3" w:rsidRPr="002C1017" w:rsidRDefault="00B10FA3" w:rsidP="00F24048">
      <w:pPr>
        <w:spacing w:line="480" w:lineRule="auto"/>
      </w:pPr>
      <w:r>
        <w:t xml:space="preserve">       </w:t>
      </w:r>
    </w:p>
    <w:p w14:paraId="223CDC8A" w14:textId="655100C9" w:rsidR="00B10FA3" w:rsidRPr="000D76B2" w:rsidRDefault="00B10FA3" w:rsidP="00F24048">
      <w:pPr>
        <w:spacing w:line="480" w:lineRule="auto"/>
        <w:rPr>
          <w:color w:val="000000" w:themeColor="text1"/>
        </w:rPr>
      </w:pPr>
      <w:r>
        <w:rPr>
          <w:color w:val="C00000"/>
        </w:rPr>
        <w:t xml:space="preserve">   </w:t>
      </w:r>
    </w:p>
    <w:p w14:paraId="13E54D76" w14:textId="77777777" w:rsidR="00B10FA3" w:rsidRDefault="00B10FA3">
      <w:pPr>
        <w:rPr>
          <w:i/>
          <w:iCs/>
          <w:sz w:val="28"/>
          <w:szCs w:val="28"/>
        </w:rPr>
      </w:pPr>
    </w:p>
    <w:p w14:paraId="4B9C9403" w14:textId="4A651AF1" w:rsidR="00B10FA3" w:rsidRDefault="00B10FA3">
      <w:pPr>
        <w:rPr>
          <w:b/>
          <w:bCs/>
          <w:i/>
          <w:iCs/>
          <w:sz w:val="28"/>
          <w:szCs w:val="28"/>
        </w:rPr>
      </w:pPr>
      <w:r>
        <w:rPr>
          <w:b/>
          <w:bCs/>
          <w:i/>
          <w:iCs/>
          <w:sz w:val="28"/>
          <w:szCs w:val="28"/>
        </w:rPr>
        <w:t xml:space="preserve">                                  </w:t>
      </w:r>
    </w:p>
    <w:p w14:paraId="357C43FA" w14:textId="77777777" w:rsidR="004D303C" w:rsidRDefault="004D303C">
      <w:pPr>
        <w:rPr>
          <w:b/>
          <w:bCs/>
          <w:i/>
          <w:iCs/>
          <w:sz w:val="28"/>
          <w:szCs w:val="28"/>
        </w:rPr>
      </w:pPr>
    </w:p>
    <w:p w14:paraId="2ACE0D2B" w14:textId="77777777" w:rsidR="004D303C" w:rsidRDefault="004D303C">
      <w:pPr>
        <w:rPr>
          <w:b/>
          <w:bCs/>
          <w:i/>
          <w:iCs/>
          <w:sz w:val="28"/>
          <w:szCs w:val="28"/>
        </w:rPr>
      </w:pPr>
    </w:p>
    <w:p w14:paraId="7C5FD88A" w14:textId="77777777" w:rsidR="00B175F7" w:rsidRDefault="00B175F7">
      <w:pPr>
        <w:rPr>
          <w:b/>
          <w:bCs/>
          <w:i/>
          <w:iCs/>
          <w:sz w:val="28"/>
          <w:szCs w:val="28"/>
        </w:rPr>
      </w:pPr>
    </w:p>
    <w:p w14:paraId="074749FA" w14:textId="77777777" w:rsidR="00B175F7" w:rsidRDefault="00B175F7">
      <w:pPr>
        <w:rPr>
          <w:b/>
          <w:bCs/>
          <w:i/>
          <w:iCs/>
          <w:sz w:val="28"/>
          <w:szCs w:val="28"/>
        </w:rPr>
      </w:pPr>
    </w:p>
    <w:p w14:paraId="3D3FAA39" w14:textId="77777777" w:rsidR="00B175F7" w:rsidRDefault="00B175F7">
      <w:pPr>
        <w:rPr>
          <w:b/>
          <w:bCs/>
          <w:i/>
          <w:iCs/>
          <w:sz w:val="28"/>
          <w:szCs w:val="28"/>
        </w:rPr>
      </w:pPr>
    </w:p>
    <w:p w14:paraId="09F0550C" w14:textId="77777777" w:rsidR="00B175F7" w:rsidRDefault="00B175F7">
      <w:pPr>
        <w:rPr>
          <w:b/>
          <w:bCs/>
          <w:i/>
          <w:iCs/>
          <w:sz w:val="28"/>
          <w:szCs w:val="28"/>
        </w:rPr>
      </w:pPr>
    </w:p>
    <w:p w14:paraId="3DCD22C5" w14:textId="77777777" w:rsidR="00B175F7" w:rsidRDefault="00B175F7">
      <w:pPr>
        <w:rPr>
          <w:b/>
          <w:bCs/>
          <w:i/>
          <w:iCs/>
          <w:sz w:val="28"/>
          <w:szCs w:val="28"/>
        </w:rPr>
      </w:pPr>
    </w:p>
    <w:p w14:paraId="169CE0CC" w14:textId="77777777" w:rsidR="00B175F7" w:rsidRDefault="00B175F7">
      <w:pPr>
        <w:rPr>
          <w:b/>
          <w:bCs/>
          <w:i/>
          <w:iCs/>
          <w:sz w:val="28"/>
          <w:szCs w:val="28"/>
        </w:rPr>
      </w:pPr>
    </w:p>
    <w:p w14:paraId="19A528A9" w14:textId="77777777" w:rsidR="00B175F7" w:rsidRDefault="00B175F7">
      <w:pPr>
        <w:rPr>
          <w:b/>
          <w:bCs/>
          <w:i/>
          <w:iCs/>
          <w:sz w:val="28"/>
          <w:szCs w:val="28"/>
        </w:rPr>
      </w:pPr>
    </w:p>
    <w:p w14:paraId="07308603" w14:textId="77777777" w:rsidR="00B175F7" w:rsidRDefault="00B175F7">
      <w:pPr>
        <w:rPr>
          <w:b/>
          <w:bCs/>
          <w:i/>
          <w:iCs/>
          <w:sz w:val="28"/>
          <w:szCs w:val="28"/>
        </w:rPr>
      </w:pPr>
    </w:p>
    <w:p w14:paraId="573AF1D3" w14:textId="77777777" w:rsidR="00B175F7" w:rsidRDefault="00B175F7">
      <w:pPr>
        <w:rPr>
          <w:b/>
          <w:bCs/>
          <w:i/>
          <w:iCs/>
          <w:sz w:val="28"/>
          <w:szCs w:val="28"/>
        </w:rPr>
      </w:pPr>
    </w:p>
    <w:p w14:paraId="67FA5A06" w14:textId="77777777" w:rsidR="00B175F7" w:rsidRDefault="00B175F7">
      <w:pPr>
        <w:rPr>
          <w:b/>
          <w:bCs/>
          <w:i/>
          <w:iCs/>
          <w:sz w:val="28"/>
          <w:szCs w:val="28"/>
        </w:rPr>
      </w:pPr>
    </w:p>
    <w:p w14:paraId="1BE48992" w14:textId="77777777" w:rsidR="00B175F7" w:rsidRDefault="00B175F7">
      <w:pPr>
        <w:rPr>
          <w:b/>
          <w:bCs/>
          <w:i/>
          <w:iCs/>
          <w:sz w:val="28"/>
          <w:szCs w:val="28"/>
        </w:rPr>
      </w:pPr>
    </w:p>
    <w:p w14:paraId="723F4BF7" w14:textId="77777777" w:rsidR="00B175F7" w:rsidRDefault="00B175F7">
      <w:pPr>
        <w:rPr>
          <w:b/>
          <w:bCs/>
          <w:i/>
          <w:iCs/>
          <w:sz w:val="28"/>
          <w:szCs w:val="28"/>
        </w:rPr>
      </w:pPr>
    </w:p>
    <w:p w14:paraId="47441198" w14:textId="77777777" w:rsidR="00B175F7" w:rsidRDefault="00B175F7">
      <w:pPr>
        <w:rPr>
          <w:b/>
          <w:bCs/>
          <w:i/>
          <w:iCs/>
          <w:sz w:val="28"/>
          <w:szCs w:val="28"/>
        </w:rPr>
      </w:pPr>
    </w:p>
    <w:p w14:paraId="37CFEC26" w14:textId="77777777" w:rsidR="004D303C" w:rsidRPr="008E152F" w:rsidRDefault="004D303C">
      <w:pPr>
        <w:rPr>
          <w:b/>
          <w:bCs/>
          <w:i/>
          <w:iCs/>
          <w:color w:val="FF0000"/>
          <w:sz w:val="28"/>
          <w:szCs w:val="28"/>
        </w:rPr>
      </w:pPr>
    </w:p>
    <w:p w14:paraId="2705B822" w14:textId="77777777" w:rsidR="00193ED6" w:rsidRDefault="00B10FA3" w:rsidP="00E0727B">
      <w:pPr>
        <w:rPr>
          <w:b/>
          <w:bCs/>
          <w:i/>
          <w:iCs/>
          <w:sz w:val="28"/>
          <w:szCs w:val="28"/>
        </w:rPr>
      </w:pPr>
      <w:r>
        <w:rPr>
          <w:b/>
          <w:bCs/>
          <w:i/>
          <w:iCs/>
          <w:sz w:val="28"/>
          <w:szCs w:val="28"/>
        </w:rPr>
        <w:t xml:space="preserve">                                    </w:t>
      </w:r>
    </w:p>
    <w:p w14:paraId="3D92DA37" w14:textId="77777777" w:rsidR="00193ED6" w:rsidRDefault="00193ED6" w:rsidP="00E0727B">
      <w:pPr>
        <w:rPr>
          <w:b/>
          <w:bCs/>
          <w:i/>
          <w:iCs/>
          <w:sz w:val="28"/>
          <w:szCs w:val="28"/>
        </w:rPr>
      </w:pPr>
    </w:p>
    <w:p w14:paraId="7DD7BF70" w14:textId="77777777" w:rsidR="00193ED6" w:rsidRDefault="00193ED6" w:rsidP="00E0727B">
      <w:pPr>
        <w:rPr>
          <w:b/>
          <w:bCs/>
          <w:i/>
          <w:iCs/>
          <w:sz w:val="28"/>
          <w:szCs w:val="28"/>
        </w:rPr>
      </w:pPr>
    </w:p>
    <w:p w14:paraId="65D1A763" w14:textId="77777777" w:rsidR="002D3073" w:rsidRDefault="00193ED6" w:rsidP="00E0727B">
      <w:pPr>
        <w:rPr>
          <w:b/>
          <w:bCs/>
          <w:i/>
          <w:iCs/>
          <w:sz w:val="28"/>
          <w:szCs w:val="28"/>
        </w:rPr>
      </w:pPr>
      <w:r>
        <w:rPr>
          <w:b/>
          <w:bCs/>
          <w:i/>
          <w:iCs/>
          <w:sz w:val="28"/>
          <w:szCs w:val="28"/>
        </w:rPr>
        <w:t xml:space="preserve">                    </w:t>
      </w:r>
    </w:p>
    <w:p w14:paraId="67207435" w14:textId="77777777" w:rsidR="002D3073" w:rsidRDefault="002D3073" w:rsidP="00E0727B">
      <w:pPr>
        <w:rPr>
          <w:b/>
          <w:bCs/>
          <w:i/>
          <w:iCs/>
          <w:sz w:val="28"/>
          <w:szCs w:val="28"/>
        </w:rPr>
      </w:pPr>
    </w:p>
    <w:p w14:paraId="50E706BD" w14:textId="6247DE38" w:rsidR="00B10FA3" w:rsidRDefault="00193ED6" w:rsidP="002D3073">
      <w:pPr>
        <w:ind w:left="720" w:firstLine="720"/>
        <w:rPr>
          <w:b/>
          <w:bCs/>
          <w:i/>
          <w:iCs/>
          <w:sz w:val="32"/>
          <w:szCs w:val="32"/>
        </w:rPr>
      </w:pPr>
      <w:r>
        <w:rPr>
          <w:b/>
          <w:bCs/>
          <w:i/>
          <w:iCs/>
          <w:sz w:val="28"/>
          <w:szCs w:val="28"/>
        </w:rPr>
        <w:t xml:space="preserve">           </w:t>
      </w:r>
      <w:r w:rsidR="00B10FA3">
        <w:rPr>
          <w:b/>
          <w:bCs/>
          <w:i/>
          <w:iCs/>
          <w:sz w:val="28"/>
          <w:szCs w:val="28"/>
        </w:rPr>
        <w:t xml:space="preserve">          </w:t>
      </w:r>
      <w:r w:rsidR="002C5AF1">
        <w:rPr>
          <w:b/>
          <w:bCs/>
          <w:i/>
          <w:iCs/>
          <w:sz w:val="28"/>
          <w:szCs w:val="28"/>
        </w:rPr>
        <w:t xml:space="preserve">           </w:t>
      </w:r>
      <w:r w:rsidR="00B10FA3">
        <w:rPr>
          <w:b/>
          <w:bCs/>
          <w:i/>
          <w:iCs/>
          <w:sz w:val="28"/>
          <w:szCs w:val="28"/>
        </w:rPr>
        <w:t xml:space="preserve"> </w:t>
      </w:r>
      <w:r w:rsidR="00B10FA3">
        <w:rPr>
          <w:b/>
          <w:bCs/>
          <w:i/>
          <w:iCs/>
          <w:sz w:val="32"/>
          <w:szCs w:val="32"/>
        </w:rPr>
        <w:t xml:space="preserve">Chapter </w:t>
      </w:r>
      <w:r w:rsidR="002C5AF1">
        <w:rPr>
          <w:b/>
          <w:bCs/>
          <w:i/>
          <w:iCs/>
          <w:sz w:val="32"/>
          <w:szCs w:val="32"/>
        </w:rPr>
        <w:t>6</w:t>
      </w:r>
    </w:p>
    <w:p w14:paraId="49FA5DB9" w14:textId="1A08CAB8" w:rsidR="00B10FA3" w:rsidRPr="00575AF9" w:rsidRDefault="00B10FA3">
      <w:pPr>
        <w:rPr>
          <w:b/>
          <w:bCs/>
          <w:i/>
          <w:iCs/>
          <w:sz w:val="32"/>
          <w:szCs w:val="32"/>
        </w:rPr>
      </w:pPr>
      <w:r>
        <w:rPr>
          <w:i/>
          <w:iCs/>
          <w:sz w:val="32"/>
          <w:szCs w:val="32"/>
        </w:rPr>
        <w:t xml:space="preserve">                       </w:t>
      </w:r>
      <w:r w:rsidRPr="00575AF9">
        <w:rPr>
          <w:b/>
          <w:bCs/>
          <w:i/>
          <w:iCs/>
          <w:sz w:val="32"/>
          <w:szCs w:val="32"/>
        </w:rPr>
        <w:t xml:space="preserve">Masculinity and </w:t>
      </w:r>
      <w:r w:rsidR="004D303C">
        <w:rPr>
          <w:b/>
          <w:bCs/>
          <w:i/>
          <w:iCs/>
          <w:sz w:val="32"/>
          <w:szCs w:val="32"/>
        </w:rPr>
        <w:t>t</w:t>
      </w:r>
      <w:r w:rsidRPr="00575AF9">
        <w:rPr>
          <w:b/>
          <w:bCs/>
          <w:i/>
          <w:iCs/>
          <w:sz w:val="32"/>
          <w:szCs w:val="32"/>
        </w:rPr>
        <w:t>he American White Male</w:t>
      </w:r>
    </w:p>
    <w:p w14:paraId="24EA4C9D" w14:textId="77777777" w:rsidR="00B10FA3" w:rsidRDefault="00B10FA3">
      <w:pPr>
        <w:rPr>
          <w:i/>
          <w:iCs/>
          <w:sz w:val="32"/>
          <w:szCs w:val="32"/>
        </w:rPr>
      </w:pPr>
    </w:p>
    <w:p w14:paraId="29E50157" w14:textId="77777777" w:rsidR="00A11A47" w:rsidRDefault="00B10FA3" w:rsidP="6375CABF">
      <w:pPr>
        <w:spacing w:line="480" w:lineRule="auto"/>
      </w:pPr>
      <w:r>
        <w:t xml:space="preserve">     </w:t>
      </w:r>
    </w:p>
    <w:p w14:paraId="00F8C4A2" w14:textId="77777777" w:rsidR="00A11A47" w:rsidRDefault="00A11A47" w:rsidP="6375CABF">
      <w:pPr>
        <w:spacing w:line="480" w:lineRule="auto"/>
      </w:pPr>
    </w:p>
    <w:p w14:paraId="1C5C81AF" w14:textId="77777777" w:rsidR="00A11A47" w:rsidRDefault="00A11A47" w:rsidP="6375CABF">
      <w:pPr>
        <w:spacing w:line="480" w:lineRule="auto"/>
      </w:pPr>
    </w:p>
    <w:p w14:paraId="0F5319FC" w14:textId="77777777" w:rsidR="00A11A47" w:rsidRDefault="00A11A47" w:rsidP="6375CABF">
      <w:pPr>
        <w:spacing w:line="480" w:lineRule="auto"/>
      </w:pPr>
    </w:p>
    <w:p w14:paraId="3452802C" w14:textId="77777777" w:rsidR="004D303C" w:rsidRDefault="00A11A47" w:rsidP="6375CABF">
      <w:pPr>
        <w:spacing w:line="480" w:lineRule="auto"/>
      </w:pPr>
      <w:r>
        <w:t xml:space="preserve">   </w:t>
      </w:r>
    </w:p>
    <w:p w14:paraId="502F49FF" w14:textId="77777777" w:rsidR="004D303C" w:rsidRDefault="004D303C" w:rsidP="6375CABF">
      <w:pPr>
        <w:spacing w:line="480" w:lineRule="auto"/>
      </w:pPr>
    </w:p>
    <w:p w14:paraId="690818D9" w14:textId="77777777" w:rsidR="004D303C" w:rsidRDefault="004D303C" w:rsidP="6375CABF">
      <w:pPr>
        <w:spacing w:line="480" w:lineRule="auto"/>
      </w:pPr>
    </w:p>
    <w:p w14:paraId="13462C84" w14:textId="77777777" w:rsidR="004D303C" w:rsidRDefault="004D303C" w:rsidP="6375CABF">
      <w:pPr>
        <w:spacing w:line="480" w:lineRule="auto"/>
      </w:pPr>
    </w:p>
    <w:p w14:paraId="0F0AEE41" w14:textId="77777777" w:rsidR="004D303C" w:rsidRDefault="004D303C" w:rsidP="6375CABF">
      <w:pPr>
        <w:spacing w:line="480" w:lineRule="auto"/>
      </w:pPr>
    </w:p>
    <w:p w14:paraId="3AB56A1D" w14:textId="77777777" w:rsidR="004D303C" w:rsidRDefault="004D303C" w:rsidP="6375CABF">
      <w:pPr>
        <w:spacing w:line="480" w:lineRule="auto"/>
      </w:pPr>
    </w:p>
    <w:p w14:paraId="1AEE9EC2" w14:textId="77777777" w:rsidR="004D303C" w:rsidRDefault="004D303C" w:rsidP="6375CABF">
      <w:pPr>
        <w:spacing w:line="480" w:lineRule="auto"/>
      </w:pPr>
    </w:p>
    <w:p w14:paraId="5F70B7BE" w14:textId="77777777" w:rsidR="004D303C" w:rsidRDefault="004D303C" w:rsidP="6375CABF">
      <w:pPr>
        <w:spacing w:line="480" w:lineRule="auto"/>
      </w:pPr>
    </w:p>
    <w:p w14:paraId="4B30E65F" w14:textId="77777777" w:rsidR="004D303C" w:rsidRDefault="004D303C" w:rsidP="6375CABF">
      <w:pPr>
        <w:spacing w:line="480" w:lineRule="auto"/>
      </w:pPr>
    </w:p>
    <w:p w14:paraId="5F62C2C6" w14:textId="77777777" w:rsidR="00244145" w:rsidRDefault="00A11A47" w:rsidP="6375CABF">
      <w:pPr>
        <w:spacing w:line="480" w:lineRule="auto"/>
      </w:pPr>
      <w:r>
        <w:t xml:space="preserve">  </w:t>
      </w:r>
    </w:p>
    <w:p w14:paraId="4B89E4AC" w14:textId="79F0D20A" w:rsidR="00B10FA3" w:rsidRDefault="00244145" w:rsidP="6375CABF">
      <w:pPr>
        <w:spacing w:line="480" w:lineRule="auto"/>
      </w:pPr>
      <w:r>
        <w:t xml:space="preserve">    </w:t>
      </w:r>
      <w:r w:rsidR="00B10FA3">
        <w:t xml:space="preserve"> Any discussion of</w:t>
      </w:r>
      <w:r w:rsidR="00B10FA3" w:rsidRPr="6375CABF">
        <w:rPr>
          <w:i/>
          <w:iCs/>
        </w:rPr>
        <w:t xml:space="preserve"> men</w:t>
      </w:r>
      <w:r w:rsidR="00B10FA3">
        <w:t xml:space="preserve"> as a separate category in need of analysis (unless it involves deviancy) presents a red flag in contemporary American culture – at least in some circles. In many areas of academia, art, sports, and even politics, the default category of the white male is as a dominant, abusive, ignorant, violent and irresponsible stereotype of hypermasculinity.</w:t>
      </w:r>
    </w:p>
    <w:p w14:paraId="041678D3" w14:textId="77777777" w:rsidR="00B10FA3" w:rsidRPr="008D228E" w:rsidRDefault="00B10FA3" w:rsidP="6375CABF">
      <w:pPr>
        <w:spacing w:line="480" w:lineRule="auto"/>
      </w:pPr>
      <w:r>
        <w:t xml:space="preserve">      White men have been lately cornered, demonized, and blamed for many of societies flaws. What happened? We have always had angry guys – in the 1980s, they listened to Morton Downy and Howard Stern, watched Beavis and Butthead, then picked up Rush Limbaugh, later Alex Jones, then Steve Bannon and finally to Tucker Carlson and Sean Hannity and, (to some extent) Gordon Peterson; in doing so, they were gradually conditioned to regard women and multiple non-white minorities as </w:t>
      </w:r>
      <w:r w:rsidRPr="6375CABF">
        <w:rPr>
          <w:i/>
          <w:iCs/>
        </w:rPr>
        <w:t xml:space="preserve">The Other, </w:t>
      </w:r>
      <w:r>
        <w:t>while commensurately detaching themselves from plural understandings of racialism and ethnicity.</w:t>
      </w:r>
    </w:p>
    <w:p w14:paraId="6D25DE10" w14:textId="77777777" w:rsidR="00B10FA3" w:rsidRDefault="00B10FA3" w:rsidP="6375CABF">
      <w:pPr>
        <w:spacing w:line="480" w:lineRule="auto"/>
      </w:pPr>
      <w:r>
        <w:t xml:space="preserve">     By the same token, there was no shortage through the 70s and 80s of angry women – who strayed from the male-accepting – yet provocative feminism of Gloria Steinem, towards such strident theorists such as Catharine Mackinnon, Alice Walker and others who, despite their many legitimate gender insights, conditioned the culture to fear gender difference, and to distrust and distance themselves from ‘maleness.’ The waters got poisoned. </w:t>
      </w:r>
    </w:p>
    <w:p w14:paraId="60C4FA7B" w14:textId="77777777" w:rsidR="00B10FA3" w:rsidRDefault="00B10FA3" w:rsidP="6375CABF">
      <w:pPr>
        <w:spacing w:line="480" w:lineRule="auto"/>
      </w:pPr>
      <w:r>
        <w:lastRenderedPageBreak/>
        <w:t xml:space="preserve">     Looking back at the so-called ‘radical’ feminists of the late 20</w:t>
      </w:r>
      <w:r w:rsidRPr="6375CABF">
        <w:rPr>
          <w:vertAlign w:val="superscript"/>
        </w:rPr>
        <w:t>th</w:t>
      </w:r>
      <w:r>
        <w:t xml:space="preserve"> century, one could plausibly make the argument that the demonization of men and the suspicion of ‘patriarchy’ portended a necessary stage in feminist development – one to be followed by a more measured approach to social relations. (Northern Ireland experienced a similar transition of IRA political tactics from the 1960s to the late 1990s – with some lasting success.) By many standards, women were not considered equal societally, and the feminist identification of </w:t>
      </w:r>
      <w:r w:rsidRPr="6375CABF">
        <w:rPr>
          <w:i/>
          <w:iCs/>
        </w:rPr>
        <w:t>white male privilege</w:t>
      </w:r>
      <w:r>
        <w:t xml:space="preserve">, whether it be salary or opportunity, was undoubtedly a good thing, though a rather blunt tool through which to evaluate American gender culture. </w:t>
      </w:r>
    </w:p>
    <w:p w14:paraId="7FCA2575" w14:textId="77777777" w:rsidR="00B10FA3" w:rsidRDefault="00B10FA3" w:rsidP="6375CABF">
      <w:pPr>
        <w:spacing w:line="480" w:lineRule="auto"/>
      </w:pPr>
      <w:r>
        <w:t xml:space="preserve">     Where it fell short was the lack of understanding that “</w:t>
      </w:r>
      <w:r w:rsidRPr="6375CABF">
        <w:rPr>
          <w:i/>
          <w:iCs/>
        </w:rPr>
        <w:t>dominant</w:t>
      </w:r>
      <w:r>
        <w:t xml:space="preserve"> patriarchy” was never a monolith; it was never the province of most men, certainly not for lower and middle-class workers, and that ‘spheres of influence’ was a better analogue to gender relations than merely looking at the white men at the top of the economic and social pyramid. By not perceiving the wide cleft among and between men regarding social status and social cohesion, certain strains of feminism demonstrated a tendency to shoot itself in the feet, much in the same way that, during Post Civil War Reconstruction, poor Southern (male) whites were never able to transcend the Other of </w:t>
      </w:r>
      <w:r w:rsidRPr="6375CABF">
        <w:rPr>
          <w:i/>
          <w:iCs/>
        </w:rPr>
        <w:t>race</w:t>
      </w:r>
      <w:r>
        <w:t xml:space="preserve"> to see that their black, sharecropping agricultural compatriots shared common interests with themselves.  </w:t>
      </w:r>
    </w:p>
    <w:p w14:paraId="090C0579" w14:textId="77777777" w:rsidR="00B10FA3" w:rsidRDefault="00B10FA3" w:rsidP="6375CABF">
      <w:pPr>
        <w:spacing w:line="480" w:lineRule="auto"/>
      </w:pPr>
      <w:r>
        <w:t xml:space="preserve">     In the case of the male hotheads, misogyny was and is a tool with which to define an audience, employ calculated opportunism, and to stoke and promote the fears of a new, reactionary male (and sometimes traditional female) audience. Read between the lines and Tucker Carlson, Bill O’Reilly, Limbaugh and the rest of them (including the right-wing women, such as Laura Ingram) walk a very fine line of both racial and gender intolerance, quite aware of which trigger words to use and which ones to avoid. Clear messaging and plausible </w:t>
      </w:r>
      <w:r>
        <w:lastRenderedPageBreak/>
        <w:t>deniability exist side by side. Such tactics date from the 1970s and 80s, pioneered by the likes of rightist politicians as Newt Gingrich and Republican strategists such as Lee Atwater.</w:t>
      </w:r>
      <w:r>
        <w:rPr>
          <w:rStyle w:val="FootnoteReference"/>
        </w:rPr>
        <w:footnoteReference w:id="137"/>
      </w:r>
    </w:p>
    <w:p w14:paraId="2D3AB220" w14:textId="77777777" w:rsidR="00B10FA3" w:rsidRDefault="00B10FA3" w:rsidP="6375CABF">
      <w:pPr>
        <w:spacing w:line="480" w:lineRule="auto"/>
      </w:pPr>
      <w:r>
        <w:t xml:space="preserve">     The US has a long history of attributing economic and class phenomena to racial causation. Similarly, gender identity is often misinterpreted as a place setter for new, refined and complex forms of masculinity, femininity, sexuality and modernism. In the process, the mutual antagonisms have only served to create and exacerbate the stereotypical behavior that they were meant to combat.</w:t>
      </w:r>
      <w:r>
        <w:rPr>
          <w:rStyle w:val="FootnoteReference"/>
        </w:rPr>
        <w:footnoteReference w:id="138"/>
      </w:r>
      <w:r>
        <w:t xml:space="preserve"> The debate, or rather, the exploration by and between the genders needs to mature, and to realize the sometimes, startling new depths that identity may encompass within and between the genders.</w:t>
      </w:r>
    </w:p>
    <w:p w14:paraId="3FD02DD2" w14:textId="77777777" w:rsidR="00B10FA3" w:rsidRDefault="00B10FA3" w:rsidP="6375CABF">
      <w:pPr>
        <w:spacing w:line="480" w:lineRule="auto"/>
      </w:pPr>
      <w:r>
        <w:t xml:space="preserve">     But look at how our culture has become corrupted.  In the first place, the idea that men and women should be placed, ideologically, against each other, makes no sense. Men and women, regardless of era, have relied upon one and other for reproduction, work distribution and survival. They possess skills that sometimes overlap, and that sometimes diverge. It is not disparaging to suggest that they do, in fact, represent ‘spheres’ that are complimentary, rather than opposing. Historically, societies have dealt with these issues in </w:t>
      </w:r>
      <w:r>
        <w:lastRenderedPageBreak/>
        <w:t xml:space="preserve">myriad, incongruent, and often unconscious ways. Understanding gender may stand second only to understanding dietary preference, so far as human behavior is concerned. So, </w:t>
      </w:r>
      <w:proofErr w:type="spellStart"/>
      <w:r>
        <w:t>lets</w:t>
      </w:r>
      <w:proofErr w:type="spellEnd"/>
      <w:r>
        <w:t xml:space="preserve"> put the gender stereotypes aside for the time being, and take a look at how we got to the place where we are.</w:t>
      </w:r>
    </w:p>
    <w:p w14:paraId="307AB3F9" w14:textId="4949F92A" w:rsidR="00B10FA3" w:rsidRDefault="00B175F7" w:rsidP="6375CABF">
      <w:pPr>
        <w:spacing w:line="480" w:lineRule="auto"/>
      </w:pPr>
      <w:r>
        <w:t xml:space="preserve">    </w:t>
      </w:r>
      <w:r w:rsidR="00B10FA3">
        <w:t xml:space="preserve"> Elements of this gender and racial group have maintained political hegemony in American power socially and politically, more or less since the founding of the Republic. But note: not all white men are created equal, and the power differential has varied widely among white males, depending on their region of birth, their education, their social class, and their economic influence. In other words, “white men” is a pretty crude tool with which to really understand the dynamics of sexual politics in the US. Let’s get that out of the way right away. </w:t>
      </w:r>
    </w:p>
    <w:p w14:paraId="6E571366" w14:textId="77777777" w:rsidR="00B10FA3" w:rsidRDefault="00B10FA3" w:rsidP="6375CABF">
      <w:pPr>
        <w:spacing w:line="480" w:lineRule="auto"/>
      </w:pPr>
      <w:r>
        <w:t xml:space="preserve">     What is a man in America? What does he need to </w:t>
      </w:r>
      <w:r w:rsidRPr="6375CABF">
        <w:rPr>
          <w:i/>
          <w:iCs/>
        </w:rPr>
        <w:t>do</w:t>
      </w:r>
      <w:r>
        <w:t xml:space="preserve"> or to </w:t>
      </w:r>
      <w:r w:rsidRPr="6375CABF">
        <w:rPr>
          <w:i/>
          <w:iCs/>
        </w:rPr>
        <w:t>be</w:t>
      </w:r>
      <w:r>
        <w:t xml:space="preserve"> to confer the right of masculine identity upon himself? Is masculinity ‘something to prove’? Is the American man a hero, an empathetic ear, a conqueror, a nurturer, a rescuer, a distance presence, a brutalizer – or some admixture of these qualities?  Well, it’s hard to know, as histories of men – as men – are rare to find. The modern Women’s Movement, defined by 19</w:t>
      </w:r>
      <w:r w:rsidRPr="6375CABF">
        <w:rPr>
          <w:vertAlign w:val="superscript"/>
        </w:rPr>
        <w:t>th</w:t>
      </w:r>
      <w:r>
        <w:t xml:space="preserve"> or 20</w:t>
      </w:r>
      <w:r w:rsidRPr="6375CABF">
        <w:rPr>
          <w:vertAlign w:val="superscript"/>
        </w:rPr>
        <w:t>th</w:t>
      </w:r>
      <w:r>
        <w:t xml:space="preserve"> century standards, was defined as a ‘visible’ group that should be focused upon, in contrast to a dominant gender group. </w:t>
      </w:r>
    </w:p>
    <w:p w14:paraId="1D9015E2" w14:textId="77777777" w:rsidR="00B10FA3" w:rsidRDefault="00B10FA3" w:rsidP="6375CABF">
      <w:pPr>
        <w:spacing w:line="480" w:lineRule="auto"/>
        <w:rPr>
          <w:rFonts w:eastAsia="Times New Roman"/>
          <w:lang w:eastAsia="en-CA"/>
        </w:rPr>
      </w:pPr>
      <w:r>
        <w:t xml:space="preserve">       </w:t>
      </w:r>
      <w:r w:rsidRPr="00E27685">
        <w:rPr>
          <w:rFonts w:eastAsia="Times New Roman"/>
          <w:lang w:eastAsia="en-CA"/>
        </w:rPr>
        <w:t>In the United States men have</w:t>
      </w:r>
      <w:r>
        <w:rPr>
          <w:rFonts w:eastAsia="Times New Roman"/>
          <w:lang w:eastAsia="en-CA"/>
        </w:rPr>
        <w:t>,</w:t>
      </w:r>
      <w:r w:rsidRPr="00E27685">
        <w:rPr>
          <w:rFonts w:eastAsia="Times New Roman"/>
          <w:lang w:eastAsia="en-CA"/>
        </w:rPr>
        <w:t xml:space="preserve"> at least until recently</w:t>
      </w:r>
      <w:r>
        <w:rPr>
          <w:rFonts w:eastAsia="Times New Roman"/>
          <w:lang w:eastAsia="en-CA"/>
        </w:rPr>
        <w:t xml:space="preserve">, possessed no distinct history of their own. </w:t>
      </w:r>
      <w:r w:rsidRPr="00E27685">
        <w:rPr>
          <w:rFonts w:eastAsia="Times New Roman"/>
          <w:lang w:eastAsia="en-CA"/>
        </w:rPr>
        <w:t>The women’s movemen</w:t>
      </w:r>
      <w:r>
        <w:rPr>
          <w:rFonts w:eastAsia="Times New Roman"/>
          <w:lang w:eastAsia="en-CA"/>
        </w:rPr>
        <w:t xml:space="preserve">t, or better, </w:t>
      </w:r>
      <w:r w:rsidRPr="6375CABF">
        <w:rPr>
          <w:rFonts w:eastAsia="Times New Roman"/>
          <w:i/>
          <w:iCs/>
          <w:lang w:eastAsia="en-CA"/>
        </w:rPr>
        <w:t>movements</w:t>
      </w:r>
      <w:r>
        <w:rPr>
          <w:rFonts w:eastAsia="Times New Roman"/>
          <w:lang w:eastAsia="en-CA"/>
        </w:rPr>
        <w:t>,</w:t>
      </w:r>
      <w:r w:rsidRPr="00E27685">
        <w:rPr>
          <w:rFonts w:eastAsia="Times New Roman"/>
          <w:lang w:eastAsia="en-CA"/>
        </w:rPr>
        <w:t xml:space="preserve"> </w:t>
      </w:r>
      <w:r>
        <w:rPr>
          <w:rFonts w:eastAsia="Times New Roman"/>
          <w:lang w:eastAsia="en-CA"/>
        </w:rPr>
        <w:t xml:space="preserve">have </w:t>
      </w:r>
      <w:r w:rsidRPr="00E27685">
        <w:rPr>
          <w:rFonts w:eastAsia="Times New Roman"/>
          <w:lang w:eastAsia="en-CA"/>
        </w:rPr>
        <w:t>made gender visible gender</w:t>
      </w:r>
      <w:r>
        <w:rPr>
          <w:rFonts w:eastAsia="Times New Roman"/>
          <w:lang w:eastAsia="en-CA"/>
        </w:rPr>
        <w:t xml:space="preserve"> as a category of concern. But for men, to the present, gender is not really a social category </w:t>
      </w:r>
      <w:r>
        <w:rPr>
          <w:rFonts w:eastAsia="Times New Roman"/>
          <w:lang w:eastAsia="en-CA"/>
        </w:rPr>
        <w:lastRenderedPageBreak/>
        <w:t xml:space="preserve">that is visible to most – even men; as sociologist </w:t>
      </w:r>
      <w:r w:rsidRPr="00E27685">
        <w:rPr>
          <w:rFonts w:eastAsia="Times New Roman"/>
          <w:lang w:eastAsia="en-CA"/>
        </w:rPr>
        <w:t>Michael Kimmel instructively said</w:t>
      </w:r>
      <w:r>
        <w:rPr>
          <w:rFonts w:eastAsia="Times New Roman"/>
          <w:lang w:eastAsia="en-CA"/>
        </w:rPr>
        <w:t>:</w:t>
      </w:r>
      <w:r w:rsidRPr="00E27685">
        <w:rPr>
          <w:rFonts w:eastAsia="Times New Roman"/>
          <w:lang w:eastAsia="en-CA"/>
        </w:rPr>
        <w:t xml:space="preserve"> </w:t>
      </w:r>
      <w:r>
        <w:rPr>
          <w:rFonts w:eastAsia="Times New Roman"/>
          <w:lang w:eastAsia="en-CA"/>
        </w:rPr>
        <w:t>“</w:t>
      </w:r>
      <w:r w:rsidRPr="00E27685">
        <w:rPr>
          <w:rFonts w:eastAsia="Times New Roman"/>
          <w:lang w:eastAsia="en-CA"/>
        </w:rPr>
        <w:t xml:space="preserve">the fish </w:t>
      </w:r>
      <w:r>
        <w:rPr>
          <w:rFonts w:eastAsia="Times New Roman"/>
          <w:lang w:eastAsia="en-CA"/>
        </w:rPr>
        <w:t>are</w:t>
      </w:r>
      <w:r w:rsidRPr="00E27685">
        <w:rPr>
          <w:rFonts w:eastAsia="Times New Roman"/>
          <w:lang w:eastAsia="en-CA"/>
        </w:rPr>
        <w:t xml:space="preserve"> sometimes the last to discover the </w:t>
      </w:r>
      <w:r>
        <w:rPr>
          <w:rFonts w:eastAsia="Times New Roman"/>
          <w:lang w:eastAsia="en-CA"/>
        </w:rPr>
        <w:t>o</w:t>
      </w:r>
      <w:r w:rsidRPr="00E27685">
        <w:rPr>
          <w:rFonts w:eastAsia="Times New Roman"/>
          <w:lang w:eastAsia="en-CA"/>
        </w:rPr>
        <w:t>cean</w:t>
      </w:r>
      <w:r>
        <w:rPr>
          <w:rFonts w:eastAsia="Times New Roman"/>
          <w:lang w:eastAsia="en-CA"/>
        </w:rPr>
        <w:t>.”</w:t>
      </w:r>
      <w:r>
        <w:rPr>
          <w:rStyle w:val="FootnoteReference"/>
          <w:rFonts w:eastAsia="Times New Roman"/>
          <w:lang w:eastAsia="en-CA"/>
        </w:rPr>
        <w:footnoteReference w:id="139"/>
      </w:r>
    </w:p>
    <w:p w14:paraId="359DB794" w14:textId="77777777" w:rsidR="00B175F7" w:rsidRDefault="00B175F7" w:rsidP="6375CABF">
      <w:pPr>
        <w:spacing w:line="480" w:lineRule="auto"/>
        <w:rPr>
          <w:rFonts w:eastAsia="Times New Roman"/>
          <w:lang w:eastAsia="en-CA"/>
        </w:rPr>
      </w:pPr>
    </w:p>
    <w:p w14:paraId="2A1A710E" w14:textId="77777777" w:rsidR="00B10FA3" w:rsidRPr="00244145" w:rsidRDefault="00B10FA3" w:rsidP="6375CABF">
      <w:pPr>
        <w:spacing w:after="0" w:line="480" w:lineRule="auto"/>
        <w:rPr>
          <w:rFonts w:eastAsia="Times New Roman"/>
          <w:b/>
          <w:bCs/>
          <w:i/>
          <w:iCs/>
          <w:sz w:val="28"/>
          <w:szCs w:val="28"/>
          <w:lang w:eastAsia="en-CA"/>
        </w:rPr>
      </w:pPr>
      <w:r w:rsidRPr="00244145">
        <w:rPr>
          <w:rFonts w:eastAsia="Times New Roman"/>
          <w:b/>
          <w:bCs/>
          <w:i/>
          <w:iCs/>
          <w:sz w:val="28"/>
          <w:szCs w:val="28"/>
          <w:lang w:eastAsia="en-CA"/>
        </w:rPr>
        <w:t>A Brief History of Some American Masculine Tropes</w:t>
      </w:r>
    </w:p>
    <w:p w14:paraId="536FDF68" w14:textId="77777777" w:rsidR="00B10FA3" w:rsidRDefault="00B10FA3" w:rsidP="6375CABF">
      <w:pPr>
        <w:spacing w:after="0" w:line="480" w:lineRule="auto"/>
        <w:rPr>
          <w:rFonts w:eastAsia="Times New Roman"/>
          <w:lang w:eastAsia="en-CA"/>
        </w:rPr>
      </w:pPr>
    </w:p>
    <w:p w14:paraId="05DA70E7" w14:textId="5F088026" w:rsidR="00B10FA3" w:rsidRPr="00E27685" w:rsidRDefault="00B10FA3" w:rsidP="6375CABF">
      <w:pPr>
        <w:spacing w:after="0" w:line="480" w:lineRule="auto"/>
        <w:rPr>
          <w:rFonts w:eastAsia="Times New Roman"/>
          <w:lang w:eastAsia="en-CA"/>
        </w:rPr>
      </w:pPr>
      <w:r w:rsidRPr="6375CABF">
        <w:rPr>
          <w:rFonts w:eastAsia="Times New Roman"/>
          <w:lang w:eastAsia="en-CA"/>
        </w:rPr>
        <w:t xml:space="preserve">     Traditionally, general (if typical) American characteri</w:t>
      </w:r>
      <w:r w:rsidR="004D303C">
        <w:rPr>
          <w:rFonts w:eastAsia="Times New Roman"/>
          <w:lang w:eastAsia="en-CA"/>
        </w:rPr>
        <w:t>z</w:t>
      </w:r>
      <w:r w:rsidRPr="6375CABF">
        <w:rPr>
          <w:rFonts w:eastAsia="Times New Roman"/>
          <w:lang w:eastAsia="en-CA"/>
        </w:rPr>
        <w:t>ations of masculinity include features such as stoicism sexual prowess, emotional reserve, familial responsibility, family organi</w:t>
      </w:r>
      <w:r w:rsidR="004D303C">
        <w:rPr>
          <w:rFonts w:eastAsia="Times New Roman"/>
          <w:lang w:eastAsia="en-CA"/>
        </w:rPr>
        <w:t>z</w:t>
      </w:r>
      <w:r w:rsidRPr="6375CABF">
        <w:rPr>
          <w:rFonts w:eastAsia="Times New Roman"/>
          <w:lang w:eastAsia="en-CA"/>
        </w:rPr>
        <w:t xml:space="preserve">ation, integrity, honesty and education although there are many other traditional characteristics associated with masculinity in the United States, some of which are completely contradictory, either contemporaneously, or within historical context. </w:t>
      </w:r>
    </w:p>
    <w:p w14:paraId="2829F269" w14:textId="19931DDF" w:rsidR="00B10FA3" w:rsidRPr="00E27685" w:rsidRDefault="00B10FA3" w:rsidP="6375CABF">
      <w:pPr>
        <w:spacing w:after="0" w:line="480" w:lineRule="auto"/>
        <w:rPr>
          <w:rFonts w:eastAsia="Times New Roman"/>
          <w:lang w:eastAsia="en-CA"/>
        </w:rPr>
      </w:pPr>
      <w:r w:rsidRPr="6375CABF">
        <w:rPr>
          <w:rFonts w:eastAsia="Times New Roman"/>
          <w:lang w:eastAsia="en-CA"/>
        </w:rPr>
        <w:t xml:space="preserve">     In the 18th century none other than Ben Franklin articulated a series of characteristics of good human behavior, although given the context of his observations, it is hard to imagine that they were not, in fact, elements of masculine behavior, that is to say, preferred traits of a man. </w:t>
      </w:r>
    </w:p>
    <w:p w14:paraId="6C456B3A" w14:textId="77777777" w:rsidR="00B10FA3" w:rsidRDefault="00B10FA3" w:rsidP="6375CABF">
      <w:pPr>
        <w:spacing w:after="0" w:line="480" w:lineRule="auto"/>
        <w:rPr>
          <w:rFonts w:eastAsia="Times New Roman"/>
          <w:lang w:eastAsia="en-CA"/>
        </w:rPr>
      </w:pPr>
      <w:r w:rsidRPr="6375CABF">
        <w:rPr>
          <w:rFonts w:eastAsia="Times New Roman"/>
          <w:lang w:eastAsia="en-CA"/>
        </w:rPr>
        <w:t xml:space="preserve">Franklin’s admonitions included industry, punctuality and frugality as ideal characteristics of a model citizen, and as guarantees of continued liberty among the citizenry. Implicitly, he valued intelligence, integrity and analytical-mindedness. Franklin left no doubt, in addition, that a healthy libido and good relations with women were no hinderance to virtuous citizenry. </w:t>
      </w:r>
    </w:p>
    <w:p w14:paraId="3E2F7C0B" w14:textId="2CB79F01" w:rsidR="00B10FA3" w:rsidRDefault="00B10FA3" w:rsidP="6375CABF">
      <w:pPr>
        <w:spacing w:line="480" w:lineRule="auto"/>
      </w:pPr>
      <w:r>
        <w:rPr>
          <w:rFonts w:eastAsia="Times New Roman"/>
          <w:lang w:eastAsia="en-CA"/>
        </w:rPr>
        <w:t xml:space="preserve">     </w:t>
      </w:r>
      <w:r>
        <w:t xml:space="preserve">      In the US, white manhood has undertaken many forms, with various meanings, over time. It didn’t help that, in in 1774, that the top 10% owned 49.6% of the wealth in the US, and that by 1860 the rate was up to 73%. During this interim, President and former war hero </w:t>
      </w:r>
      <w:r>
        <w:lastRenderedPageBreak/>
        <w:t>Andrew Jackson put forth a hypermasculine version of politics; in fact, he went as far as to criticize Thomas Jefferson as “</w:t>
      </w:r>
      <w:proofErr w:type="spellStart"/>
      <w:r>
        <w:t>chol</w:t>
      </w:r>
      <w:r w:rsidR="002D3073">
        <w:t>o</w:t>
      </w:r>
      <w:r>
        <w:t>ric</w:t>
      </w:r>
      <w:proofErr w:type="spellEnd"/>
      <w:r>
        <w:t xml:space="preserve"> and impetuous.” In the early 19</w:t>
      </w:r>
      <w:r w:rsidRPr="00700EED">
        <w:rPr>
          <w:vertAlign w:val="superscript"/>
        </w:rPr>
        <w:t>th</w:t>
      </w:r>
      <w:r>
        <w:t xml:space="preserve"> century, male masturbation was widely seen as an activity that would leave a man ‘weak and effeminate.’ Perhaps not surprisingly, the period 1790-1830 saw the largest consumption of hard liquor in the US.</w:t>
      </w:r>
      <w:r>
        <w:rPr>
          <w:rStyle w:val="FootnoteReference"/>
        </w:rPr>
        <w:footnoteReference w:id="140"/>
      </w:r>
    </w:p>
    <w:p w14:paraId="3EB68218" w14:textId="77777777" w:rsidR="00B10FA3" w:rsidRDefault="00B10FA3" w:rsidP="6375CABF">
      <w:pPr>
        <w:spacing w:line="480" w:lineRule="auto"/>
      </w:pPr>
      <w:r>
        <w:t xml:space="preserve">     Andrew Jackson was fatherless. And much of his rhetoric was clearly misogynistic. But gender issues cut in various directions at this time; Abolitionist William Lloyd Garrison created a connection between </w:t>
      </w:r>
      <w:r w:rsidRPr="6375CABF">
        <w:rPr>
          <w:i/>
          <w:iCs/>
        </w:rPr>
        <w:t xml:space="preserve">intemperance </w:t>
      </w:r>
      <w:r>
        <w:t>and immorality. So, the lines between left and right were drawn a bit differently in 19</w:t>
      </w:r>
      <w:r w:rsidRPr="00BA4A33">
        <w:rPr>
          <w:vertAlign w:val="superscript"/>
        </w:rPr>
        <w:t>th</w:t>
      </w:r>
      <w:r>
        <w:t xml:space="preserve"> century America. Jackson represented a different brand of masculinity – what would today perhaps be called </w:t>
      </w:r>
      <w:r w:rsidRPr="6375CABF">
        <w:rPr>
          <w:i/>
          <w:iCs/>
        </w:rPr>
        <w:t>hypermasculinity</w:t>
      </w:r>
      <w:r>
        <w:t>; an identity represented largely by violence, both physical and linguistic, and conquest. It was under Jackson that the infamous “Trail of Tears” forcibly relocated nearly an entire eastern dwelling Native American population to the West, an action for which he took immense pride.</w:t>
      </w:r>
      <w:r>
        <w:rPr>
          <w:rStyle w:val="FootnoteReference"/>
        </w:rPr>
        <w:footnoteReference w:id="141"/>
      </w:r>
    </w:p>
    <w:p w14:paraId="7AA9B339" w14:textId="77777777" w:rsidR="00B10FA3" w:rsidRDefault="00B10FA3" w:rsidP="6375CABF">
      <w:pPr>
        <w:spacing w:after="0" w:line="480" w:lineRule="auto"/>
        <w:rPr>
          <w:rFonts w:eastAsia="Times New Roman"/>
          <w:lang w:eastAsia="en-CA"/>
        </w:rPr>
      </w:pPr>
      <w:r>
        <w:rPr>
          <w:rFonts w:eastAsia="Times New Roman"/>
          <w:lang w:eastAsia="en-CA"/>
        </w:rPr>
        <w:t xml:space="preserve">     </w:t>
      </w:r>
      <w:r w:rsidRPr="00E27685">
        <w:rPr>
          <w:rFonts w:eastAsia="Times New Roman"/>
          <w:lang w:eastAsia="en-CA"/>
        </w:rPr>
        <w:t xml:space="preserve">Perhaps the most profound observer of American culture was </w:t>
      </w:r>
      <w:r>
        <w:rPr>
          <w:rFonts w:eastAsia="Times New Roman"/>
          <w:lang w:eastAsia="en-CA"/>
        </w:rPr>
        <w:t xml:space="preserve">American cultural critic and seminal sociologist </w:t>
      </w:r>
      <w:r w:rsidRPr="00E27685">
        <w:rPr>
          <w:rFonts w:eastAsia="Times New Roman"/>
          <w:lang w:eastAsia="en-CA"/>
        </w:rPr>
        <w:t>Alexis the Tocqueville</w:t>
      </w:r>
      <w:r>
        <w:rPr>
          <w:rFonts w:eastAsia="Times New Roman"/>
          <w:lang w:eastAsia="en-CA"/>
        </w:rPr>
        <w:t>,</w:t>
      </w:r>
      <w:r w:rsidRPr="00E27685">
        <w:rPr>
          <w:rFonts w:eastAsia="Times New Roman"/>
          <w:lang w:eastAsia="en-CA"/>
        </w:rPr>
        <w:t xml:space="preserve"> who in the early 19th century wrote</w:t>
      </w:r>
      <w:r>
        <w:rPr>
          <w:rFonts w:eastAsia="Times New Roman"/>
          <w:lang w:eastAsia="en-CA"/>
        </w:rPr>
        <w:t xml:space="preserve">, in </w:t>
      </w:r>
      <w:r w:rsidRPr="6375CABF">
        <w:rPr>
          <w:rFonts w:eastAsia="Times New Roman"/>
          <w:i/>
          <w:iCs/>
          <w:lang w:eastAsia="en-CA"/>
        </w:rPr>
        <w:t>Democracy in America</w:t>
      </w:r>
      <w:r>
        <w:rPr>
          <w:rFonts w:eastAsia="Times New Roman"/>
          <w:lang w:eastAsia="en-CA"/>
        </w:rPr>
        <w:t xml:space="preserve">, </w:t>
      </w:r>
      <w:r w:rsidRPr="00E27685">
        <w:rPr>
          <w:rFonts w:eastAsia="Times New Roman"/>
          <w:lang w:eastAsia="en-CA"/>
        </w:rPr>
        <w:t>that American democracy possesses two faces</w:t>
      </w:r>
      <w:r>
        <w:rPr>
          <w:rFonts w:eastAsia="Times New Roman"/>
          <w:lang w:eastAsia="en-CA"/>
        </w:rPr>
        <w:t>. T</w:t>
      </w:r>
      <w:r w:rsidRPr="00E27685">
        <w:rPr>
          <w:rFonts w:eastAsia="Times New Roman"/>
          <w:lang w:eastAsia="en-CA"/>
        </w:rPr>
        <w:t>he first of these is the individual who is the anxious achiever</w:t>
      </w:r>
      <w:r>
        <w:rPr>
          <w:rFonts w:eastAsia="Times New Roman"/>
          <w:lang w:eastAsia="en-CA"/>
        </w:rPr>
        <w:t>;</w:t>
      </w:r>
      <w:r w:rsidRPr="00E27685">
        <w:rPr>
          <w:rFonts w:eastAsia="Times New Roman"/>
          <w:lang w:eastAsia="en-CA"/>
        </w:rPr>
        <w:t xml:space="preserve"> that is</w:t>
      </w:r>
      <w:r>
        <w:rPr>
          <w:rFonts w:eastAsia="Times New Roman"/>
          <w:lang w:eastAsia="en-CA"/>
        </w:rPr>
        <w:t>,</w:t>
      </w:r>
      <w:r w:rsidRPr="00E27685">
        <w:rPr>
          <w:rFonts w:eastAsia="Times New Roman"/>
          <w:lang w:eastAsia="en-CA"/>
        </w:rPr>
        <w:t xml:space="preserve"> one who hopes to improve his particular circumstances through industry and ambition</w:t>
      </w:r>
      <w:r>
        <w:rPr>
          <w:rFonts w:eastAsia="Times New Roman"/>
          <w:lang w:eastAsia="en-CA"/>
        </w:rPr>
        <w:t xml:space="preserve">. </w:t>
      </w:r>
      <w:r w:rsidRPr="00E27685">
        <w:rPr>
          <w:rFonts w:eastAsia="Times New Roman"/>
          <w:lang w:eastAsia="en-CA"/>
        </w:rPr>
        <w:t xml:space="preserve">The second characteristic that Tocqueville noted was a kind of what he called a </w:t>
      </w:r>
      <w:r>
        <w:rPr>
          <w:rFonts w:eastAsia="Times New Roman"/>
          <w:lang w:eastAsia="en-CA"/>
        </w:rPr>
        <w:t>“</w:t>
      </w:r>
      <w:r w:rsidRPr="00E27685">
        <w:rPr>
          <w:rFonts w:eastAsia="Times New Roman"/>
          <w:lang w:eastAsia="en-CA"/>
        </w:rPr>
        <w:t>melancholy to rise</w:t>
      </w:r>
      <w:r>
        <w:rPr>
          <w:rFonts w:eastAsia="Times New Roman"/>
          <w:lang w:eastAsia="en-CA"/>
        </w:rPr>
        <w:t>,”</w:t>
      </w:r>
      <w:r w:rsidRPr="00E27685">
        <w:rPr>
          <w:rFonts w:eastAsia="Times New Roman"/>
          <w:lang w:eastAsia="en-CA"/>
        </w:rPr>
        <w:t xml:space="preserve"> that is</w:t>
      </w:r>
      <w:r>
        <w:rPr>
          <w:rFonts w:eastAsia="Times New Roman"/>
          <w:lang w:eastAsia="en-CA"/>
        </w:rPr>
        <w:t xml:space="preserve">, an observation that </w:t>
      </w:r>
      <w:r w:rsidRPr="00E27685">
        <w:rPr>
          <w:rFonts w:eastAsia="Times New Roman"/>
          <w:lang w:eastAsia="en-CA"/>
        </w:rPr>
        <w:t>Americans strove to improve but that</w:t>
      </w:r>
      <w:r>
        <w:rPr>
          <w:rFonts w:eastAsia="Times New Roman"/>
          <w:lang w:eastAsia="en-CA"/>
        </w:rPr>
        <w:t xml:space="preserve"> their</w:t>
      </w:r>
      <w:r w:rsidRPr="00E27685">
        <w:rPr>
          <w:rFonts w:eastAsia="Times New Roman"/>
          <w:lang w:eastAsia="en-CA"/>
        </w:rPr>
        <w:t xml:space="preserve"> aims were not particularly high</w:t>
      </w:r>
      <w:r>
        <w:rPr>
          <w:rFonts w:eastAsia="Times New Roman"/>
          <w:lang w:eastAsia="en-CA"/>
        </w:rPr>
        <w:t>.</w:t>
      </w:r>
      <w:r>
        <w:rPr>
          <w:rStyle w:val="FootnoteReference"/>
          <w:rFonts w:eastAsia="Times New Roman"/>
          <w:lang w:eastAsia="en-CA"/>
        </w:rPr>
        <w:footnoteReference w:id="142"/>
      </w:r>
      <w:r>
        <w:rPr>
          <w:rFonts w:eastAsia="Times New Roman"/>
          <w:lang w:eastAsia="en-CA"/>
        </w:rPr>
        <w:t xml:space="preserve"> </w:t>
      </w:r>
    </w:p>
    <w:p w14:paraId="5B4D901C" w14:textId="77777777" w:rsidR="00B10FA3" w:rsidRDefault="00B10FA3" w:rsidP="6375CABF">
      <w:pPr>
        <w:spacing w:line="480" w:lineRule="auto"/>
        <w:rPr>
          <w:rFonts w:eastAsia="Times New Roman"/>
          <w:lang w:eastAsia="en-CA"/>
        </w:rPr>
      </w:pPr>
      <w:r>
        <w:lastRenderedPageBreak/>
        <w:t xml:space="preserve">     Tocqueville looked deeply at American political and social culture; his observations have held the test of time for a century and a half. Yet he promoted the universality of gender </w:t>
      </w:r>
      <w:r w:rsidRPr="6375CABF">
        <w:rPr>
          <w:i/>
          <w:iCs/>
        </w:rPr>
        <w:t>spheres</w:t>
      </w:r>
      <w:r>
        <w:t xml:space="preserve">, and the nature of work that would most naturally be performed by men or women. </w:t>
      </w:r>
      <w:r>
        <w:rPr>
          <w:rFonts w:eastAsia="Times New Roman"/>
          <w:lang w:eastAsia="en-CA"/>
        </w:rPr>
        <w:t>Tocqueville was also the first theorist of America to note the prevalence of “gender spheres” in social and economic activity. (So too did novelist Nathaniel Hawthorne, who noted how little men worked to help each other, concluding that women played a vital role in sustaining men in their basic necessities.)</w:t>
      </w:r>
      <w:r>
        <w:rPr>
          <w:rStyle w:val="FootnoteReference"/>
          <w:rFonts w:eastAsia="Times New Roman"/>
          <w:lang w:eastAsia="en-CA"/>
        </w:rPr>
        <w:footnoteReference w:id="143"/>
      </w:r>
    </w:p>
    <w:p w14:paraId="499E6C7F" w14:textId="77777777" w:rsidR="00B10FA3" w:rsidRPr="00E27685" w:rsidRDefault="00B10FA3" w:rsidP="6375CABF">
      <w:pPr>
        <w:spacing w:after="0" w:line="480" w:lineRule="auto"/>
        <w:rPr>
          <w:rFonts w:eastAsia="Times New Roman"/>
          <w:lang w:eastAsia="en-CA"/>
        </w:rPr>
      </w:pPr>
      <w:r>
        <w:rPr>
          <w:rFonts w:eastAsia="Times New Roman"/>
          <w:lang w:eastAsia="en-CA"/>
        </w:rPr>
        <w:t xml:space="preserve">      I</w:t>
      </w:r>
      <w:r w:rsidRPr="00E27685">
        <w:rPr>
          <w:rFonts w:eastAsia="Times New Roman"/>
          <w:lang w:eastAsia="en-CA"/>
        </w:rPr>
        <w:t xml:space="preserve">n the 18th century 10% of the population of North America owned nearly 50% of the </w:t>
      </w:r>
      <w:r>
        <w:rPr>
          <w:rFonts w:eastAsia="Times New Roman"/>
          <w:lang w:eastAsia="en-CA"/>
        </w:rPr>
        <w:t>wealth of the North American continent; by</w:t>
      </w:r>
      <w:r w:rsidRPr="00E27685">
        <w:rPr>
          <w:rFonts w:eastAsia="Times New Roman"/>
          <w:lang w:eastAsia="en-CA"/>
        </w:rPr>
        <w:t xml:space="preserve"> 1860 the same 10% </w:t>
      </w:r>
      <w:r>
        <w:rPr>
          <w:rFonts w:eastAsia="Times New Roman"/>
          <w:lang w:eastAsia="en-CA"/>
        </w:rPr>
        <w:t>owned</w:t>
      </w:r>
      <w:r w:rsidRPr="00E27685">
        <w:rPr>
          <w:rFonts w:eastAsia="Times New Roman"/>
          <w:lang w:eastAsia="en-CA"/>
        </w:rPr>
        <w:t xml:space="preserve"> 73% of the wealth in the United States</w:t>
      </w:r>
      <w:r>
        <w:rPr>
          <w:rFonts w:eastAsia="Times New Roman"/>
          <w:lang w:eastAsia="en-CA"/>
        </w:rPr>
        <w:t>. T</w:t>
      </w:r>
      <w:r w:rsidRPr="00E27685">
        <w:rPr>
          <w:rFonts w:eastAsia="Times New Roman"/>
          <w:lang w:eastAsia="en-CA"/>
        </w:rPr>
        <w:t xml:space="preserve">his </w:t>
      </w:r>
      <w:r>
        <w:rPr>
          <w:rFonts w:eastAsia="Times New Roman"/>
          <w:lang w:eastAsia="en-CA"/>
        </w:rPr>
        <w:t xml:space="preserve">interregnum </w:t>
      </w:r>
      <w:r w:rsidRPr="00E27685">
        <w:rPr>
          <w:rFonts w:eastAsia="Times New Roman"/>
          <w:lang w:eastAsia="en-CA"/>
        </w:rPr>
        <w:t>period the was an inherently unequal period</w:t>
      </w:r>
      <w:r>
        <w:rPr>
          <w:rFonts w:eastAsia="Times New Roman"/>
          <w:lang w:eastAsia="en-CA"/>
        </w:rPr>
        <w:t xml:space="preserve"> that created new stresses on class, gender and race throughout the US.</w:t>
      </w:r>
      <w:r w:rsidRPr="00E27685">
        <w:rPr>
          <w:rFonts w:eastAsia="Times New Roman"/>
          <w:lang w:eastAsia="en-CA"/>
        </w:rPr>
        <w:t xml:space="preserve"> </w:t>
      </w:r>
      <w:r>
        <w:rPr>
          <w:rFonts w:eastAsia="Times New Roman"/>
          <w:lang w:eastAsia="en-CA"/>
        </w:rPr>
        <w:t>Slavery reform and temperance became key themes of reformers, many of whom saw a moral equivalency in the two issues. For example, alcohol abuse (and, in Victorian America sometimes masturbation) was seen as a form of self-inflicted slavery. In some cases, intemperance and masturbation were even equated with effeminacy.</w:t>
      </w:r>
      <w:r>
        <w:rPr>
          <w:rStyle w:val="FootnoteReference"/>
          <w:rFonts w:eastAsia="Times New Roman"/>
          <w:lang w:eastAsia="en-CA"/>
        </w:rPr>
        <w:footnoteReference w:id="144"/>
      </w:r>
    </w:p>
    <w:p w14:paraId="5DB5144F" w14:textId="77777777" w:rsidR="00B10FA3" w:rsidRPr="007D1D7D" w:rsidRDefault="00B10FA3" w:rsidP="6375CABF">
      <w:pPr>
        <w:spacing w:line="480" w:lineRule="auto"/>
      </w:pPr>
      <w:r>
        <w:rPr>
          <w:color w:val="FF0000"/>
        </w:rPr>
        <w:t xml:space="preserve">     </w:t>
      </w:r>
      <w:r>
        <w:t>Mark Twain’s characters had an appreciable effect of conceptions of 19</w:t>
      </w:r>
      <w:r w:rsidRPr="007D1D7D">
        <w:rPr>
          <w:vertAlign w:val="superscript"/>
        </w:rPr>
        <w:t>th</w:t>
      </w:r>
      <w:r>
        <w:t xml:space="preserve"> century masculinity, albeit from a Southern, lower-class perspective. Huck Finn is illustrative; his world is bereft of culture, propriety (except as a ruse) and genuine empathy. He is a young man in a survivalist mode, getting by using his cunning. </w:t>
      </w:r>
      <w:r w:rsidRPr="6375CABF">
        <w:rPr>
          <w:i/>
          <w:iCs/>
        </w:rPr>
        <w:t>His world knows no women</w:t>
      </w:r>
      <w:r>
        <w:t xml:space="preserve">; more broadly, his world saw no feminine influence, not as a child, nor a student under a school </w:t>
      </w:r>
      <w:proofErr w:type="spellStart"/>
      <w:r>
        <w:t>marm</w:t>
      </w:r>
      <w:proofErr w:type="spellEnd"/>
      <w:r>
        <w:t xml:space="preserve">, nor under the wing of an aunt dragging him to a Sunday church service. These institutions represented the feminine, the moral, the restrained and civil. And Huck wanted </w:t>
      </w:r>
      <w:r>
        <w:lastRenderedPageBreak/>
        <w:t>nothing to do with them. His world represented  a series of opportunities for which he might take advantage – and his posture has been called a “liberated manhood,” devoid of work ethic, social norms or responsibilities, in the traditional sense of the word. He lives for the moment, for the con, and for the advantage. He is not evil, but he is both damaged and adaptive, living at the edges of society.</w:t>
      </w:r>
      <w:r>
        <w:rPr>
          <w:rStyle w:val="FootnoteReference"/>
        </w:rPr>
        <w:footnoteReference w:id="145"/>
      </w:r>
    </w:p>
    <w:p w14:paraId="06D9022E" w14:textId="77777777" w:rsidR="00B10FA3" w:rsidRDefault="00B10FA3" w:rsidP="6375CABF">
      <w:pPr>
        <w:spacing w:line="480" w:lineRule="auto"/>
      </w:pPr>
      <w:r>
        <w:t xml:space="preserve">     Interestingly, conceptions of masculinity in Twain’s works often hold the line on racial distinctions, with black characters often demonstrating sophisticated forms of empathy, assistance and wisdom in times of need. Tom Sawyer and Huck Finn often sought and accepted the advice and wisdom of (slave) Jim, even though the social and racial lines were clearly drawn. Given that the boys lived in a world outside of such norms, breaching the rules was deemed easier.</w:t>
      </w:r>
    </w:p>
    <w:p w14:paraId="4E354C44" w14:textId="77777777" w:rsidR="00B10FA3" w:rsidRDefault="00B10FA3" w:rsidP="6375CABF">
      <w:pPr>
        <w:spacing w:line="480" w:lineRule="auto"/>
      </w:pPr>
      <w:r>
        <w:t xml:space="preserve">     Slavery re-examined the issue of masculinity through various lenses. Antislavery stalwarts such as William Lloyd Garrison and Frederick Douglass opposed slavery vehemently, but also linked the issue to other forms of injustice, namely gender inequality. Being a free man meant remaining autonomous, and that autonomy should extend to women as well. Freedom was neither racially or gender based; it represented the aspirations of the human condition. But Douglass paid a price for his support for women’s rights, being called an “Aunt Nancy Man” after a speech that he gave at the Seneca Falls Convention on women’s rights, a clear jab at his own masculinity.</w:t>
      </w:r>
      <w:r>
        <w:rPr>
          <w:rStyle w:val="FootnoteReference"/>
        </w:rPr>
        <w:footnoteReference w:id="146"/>
      </w:r>
    </w:p>
    <w:p w14:paraId="6DBBB753" w14:textId="77777777" w:rsidR="00B10FA3" w:rsidRDefault="00B10FA3" w:rsidP="6375CABF">
      <w:pPr>
        <w:spacing w:line="480" w:lineRule="auto"/>
      </w:pPr>
      <w:r>
        <w:t xml:space="preserve">     The Civil War, though not typically characterized in these terms, was, to some extent, a </w:t>
      </w:r>
      <w:r w:rsidRPr="6375CABF">
        <w:rPr>
          <w:i/>
          <w:iCs/>
        </w:rPr>
        <w:t>playing out of the humiliation of Southern men</w:t>
      </w:r>
      <w:r>
        <w:t xml:space="preserve">. In other words, the symbolic value of the </w:t>
      </w:r>
      <w:r>
        <w:lastRenderedPageBreak/>
        <w:t>defeat was, to an appreciable degree, experienced as a gender failure – on top of a racial one. This trope would re-emerge with a vengeance in the late 19</w:t>
      </w:r>
      <w:r w:rsidRPr="6375CABF">
        <w:rPr>
          <w:vertAlign w:val="superscript"/>
        </w:rPr>
        <w:t>th</w:t>
      </w:r>
      <w:r>
        <w:t xml:space="preserve"> and early 20</w:t>
      </w:r>
      <w:r w:rsidRPr="6375CABF">
        <w:rPr>
          <w:vertAlign w:val="superscript"/>
        </w:rPr>
        <w:t>th</w:t>
      </w:r>
      <w:r>
        <w:t xml:space="preserve"> centuries, especially with regard to themes of hyper sexualized blacks, often portrayed as rapists. Many attacks, not to mention lynchings, were carried out on the basis of these prejudicial views, which, in the end, were little more than a projection of fear from the White Southern male population that their conception of masculinity had been mortally threatened. This theme was to return in the Civil Rights struggles of the 1960s, and while it represented racism on the surface, at a deeper level the issue was one of power sharing – and gender. </w:t>
      </w:r>
    </w:p>
    <w:p w14:paraId="5574D733" w14:textId="77777777" w:rsidR="00B10FA3" w:rsidRDefault="00B10FA3" w:rsidP="6375CABF">
      <w:pPr>
        <w:spacing w:line="480" w:lineRule="auto"/>
      </w:pPr>
      <w:r>
        <w:t xml:space="preserve">          President William Henry Harrison, in 1840, famously refused to wear an overcoat or gloves during a two-hour inauguration speech, delivered on a cold, rainy day; barely a month later, he was dead. Harrison had won office with his reputation as an Indian fighter (he had been governor of the Louisiana territories), for his heroism at the Battle of Tippecanoe, and for his ‘hard cider’ campaign.</w:t>
      </w:r>
      <w:r>
        <w:rPr>
          <w:rStyle w:val="FootnoteReference"/>
        </w:rPr>
        <w:footnoteReference w:id="147"/>
      </w:r>
      <w:r>
        <w:t xml:space="preserve"> His feckless disregard for his own personal safety reflected a common trope of invincibility, and, presumably, bravery. Both were intimately connected to contemporary conceptions of masculinity.</w:t>
      </w:r>
    </w:p>
    <w:p w14:paraId="7E7096AA" w14:textId="77777777" w:rsidR="00B10FA3" w:rsidRDefault="00B10FA3" w:rsidP="6375CABF">
      <w:pPr>
        <w:spacing w:line="480" w:lineRule="auto"/>
      </w:pPr>
      <w:r>
        <w:t xml:space="preserve">     Moving into the 20</w:t>
      </w:r>
      <w:r w:rsidRPr="00087F98">
        <w:rPr>
          <w:vertAlign w:val="superscript"/>
        </w:rPr>
        <w:t>th</w:t>
      </w:r>
      <w:r>
        <w:t xml:space="preserve"> century, aggressive forms of masculinity continued in the presidential candidacy of Theodore Roosevelt, who, on the campaign trail in Milwaukee in 1912, was shot in the chest as he was about to deliver a speech. T.R. took out the manuscript, and delivered a 90 minute presentation, claiming that “it would take more than that to kill a bull moose.” Roosevelt had been sickly as a youth, and spent much of his adult life performing acts of </w:t>
      </w:r>
      <w:r>
        <w:lastRenderedPageBreak/>
        <w:t>bravado, such as hunting wild game, while advocating the “robust life.” As with Wm. H. Harrison, his brash attempts at unfettered machismo seemed to work, at least politically.</w:t>
      </w:r>
      <w:r>
        <w:rPr>
          <w:rStyle w:val="FootnoteReference"/>
        </w:rPr>
        <w:footnoteReference w:id="148"/>
      </w:r>
      <w:r>
        <w:t xml:space="preserve"> </w:t>
      </w:r>
    </w:p>
    <w:p w14:paraId="4051017A" w14:textId="77777777" w:rsidR="00B10FA3" w:rsidRDefault="00B10FA3" w:rsidP="6375CABF">
      <w:pPr>
        <w:spacing w:line="480" w:lineRule="auto"/>
      </w:pPr>
      <w:r>
        <w:t xml:space="preserve">         TR represented an older form of rugged individualism, despite his privileged upbringing. Campaigns against hunting and animal fighting were common among social reformers in the late 19</w:t>
      </w:r>
      <w:r w:rsidRPr="009604A6">
        <w:rPr>
          <w:vertAlign w:val="superscript"/>
        </w:rPr>
        <w:t>th</w:t>
      </w:r>
      <w:r>
        <w:t xml:space="preserve"> century, though they crossed swords with traditional masculine tropes, particularly in the South. Meat eating became a trope for Teddy Roosevelt’s 1900 campaign; a man’s man was a hunter: “Hunting is a sport for vigorous and masterful people,” he claimed.</w:t>
      </w:r>
      <w:r>
        <w:rPr>
          <w:rStyle w:val="FootnoteReference"/>
        </w:rPr>
        <w:footnoteReference w:id="149"/>
      </w:r>
      <w:r>
        <w:t xml:space="preserve"> </w:t>
      </w:r>
    </w:p>
    <w:p w14:paraId="7EB279C3" w14:textId="77777777" w:rsidR="00B10FA3" w:rsidRDefault="00B10FA3" w:rsidP="6375CABF">
      <w:pPr>
        <w:spacing w:line="480" w:lineRule="auto"/>
      </w:pPr>
      <w:r>
        <w:t xml:space="preserve">     Sociologist Talcott Parsons weighed into the early 20</w:t>
      </w:r>
      <w:r w:rsidRPr="00595384">
        <w:rPr>
          <w:vertAlign w:val="superscript"/>
        </w:rPr>
        <w:t>th</w:t>
      </w:r>
      <w:r>
        <w:t xml:space="preserve"> century re-evaluation of masculinity, arguing that male opposition to the status quo in familial circles might derive from a rejection of or a distancing from female influence of one’s mother. By rejecting the maternal influence, a male might establish a “bad boy” image by opposing the influence of the maternal figure.</w:t>
      </w:r>
      <w:r>
        <w:rPr>
          <w:rStyle w:val="FootnoteReference"/>
        </w:rPr>
        <w:footnoteReference w:id="150"/>
      </w:r>
      <w:r>
        <w:t xml:space="preserve"> Over time, American conceptions of masculinity have shifted, and they continue to do so. After the Second World War, sociologist Parsons, along with his student, Albert Cohen, looked at contemporary masculinity and found that the combination of an absent father, combined with a dominant mother, could create one of two forms of warped masculinity. The first was that of the effeminate man; passive, weak, and possibly gay. </w:t>
      </w:r>
    </w:p>
    <w:p w14:paraId="1FF622E1" w14:textId="77777777" w:rsidR="00B10FA3" w:rsidRDefault="00B10FA3" w:rsidP="6375CABF">
      <w:pPr>
        <w:spacing w:line="480" w:lineRule="auto"/>
      </w:pPr>
      <w:r>
        <w:lastRenderedPageBreak/>
        <w:t xml:space="preserve">     Ironically, the opposite of the weak male stereotype, the hypermasculine bully, was found, in the social science literature, to spring from the </w:t>
      </w:r>
      <w:r w:rsidRPr="6375CABF">
        <w:rPr>
          <w:i/>
          <w:iCs/>
        </w:rPr>
        <w:t>same family dynamic</w:t>
      </w:r>
      <w:r>
        <w:t>. In this case, the son would lash out against the authority of the mother (rather than embracing it), and perspective of the son would be one of overweening rebellion against authority, particularly that personified by the “feminine principle.”</w:t>
      </w:r>
      <w:r>
        <w:rPr>
          <w:rStyle w:val="FootnoteReference"/>
        </w:rPr>
        <w:footnoteReference w:id="151"/>
      </w:r>
      <w:r>
        <w:t xml:space="preserve"> </w:t>
      </w:r>
    </w:p>
    <w:p w14:paraId="40A4E116" w14:textId="6E630DAC" w:rsidR="00B10FA3" w:rsidRDefault="00B10FA3" w:rsidP="6375CABF">
      <w:pPr>
        <w:spacing w:line="480" w:lineRule="auto"/>
      </w:pPr>
      <w:r>
        <w:t xml:space="preserve">    Moreover, social scientists in the 1950s began to look at traits associated with authoritarianism – such as racism, intolerance, violence, and antisemitism – and found that, typically, such personality traits were a mere mask for insecurity, a display of “pseudo-masculinity” that attempted to hide their self</w:t>
      </w:r>
      <w:r w:rsidR="00244145">
        <w:t>-</w:t>
      </w:r>
      <w:r>
        <w:t>perceived weaknesses.</w:t>
      </w:r>
      <w:r>
        <w:rPr>
          <w:rStyle w:val="FootnoteReference"/>
        </w:rPr>
        <w:footnoteReference w:id="152"/>
      </w:r>
    </w:p>
    <w:p w14:paraId="105BF08C" w14:textId="77777777" w:rsidR="00B10FA3" w:rsidRDefault="00B10FA3" w:rsidP="6375CABF">
      <w:pPr>
        <w:spacing w:line="480" w:lineRule="auto"/>
      </w:pPr>
      <w:r>
        <w:t xml:space="preserve">    Fast forward to 1996, when Republican Presidential candidate Patrick Buchanan showed off a bit of macho bravado. At a gun show in Phoenix earlier this afternoon, Mr. Buchanan, wearing a black cowboy hat and brandishing a shotgun, drew a parallel between his enthusiastic and heavily armed audience and the minutemen at Lexington and Concord:</w:t>
      </w:r>
    </w:p>
    <w:p w14:paraId="3227DF63" w14:textId="77777777" w:rsidR="00B10FA3" w:rsidRDefault="00B10FA3" w:rsidP="6375CABF">
      <w:pPr>
        <w:pStyle w:val="css-at9mc1"/>
        <w:spacing w:line="480" w:lineRule="auto"/>
        <w:ind w:left="964" w:right="397"/>
      </w:pPr>
      <w:r>
        <w:t>"What were the British coming for?" he asked. "The British were coming to capture the arsenal of the colonists, because before they could repress the colonists, they had to capture all their weapons and guns, and then they could put them under the boot of the British crown."</w:t>
      </w:r>
      <w:r w:rsidRPr="6375CABF">
        <w:rPr>
          <w:rStyle w:val="FootnoteReference"/>
          <w:rFonts w:eastAsiaTheme="majorEastAsia"/>
        </w:rPr>
        <w:footnoteReference w:id="153"/>
      </w:r>
    </w:p>
    <w:p w14:paraId="3EB1991B" w14:textId="77777777" w:rsidR="00B10FA3" w:rsidRDefault="00B10FA3" w:rsidP="6375CABF">
      <w:pPr>
        <w:pStyle w:val="css-at9mc1"/>
        <w:spacing w:line="480" w:lineRule="auto"/>
        <w:ind w:left="964" w:right="397"/>
      </w:pPr>
    </w:p>
    <w:p w14:paraId="3E4B66DE" w14:textId="77777777" w:rsidR="00B10FA3" w:rsidRDefault="00B10FA3" w:rsidP="6375CABF">
      <w:pPr>
        <w:spacing w:line="480" w:lineRule="auto"/>
      </w:pPr>
      <w:r>
        <w:t xml:space="preserve">     In American contemporary life, we are witness to many, competing versions of masculinity. Take, for example, former Trump advisor Steve Bannon, who exemplifies the traditional ‘bulldozer style’ masculinity; brash, violent, vaguely misogynistic, intolerant, unempathetic – and never admitting wrong. </w:t>
      </w:r>
    </w:p>
    <w:p w14:paraId="6DB6261E" w14:textId="77777777" w:rsidR="00B10FA3" w:rsidRDefault="00B10FA3" w:rsidP="6375CABF">
      <w:pPr>
        <w:spacing w:line="480" w:lineRule="auto"/>
      </w:pPr>
      <w:r>
        <w:t xml:space="preserve">     At the other extreme we have Transportation Secretary Pete Buttigieg, who, as a married gay man, exhibits little bravado in public life; rather, his presentation is cerebral and calm. His masculinity is rational, calculated, and intellectual. A clearer distinction could not be made than between Buttigieg and Bannon – the former representing the archetypes of peace, and rational, empirical discourse, while the later revels in aggression, fomented confusion, misdirection, violence, and, most of all, the focusing of anger onto extant targets. </w:t>
      </w:r>
    </w:p>
    <w:p w14:paraId="7FE13412" w14:textId="77777777" w:rsidR="00B10FA3" w:rsidRDefault="00B10FA3" w:rsidP="6375CABF">
      <w:pPr>
        <w:spacing w:line="480" w:lineRule="auto"/>
      </w:pPr>
      <w:r>
        <w:t xml:space="preserve">     Of course, it is more than just style of speech; Bannon represents a moribund element of the past, trying to reclaim the present; his appeal is to the white working class, especially those who have been disadvantaged by trends in the American economy over the past 40 years.  His form of masculinity is anti-modern; changes to women’s rights, racial advancement, redefinitions of sexuality, and the deceasing role of religion and traditional authority factor into his worldview only insofar as they represent something to oppose.</w:t>
      </w:r>
    </w:p>
    <w:p w14:paraId="7D979B62" w14:textId="77777777" w:rsidR="00B10FA3" w:rsidRDefault="00B10FA3" w:rsidP="6375CABF">
      <w:pPr>
        <w:spacing w:line="480" w:lineRule="auto"/>
      </w:pPr>
      <w:r>
        <w:lastRenderedPageBreak/>
        <w:t xml:space="preserve">     By contrast, Buttigieg is a modernist; gay relations and marriage are of no remaining consequence, as he has suffered the slings and arrows of intolerance for decades. It is a settled issue. In a very real way, he is a survivor; and a non-vengeful one at that.  He does not make any attempt at traditional male posturing; his weapons are his ideas and his intellect. When attacked, his typical recourse is not to snipe, but rather to utilize wit and cleverness to render his would-be attacker disarmed. He may have every right to be angry or snarky, but these are not the tools that he chooses to use in the public realm, even as right-wing pundits hurl thinly disguised, sexually suggestive insults at him. His trump card is, along with his intellect, is his military background, which provides a kind of built-in legitimacy and protection from bullying.</w:t>
      </w:r>
    </w:p>
    <w:p w14:paraId="3C3100C1" w14:textId="77777777" w:rsidR="00B10FA3" w:rsidRDefault="00B10FA3" w:rsidP="6375CABF">
      <w:pPr>
        <w:spacing w:line="480" w:lineRule="auto"/>
      </w:pPr>
      <w:r>
        <w:t xml:space="preserve">      The arrival of Freudian theory changed many contemporary conceptions of gender and gender roles, by the 1930s. Freudian psychology opened up sexuality as a major influenced upon the human psyche. In terms of human sexual development, he argued that the failure of a young man to separate from his mother’s influence, might lead to a false dependency on a female figure, thus predisposing him towards rejection of the male figure – or rather, the symbolic father figure.</w:t>
      </w:r>
      <w:r>
        <w:rPr>
          <w:rStyle w:val="FootnoteReference"/>
        </w:rPr>
        <w:footnoteReference w:id="154"/>
      </w:r>
      <w:r>
        <w:t xml:space="preserve"> For decades, this social sexual logic was boilerplate for explaining the origins and behavior of homosexuals.</w:t>
      </w:r>
    </w:p>
    <w:p w14:paraId="3EF6B338" w14:textId="77777777" w:rsidR="00B10FA3" w:rsidRDefault="00B10FA3" w:rsidP="6375CABF">
      <w:pPr>
        <w:spacing w:line="480" w:lineRule="auto"/>
      </w:pPr>
      <w:r>
        <w:t xml:space="preserve">     While sports have always been a defining feature of American masculinity – not to mention a proving ground for performance – the 19</w:t>
      </w:r>
      <w:r w:rsidRPr="6375CABF">
        <w:rPr>
          <w:vertAlign w:val="superscript"/>
        </w:rPr>
        <w:t>th</w:t>
      </w:r>
      <w:r>
        <w:t xml:space="preserve"> century development of baseball was an odd bedfellow. The sport required restraint, patience, and analytical skills, a far cry from the “primitivism” of the overt physicalism and violence of boxing or football. Baseball was a middle-class sport, and it endorsed contemporary middle-class values. </w:t>
      </w:r>
    </w:p>
    <w:p w14:paraId="194653A6" w14:textId="77777777" w:rsidR="00B10FA3" w:rsidRDefault="00B10FA3" w:rsidP="6375CABF">
      <w:pPr>
        <w:spacing w:line="480" w:lineRule="auto"/>
      </w:pPr>
      <w:r>
        <w:lastRenderedPageBreak/>
        <w:t xml:space="preserve">     By the 1920s there appeared the “pansy craze,” whereby effeminate gays who, in the past, had been perceived, perhaps discriminatorily as harmless deviants, were now portrayed as child predators. A gay man might be a stalker; his prey being young men.</w:t>
      </w:r>
      <w:r>
        <w:rPr>
          <w:rStyle w:val="FootnoteReference"/>
        </w:rPr>
        <w:footnoteReference w:id="155"/>
      </w:r>
      <w:r>
        <w:t xml:space="preserve"> So, the ‘pansy’ identity was multiple, both as a gay man and as a potential molester. In 2023, we see a revival of such dark and sinister tropes, as trans and gay groups have been cast as “grooming” future generations of Americans in their own image.</w:t>
      </w:r>
    </w:p>
    <w:p w14:paraId="3A03B4C9" w14:textId="77777777" w:rsidR="00B10FA3" w:rsidRDefault="00B10FA3" w:rsidP="6375CABF">
      <w:pPr>
        <w:spacing w:line="480" w:lineRule="auto"/>
      </w:pPr>
      <w:r>
        <w:t xml:space="preserve">     Of course, masculinity might be defined in many terms, including the physical, mental and demonstrable. By the 1920s and into the 1930s, gyms flourished in the US, promoted heavily by a new concept of physical masculinity – promoted by a new specimen, Charles Atlas. The entry of Superman in 1938 continued the new image of ‘enhanced’ American masculinity. Interestingly, this new conception of identity was conspicuously devoid of women. Such imaging was enhanced by author Ernest Hemingway, who advocated a masculinity that was both individualistic and devoid of, if not hostile to female influence. His ethic was one of male bonding. </w:t>
      </w:r>
    </w:p>
    <w:p w14:paraId="3B3B66AD" w14:textId="77777777" w:rsidR="00B10FA3" w:rsidRDefault="00B10FA3" w:rsidP="6375CABF">
      <w:pPr>
        <w:spacing w:line="480" w:lineRule="auto"/>
      </w:pPr>
      <w:r>
        <w:t xml:space="preserve">      Anthropologist Margaret Mead weighed in on the issue of masculinity, perceiving that men were asked to complete two contradictory tasks; in the first place, they were expected to be “tough,” impermeable. At the same time, they were expected to be “restrained,” holding back their potential in social circumstances. This set up the classic “chip on the shoulder” scenario, whereby a man was expected to be restrained until provoked. At that moment, he was ‘permitted’ to unleash his pent-up aggression on the provocateur. Mead </w:t>
      </w:r>
      <w:r>
        <w:lastRenderedPageBreak/>
        <w:t>saw this tension between restraint and permitted aggression as unique to men in the United States.</w:t>
      </w:r>
      <w:r>
        <w:rPr>
          <w:rStyle w:val="FootnoteReference"/>
        </w:rPr>
        <w:footnoteReference w:id="156"/>
      </w:r>
      <w:r>
        <w:t xml:space="preserve"> </w:t>
      </w:r>
    </w:p>
    <w:p w14:paraId="53A932FE" w14:textId="77777777" w:rsidR="00A452A3" w:rsidRDefault="00A452A3" w:rsidP="6375CABF">
      <w:pPr>
        <w:spacing w:line="480" w:lineRule="auto"/>
      </w:pPr>
    </w:p>
    <w:p w14:paraId="71FA7A9F" w14:textId="77777777" w:rsidR="00A452A3" w:rsidRDefault="00A452A3" w:rsidP="6375CABF">
      <w:pPr>
        <w:spacing w:line="480" w:lineRule="auto"/>
      </w:pPr>
    </w:p>
    <w:p w14:paraId="6BF5D7A5" w14:textId="77777777" w:rsidR="00B10FA3" w:rsidRPr="00A452A3" w:rsidRDefault="00B10FA3" w:rsidP="6375CABF">
      <w:pPr>
        <w:spacing w:line="480" w:lineRule="auto"/>
        <w:rPr>
          <w:i/>
          <w:iCs/>
        </w:rPr>
      </w:pPr>
      <w:r w:rsidRPr="00A452A3">
        <w:rPr>
          <w:b/>
          <w:bCs/>
          <w:i/>
          <w:iCs/>
          <w:sz w:val="28"/>
          <w:szCs w:val="28"/>
        </w:rPr>
        <w:t>A Crisis of Masculinity</w:t>
      </w:r>
    </w:p>
    <w:p w14:paraId="515EB96B" w14:textId="77777777" w:rsidR="00B10FA3" w:rsidRPr="000E5C0F" w:rsidRDefault="00B10FA3" w:rsidP="6375CABF">
      <w:pPr>
        <w:spacing w:line="480" w:lineRule="auto"/>
        <w:rPr>
          <w:color w:val="FF0000"/>
        </w:rPr>
      </w:pPr>
      <w:r>
        <w:t xml:space="preserve">     While men of color, gay and bisexual men, and men of limited means might have long experienced gender tensions, the current cultural milieu has been increased strain on white, heterosexual men of all classes. This strain has been exacerbated by the changing means by which a man may demonstrate his identity within both culture and the family. As many women work today – and many earn salaries equal or exceeding their husbands – the role of the man as “the good provider” has been diminished. Many men have found this development hard to accept, and many deny that it is happening at all. Why? Perhaps because acknowledging such change implies a consent to a reduced power role in both family and society, and that this change would disrupt the engrained “code” of masculine worth.</w:t>
      </w:r>
      <w:r>
        <w:rPr>
          <w:rStyle w:val="FootnoteReference"/>
        </w:rPr>
        <w:footnoteReference w:id="157"/>
      </w:r>
    </w:p>
    <w:p w14:paraId="09EFED67" w14:textId="77777777" w:rsidR="00193ED6" w:rsidRDefault="00193ED6" w:rsidP="6375CABF">
      <w:pPr>
        <w:spacing w:line="480" w:lineRule="auto"/>
      </w:pPr>
    </w:p>
    <w:p w14:paraId="62BF5E05" w14:textId="77777777" w:rsidR="00193ED6" w:rsidRDefault="00193ED6" w:rsidP="6375CABF">
      <w:pPr>
        <w:spacing w:line="480" w:lineRule="auto"/>
      </w:pPr>
    </w:p>
    <w:p w14:paraId="66F1DC03" w14:textId="77777777" w:rsidR="00193ED6" w:rsidRDefault="00193ED6" w:rsidP="6375CABF">
      <w:pPr>
        <w:spacing w:line="480" w:lineRule="auto"/>
      </w:pPr>
    </w:p>
    <w:p w14:paraId="39FC2E0A" w14:textId="6286C2F3" w:rsidR="00B10FA3" w:rsidRPr="00A452A3" w:rsidRDefault="00B10FA3" w:rsidP="6375CABF">
      <w:pPr>
        <w:spacing w:line="480" w:lineRule="auto"/>
        <w:rPr>
          <w:b/>
          <w:bCs/>
          <w:i/>
          <w:iCs/>
          <w:sz w:val="28"/>
          <w:szCs w:val="28"/>
        </w:rPr>
      </w:pPr>
      <w:r>
        <w:lastRenderedPageBreak/>
        <w:t xml:space="preserve">     </w:t>
      </w:r>
      <w:r w:rsidRPr="00A452A3">
        <w:rPr>
          <w:b/>
          <w:bCs/>
          <w:i/>
          <w:iCs/>
          <w:sz w:val="28"/>
          <w:szCs w:val="28"/>
        </w:rPr>
        <w:t>Politicized Gender</w:t>
      </w:r>
    </w:p>
    <w:p w14:paraId="1A7F0C41" w14:textId="77777777" w:rsidR="00B10FA3" w:rsidRDefault="00B10FA3" w:rsidP="6375CABF">
      <w:pPr>
        <w:spacing w:line="480" w:lineRule="auto"/>
      </w:pPr>
      <w:r w:rsidRPr="6375CABF">
        <w:rPr>
          <w:b/>
          <w:bCs/>
          <w:sz w:val="28"/>
          <w:szCs w:val="28"/>
        </w:rPr>
        <w:t xml:space="preserve">      </w:t>
      </w:r>
      <w:r>
        <w:t>The United States experienced several ‘red’ scares in the 20</w:t>
      </w:r>
      <w:r w:rsidRPr="6375CABF">
        <w:rPr>
          <w:vertAlign w:val="superscript"/>
        </w:rPr>
        <w:t>th</w:t>
      </w:r>
      <w:r>
        <w:t xml:space="preserve"> century – fears of communism and its influence on American social, economic and political life. In the early 1950s, a phenomenon called “McCarthyism” took hold in American politics, whereby a significant portion of the US public believed that an insidious communist conspiracy was rife to take over the US body politic. At the helm was Republican US Senator from Wisconsin, Joseph McCarthy. McCarthy’s tactics were shrewd and cynical; he would assume guilt on the part of the accused, and he regularly engaged in conspiracy theories and paranoia. He also worked to discredit witnesses, attempting to rob them of their credibility.  </w:t>
      </w:r>
    </w:p>
    <w:p w14:paraId="1705CC31" w14:textId="77777777" w:rsidR="00B10FA3" w:rsidRDefault="00B10FA3" w:rsidP="6375CABF">
      <w:pPr>
        <w:spacing w:line="480" w:lineRule="auto"/>
      </w:pPr>
      <w:r w:rsidRPr="6375CABF">
        <w:t xml:space="preserve">     One of the less studied aspects of this tactic was to </w:t>
      </w:r>
      <w:r w:rsidRPr="6375CABF">
        <w:rPr>
          <w:i/>
          <w:iCs/>
        </w:rPr>
        <w:t>equate communism with homosexuality</w:t>
      </w:r>
      <w:r w:rsidRPr="6375CABF">
        <w:t>; to equate adherence to communist ideology with a failure of manhood, and as an indicator of anxiety. Further, ‘thinking’ people were put under suspicion; intellectuals, or ‘eggheads’ were considered both suspect and potentially homosexual – qualities that drove to the heart of diversion from traditional American masculine values. There emerged an abstracted sense of manhood that, in some way, equated communist socialism with laziness, lack of will, passivity, and – ultimately, insipid femininity.</w:t>
      </w:r>
      <w:r w:rsidRPr="6375CABF">
        <w:rPr>
          <w:rStyle w:val="FootnoteReference"/>
        </w:rPr>
        <w:footnoteReference w:id="158"/>
      </w:r>
    </w:p>
    <w:p w14:paraId="54773E94" w14:textId="77777777" w:rsidR="00B10FA3" w:rsidRDefault="00B10FA3" w:rsidP="6375CABF">
      <w:pPr>
        <w:spacing w:line="480" w:lineRule="auto"/>
      </w:pPr>
      <w:r>
        <w:t xml:space="preserve">      A real (capitalist) man was ‘market oriented,’ willing to be aggressive within the work jungle, confrontational within the market economy. He wasn’t looking for a handout; he was a mover of men, a striver, a captain of his own initiative. </w:t>
      </w:r>
    </w:p>
    <w:p w14:paraId="7DA8983E" w14:textId="77777777" w:rsidR="00B10FA3" w:rsidRDefault="00B10FA3" w:rsidP="6375CABF">
      <w:pPr>
        <w:spacing w:line="480" w:lineRule="auto"/>
      </w:pPr>
      <w:r w:rsidRPr="6375CABF">
        <w:lastRenderedPageBreak/>
        <w:t xml:space="preserve">     To author Norman Mailer, masculinity was a quality that was </w:t>
      </w:r>
      <w:r w:rsidRPr="6375CABF">
        <w:rPr>
          <w:i/>
          <w:iCs/>
        </w:rPr>
        <w:t>earned</w:t>
      </w:r>
      <w:r w:rsidRPr="6375CABF">
        <w:t xml:space="preserve"> over time, through success and failure in the world. It was a formed of earned honor.  Mailer believed that honor had been eviscerated in American culture, thus robbing true masculinity of the means by which it could develop and subsist.</w:t>
      </w:r>
      <w:r w:rsidRPr="6375CABF">
        <w:rPr>
          <w:rStyle w:val="FootnoteReference"/>
        </w:rPr>
        <w:footnoteReference w:id="159"/>
      </w:r>
      <w:r w:rsidRPr="6375CABF">
        <w:t xml:space="preserve"> Ultimately, Mailer steered an uneasy course through criticism of modern feminism (some would say faintly veiled hatred of women) and gay rights to try and resurrect (or perhaps better termed restyle and restore) a heroic, vital maleness.</w:t>
      </w:r>
      <w:r w:rsidRPr="6375CABF">
        <w:rPr>
          <w:rStyle w:val="FootnoteReference"/>
        </w:rPr>
        <w:footnoteReference w:id="160"/>
      </w:r>
      <w:r>
        <w:rPr>
          <w:bCs/>
        </w:rPr>
        <w:t xml:space="preserve"> </w:t>
      </w:r>
    </w:p>
    <w:p w14:paraId="47E5729E" w14:textId="77777777" w:rsidR="00B10FA3" w:rsidRDefault="00B10FA3" w:rsidP="6375CABF">
      <w:pPr>
        <w:spacing w:line="480" w:lineRule="auto"/>
      </w:pPr>
      <w:r w:rsidRPr="6375CABF">
        <w:t xml:space="preserve">     By contrast, social theorist Theodor Adorno addressed themes of masculinity in the 1950s, whereby ‘killers,’ whether in gangs or on Wall Street, were the true movers of society, and the winners within it. They were the true men – no looking back, ruthless, heartless. Adorno, instead, saw the phenomenon of the ‘killer’ as a</w:t>
      </w:r>
      <w:r w:rsidRPr="6375CABF">
        <w:rPr>
          <w:i/>
          <w:iCs/>
        </w:rPr>
        <w:t xml:space="preserve"> ruse</w:t>
      </w:r>
      <w:r w:rsidRPr="6375CABF">
        <w:t xml:space="preserve"> – an overcompensation for a sense of profound insecurity. The bully became the pansy, the ‘killer’ became the victim. A mere reaction to the fear of being a man was the adoption of a mask to provide protection against a profound sense of insecurity. </w:t>
      </w:r>
      <w:r w:rsidRPr="6375CABF">
        <w:rPr>
          <w:rStyle w:val="FootnoteReference"/>
        </w:rPr>
        <w:footnoteReference w:id="161"/>
      </w:r>
      <w:r w:rsidRPr="6375CABF">
        <w:t xml:space="preserve"> In politics, and on the world stage, this was a diagnosis of the </w:t>
      </w:r>
      <w:r w:rsidRPr="6375CABF">
        <w:rPr>
          <w:i/>
          <w:iCs/>
        </w:rPr>
        <w:t>Authoritarian Personality</w:t>
      </w:r>
      <w:r w:rsidRPr="6375CABF">
        <w:t xml:space="preserve">, with potential implications of bigotry, antisemitism, sexism and general illiberalism. </w:t>
      </w:r>
    </w:p>
    <w:p w14:paraId="486AE70C" w14:textId="5A9B34C6" w:rsidR="00B10FA3" w:rsidRDefault="00B10FA3" w:rsidP="6375CABF">
      <w:pPr>
        <w:spacing w:line="480" w:lineRule="auto"/>
        <w:rPr>
          <w:color w:val="0D0D0D" w:themeColor="text1" w:themeTint="F2"/>
        </w:rPr>
      </w:pPr>
      <w:r w:rsidRPr="6375CABF">
        <w:rPr>
          <w:color w:val="FF0000"/>
        </w:rPr>
        <w:t xml:space="preserve">     </w:t>
      </w:r>
      <w:r w:rsidRPr="6375CABF">
        <w:rPr>
          <w:color w:val="0D0D0D" w:themeColor="text1" w:themeTint="F2"/>
        </w:rPr>
        <w:t xml:space="preserve">By the 1960s, prescient authors such as Christopher Lasch and Charles Reich were re-examining the social and gender landscape in America, offering different possibilities and </w:t>
      </w:r>
      <w:r w:rsidRPr="6375CABF">
        <w:rPr>
          <w:color w:val="0D0D0D" w:themeColor="text1" w:themeTint="F2"/>
        </w:rPr>
        <w:lastRenderedPageBreak/>
        <w:t>opportunities for self</w:t>
      </w:r>
      <w:r w:rsidR="00A452A3">
        <w:rPr>
          <w:color w:val="0D0D0D" w:themeColor="text1" w:themeTint="F2"/>
        </w:rPr>
        <w:t>-</w:t>
      </w:r>
      <w:r w:rsidRPr="6375CABF">
        <w:rPr>
          <w:color w:val="0D0D0D" w:themeColor="text1" w:themeTint="F2"/>
        </w:rPr>
        <w:t xml:space="preserve">discovery and definition. The counter culture – as one might define it – tended to seek new possibilities in living style, sexuality and gender patterns. Hippies and Yippies sought to oppose “the Establishment,” which they deemed traditional work, career, educational, sexual and family patterns. Traditional masculinity, at least in theory, transitioned in the minds of many from John Wayne and Frank Sinatra to Bob Dylan, Tom Haydon and Jerry Garcia. </w:t>
      </w:r>
    </w:p>
    <w:p w14:paraId="482E946C" w14:textId="77777777" w:rsidR="00B10FA3" w:rsidRDefault="00B10FA3" w:rsidP="6375CABF">
      <w:pPr>
        <w:spacing w:line="480" w:lineRule="auto"/>
        <w:rPr>
          <w:color w:val="0D0D0D" w:themeColor="text1" w:themeTint="F2"/>
        </w:rPr>
      </w:pPr>
      <w:r w:rsidRPr="6375CABF">
        <w:rPr>
          <w:color w:val="0D0D0D" w:themeColor="text1" w:themeTint="F2"/>
        </w:rPr>
        <w:t xml:space="preserve">     At the same time, the Vietnam conflict split American culture and popular opinion, not just on the politics of the war, but of the perception of traditional war-making as a masculine trait. One may recall the difficulty with which LBJ and Nixon wrestled with the idea of being blamed as the one who “lost” Vietnam. Theirs was a masculine dilemma from an earlier age – saving the damsels and never giving up.</w:t>
      </w:r>
    </w:p>
    <w:p w14:paraId="3E00BDA3" w14:textId="77777777" w:rsidR="00B10FA3" w:rsidRDefault="00B10FA3" w:rsidP="6375CABF">
      <w:pPr>
        <w:spacing w:line="480" w:lineRule="auto"/>
        <w:rPr>
          <w:color w:val="0D0D0D" w:themeColor="text1" w:themeTint="F2"/>
        </w:rPr>
      </w:pPr>
      <w:r w:rsidRPr="6375CABF">
        <w:rPr>
          <w:color w:val="0D0D0D" w:themeColor="text1" w:themeTint="F2"/>
        </w:rPr>
        <w:t xml:space="preserve">     The period of the 1960s into the 1970s witnessed a new wave of feminism, as well as a new wave of gay liberation. In fact, many contemporary gay men claimed varying, sometimes traditional form of manhood, as muscle men, construction workers, police – basically the entire lineup of the Village People. But the message was clear; ideas of gay men as effeminate wall flowers was giving way, not least in part, to a much more aggressive, sexualized, macho image. Gay identity was settling into identities more varied, more complex (and perhaps more genuine) than previously. </w:t>
      </w:r>
    </w:p>
    <w:p w14:paraId="3D77FE37" w14:textId="77777777" w:rsidR="00B10FA3" w:rsidRDefault="00B10FA3" w:rsidP="6375CABF">
      <w:pPr>
        <w:spacing w:line="480" w:lineRule="auto"/>
        <w:rPr>
          <w:color w:val="0D0D0D" w:themeColor="text1" w:themeTint="F2"/>
        </w:rPr>
      </w:pPr>
      <w:r w:rsidRPr="6375CABF">
        <w:rPr>
          <w:color w:val="0D0D0D" w:themeColor="text1" w:themeTint="F2"/>
        </w:rPr>
        <w:t xml:space="preserve">     By the same token, the increase in religious fundamentalism in the 1970s and 80s often suggested the promotion of a new, restrained, “clean” form of masculinity – one in which the man was a striver, a convert, a humbled soul who had undergone conversion to a higher good. His sexuality was restrained (or completely sublimated), his morality and family life were conventional, back to basics, and non-controversial. Moral perfectionism had returned, </w:t>
      </w:r>
      <w:r w:rsidRPr="6375CABF">
        <w:rPr>
          <w:color w:val="0D0D0D" w:themeColor="text1" w:themeTint="F2"/>
        </w:rPr>
        <w:lastRenderedPageBreak/>
        <w:t xml:space="preserve">at least superficially, and anything of sensuality or the body was suspect and held in contempt.  </w:t>
      </w:r>
    </w:p>
    <w:p w14:paraId="3F606251" w14:textId="77777777" w:rsidR="00B10FA3" w:rsidRDefault="00B10FA3" w:rsidP="6375CABF">
      <w:pPr>
        <w:spacing w:line="480" w:lineRule="auto"/>
        <w:rPr>
          <w:color w:val="0D0D0D" w:themeColor="text1" w:themeTint="F2"/>
        </w:rPr>
      </w:pPr>
      <w:r w:rsidRPr="6375CABF">
        <w:rPr>
          <w:color w:val="FF0000"/>
        </w:rPr>
        <w:t xml:space="preserve">     </w:t>
      </w:r>
      <w:r w:rsidRPr="6375CABF">
        <w:rPr>
          <w:color w:val="0D0D0D" w:themeColor="text1" w:themeTint="F2"/>
        </w:rPr>
        <w:t xml:space="preserve">By the 1990s and the first decade of 2000, increasing numbers of men were being reared in single parent households by their mothers. Some of the same arguments from the Industrial Revolution returned – that men are alienated from their (working) father, are brought up in a ‘feminized’ environment, and are not taught the lessons of their gender. Further, these modern men are said to “suffer the assumed “oppression of women in the modern world, though, according to many scholars, such victimization no longer exists, though the myth is perpetuated. In the end, some argue, the modern male is left without tools in a society in which his is, by definition, an abuser and sexist, ill equipped for contemporary life, and his female counterpart a perpetual victim. </w:t>
      </w:r>
      <w:r w:rsidRPr="6375CABF">
        <w:rPr>
          <w:rStyle w:val="FootnoteReference"/>
          <w:color w:val="0D0D0D" w:themeColor="text1" w:themeTint="F2"/>
        </w:rPr>
        <w:footnoteReference w:id="162"/>
      </w:r>
    </w:p>
    <w:p w14:paraId="6FA88B33" w14:textId="77777777" w:rsidR="00B10FA3" w:rsidRPr="000711BB" w:rsidRDefault="00B10FA3" w:rsidP="6375CABF">
      <w:pPr>
        <w:spacing w:line="480" w:lineRule="auto"/>
        <w:rPr>
          <w:color w:val="0D0D0D" w:themeColor="text1" w:themeTint="F2"/>
        </w:rPr>
      </w:pPr>
      <w:r w:rsidRPr="6375CABF">
        <w:rPr>
          <w:color w:val="0D0D0D" w:themeColor="text1" w:themeTint="F2"/>
        </w:rPr>
        <w:t xml:space="preserve">     By these terms, there exists in the eyes of many, a very sad state of affairs in modern American gender relations. This is the door through which reactionaries of today walk straight through: </w:t>
      </w:r>
      <w:r w:rsidRPr="6375CABF">
        <w:rPr>
          <w:i/>
          <w:iCs/>
          <w:color w:val="0D0D0D" w:themeColor="text1" w:themeTint="F2"/>
        </w:rPr>
        <w:t>The woman is a fraud as a victim;</w:t>
      </w:r>
      <w:r w:rsidRPr="6375CABF">
        <w:rPr>
          <w:color w:val="0D0D0D" w:themeColor="text1" w:themeTint="F2"/>
        </w:rPr>
        <w:t xml:space="preserve"> the man has been hoodwinked culturally; the warrior of the past has been emasculated, and must be returned through the exclusion of groups that challenge the traditional masculine tropes.</w:t>
      </w:r>
    </w:p>
    <w:p w14:paraId="2FF11233" w14:textId="77777777" w:rsidR="00B10FA3" w:rsidRDefault="00B10FA3" w:rsidP="6375CABF">
      <w:pPr>
        <w:spacing w:line="480" w:lineRule="auto"/>
      </w:pPr>
      <w:r>
        <w:t xml:space="preserve">    But the inclusion of “men” into an all-encompassing super-category creates an erroneous mindset that lends itself to generalization, conspiracy, simplicity and uniformity of disparagement, which heads straight down a rabbit hole of disinformation.  Men, like women, are complex, divergent, hypocritical, inconsistent, similar, irascible, irrational, empathetic, forgiving, pragmatic, and, most importantly, in need of a detached, dispassionate interpretation of their often challenging and inexplicable behavior. Sameness is </w:t>
      </w:r>
      <w:r>
        <w:lastRenderedPageBreak/>
        <w:t>not a great measuring tool for assessing the relative qualities of men and women; perhaps better, equivalence or equality by differing means may serve as better standards.</w:t>
      </w:r>
    </w:p>
    <w:p w14:paraId="60902664" w14:textId="77777777" w:rsidR="00193ED6" w:rsidRDefault="00193ED6" w:rsidP="6375CABF">
      <w:pPr>
        <w:spacing w:line="480" w:lineRule="auto"/>
        <w:rPr>
          <w:i/>
          <w:iCs/>
        </w:rPr>
      </w:pPr>
    </w:p>
    <w:p w14:paraId="04B5BF28" w14:textId="669E437E" w:rsidR="00B10FA3" w:rsidRPr="00A452A3" w:rsidRDefault="00B10FA3" w:rsidP="6375CABF">
      <w:pPr>
        <w:spacing w:line="480" w:lineRule="auto"/>
        <w:rPr>
          <w:i/>
          <w:iCs/>
        </w:rPr>
      </w:pPr>
      <w:r w:rsidRPr="00A452A3">
        <w:rPr>
          <w:i/>
          <w:iCs/>
        </w:rPr>
        <w:t xml:space="preserve">  </w:t>
      </w:r>
      <w:r w:rsidRPr="00A452A3">
        <w:rPr>
          <w:b/>
          <w:bCs/>
          <w:i/>
          <w:iCs/>
          <w:sz w:val="28"/>
          <w:szCs w:val="28"/>
        </w:rPr>
        <w:t>Male Power and Its Myths</w:t>
      </w:r>
    </w:p>
    <w:p w14:paraId="4B7320B2" w14:textId="77777777" w:rsidR="00B10FA3" w:rsidRDefault="00B10FA3" w:rsidP="6375CABF">
      <w:pPr>
        <w:spacing w:line="480" w:lineRule="auto"/>
      </w:pPr>
      <w:r>
        <w:t xml:space="preserve">     While it might be tempting to assume that men have always ruled the social sphere, the reality of social relations may be a bit more sobering. Imagine, for example, the phenomenon of attraction. Men are attracted to women, as women are to men.  But the means by which the genders co-exist, much less interact, is a world apart. Women, according to one notable scholar, possess a sort of existential “genetic celebrity,” essentially indicating that they (individually) </w:t>
      </w:r>
      <w:r w:rsidRPr="6375CABF">
        <w:rPr>
          <w:i/>
          <w:iCs/>
        </w:rPr>
        <w:t>represent the ideals of womanhood</w:t>
      </w:r>
      <w:r>
        <w:t xml:space="preserve"> to the male. An attractive woman represents all of womanhood in her social interactions. </w:t>
      </w:r>
    </w:p>
    <w:p w14:paraId="1ABA2B3A" w14:textId="77777777" w:rsidR="00B10FA3" w:rsidRDefault="00B10FA3" w:rsidP="6375CABF">
      <w:pPr>
        <w:spacing w:line="480" w:lineRule="auto"/>
      </w:pPr>
      <w:r>
        <w:t xml:space="preserve">    But in this state of “celebrity,” their social responsibility ceases to be a factor towards responsible or equivalent gender interaction. As women possess gender celebrity status, men must take the initiative to interact with them. Women possess an attractive essence to which men must respond. Some have termed it the “universal attractive feature of womanhood” that men respond to. In the end, </w:t>
      </w:r>
      <w:r w:rsidRPr="6375CABF">
        <w:rPr>
          <w:i/>
          <w:iCs/>
        </w:rPr>
        <w:t>the men must act</w:t>
      </w:r>
      <w:r>
        <w:t>; the women needn’t do anything. The man is the actor, the woman the passive recipient. Men, generally, have no reciprocal advantage, in terms of physical appearance. By and large, women have a differing set of standards towards attraction, which do not place a premium upon idolizing men in a physical sense.</w:t>
      </w:r>
      <w:r>
        <w:rPr>
          <w:rStyle w:val="FootnoteReference"/>
        </w:rPr>
        <w:footnoteReference w:id="163"/>
      </w:r>
    </w:p>
    <w:p w14:paraId="73190C63" w14:textId="4558856C" w:rsidR="00B10FA3" w:rsidRDefault="00B10FA3" w:rsidP="6375CABF">
      <w:pPr>
        <w:spacing w:line="480" w:lineRule="auto"/>
      </w:pPr>
      <w:r w:rsidRPr="6375CABF">
        <w:rPr>
          <w:b/>
          <w:bCs/>
          <w:i/>
          <w:iCs/>
          <w:sz w:val="28"/>
          <w:szCs w:val="28"/>
        </w:rPr>
        <w:lastRenderedPageBreak/>
        <w:t>The Fragile Male</w:t>
      </w:r>
      <w:r>
        <w:t xml:space="preserve">     </w:t>
      </w:r>
    </w:p>
    <w:p w14:paraId="22FD1446" w14:textId="5DE7D073" w:rsidR="00B10FA3" w:rsidRDefault="00B10FA3" w:rsidP="6375CABF">
      <w:pPr>
        <w:spacing w:line="480" w:lineRule="auto"/>
      </w:pPr>
    </w:p>
    <w:p w14:paraId="61FF80E4" w14:textId="77777777" w:rsidR="00B10FA3" w:rsidRDefault="00B10FA3" w:rsidP="6375CABF">
      <w:pPr>
        <w:spacing w:line="480" w:lineRule="auto"/>
      </w:pPr>
      <w:r>
        <w:t xml:space="preserve">     Dr. Warren Farrell has published numerous works regarding the respective roles of male and female power in culture. He has noted higher degrees of spending at restaurants when a male is a part of the party. Farrell has dissected American marriage patterns into several historical periods; stages 1 &amp; 2. In stage 1, which was a traditional marriage for our grandparents, and possibly our parents, the relationship was survivalist focused, and thus contained an overwhelming economic impetus. In stage 2, fulfillment of individual preferences became paramount; sex became more important as a means of pleasure, rather than procreation – and the idea of a soul-mate or ‘partner for life,’ based on love and mutual attraction and interest, became more of a norm.</w:t>
      </w:r>
      <w:r>
        <w:rPr>
          <w:rStyle w:val="FootnoteReference"/>
        </w:rPr>
        <w:footnoteReference w:id="164"/>
      </w:r>
    </w:p>
    <w:p w14:paraId="2200A543" w14:textId="77777777" w:rsidR="00B10FA3" w:rsidRDefault="00B10FA3" w:rsidP="6375CABF">
      <w:pPr>
        <w:spacing w:line="480" w:lineRule="auto"/>
      </w:pPr>
      <w:r>
        <w:t xml:space="preserve">     Middle age too became a forum for gender difference in the contemporary American culture of the 1970s-1990s. Women were expected to age with grace; beauty norms had become redefined. Menopause was a state to be ‘celebrated, to be entered with joy and anticipation. Jane Fonda showed a generation of middle-aged women what beauty could be. </w:t>
      </w:r>
    </w:p>
    <w:p w14:paraId="0DD0CD8A" w14:textId="77777777" w:rsidR="00B10FA3" w:rsidRDefault="00B10FA3" w:rsidP="6375CABF">
      <w:pPr>
        <w:spacing w:line="480" w:lineRule="auto"/>
      </w:pPr>
      <w:r>
        <w:t xml:space="preserve">     But for men, middle age was often termed a time of ‘crisis,’ a period during which a man needed to revert to an earlier stage in order to reclaim his identity. In other words, an aging man was, in some sense of the word, “immature,” in a state of panic, and not really knowing what to do. Sadly, he was also the butt of derision – the ‘old loser’ who wanted to reclaim his </w:t>
      </w:r>
      <w:r>
        <w:lastRenderedPageBreak/>
        <w:t>youth. Any understanding of passages, of life changes, o</w:t>
      </w:r>
      <w:r w:rsidRPr="001E6124">
        <w:t>f new opportunities was all too often ignored.</w:t>
      </w:r>
      <w:r>
        <w:rPr>
          <w:rStyle w:val="FootnoteReference"/>
        </w:rPr>
        <w:footnoteReference w:id="165"/>
      </w:r>
    </w:p>
    <w:p w14:paraId="1A2E1540" w14:textId="77777777" w:rsidR="00B175F7" w:rsidRPr="001E6124" w:rsidRDefault="00B175F7" w:rsidP="6375CABF">
      <w:pPr>
        <w:spacing w:line="480" w:lineRule="auto"/>
      </w:pPr>
    </w:p>
    <w:p w14:paraId="1E69E494" w14:textId="057A3753" w:rsidR="00B10FA3" w:rsidRPr="00A452A3" w:rsidRDefault="00B10FA3" w:rsidP="6375CABF">
      <w:pPr>
        <w:spacing w:line="480" w:lineRule="auto"/>
        <w:rPr>
          <w:b/>
          <w:bCs/>
          <w:i/>
          <w:iCs/>
          <w:sz w:val="28"/>
          <w:szCs w:val="28"/>
        </w:rPr>
      </w:pPr>
      <w:bookmarkStart w:id="1" w:name="_Hlk168610192"/>
      <w:r>
        <w:t xml:space="preserve">   </w:t>
      </w:r>
      <w:r w:rsidRPr="00A452A3">
        <w:rPr>
          <w:b/>
          <w:bCs/>
          <w:i/>
          <w:iCs/>
          <w:sz w:val="28"/>
          <w:szCs w:val="28"/>
        </w:rPr>
        <w:t>Effeminacy</w:t>
      </w:r>
    </w:p>
    <w:p w14:paraId="5F72B324" w14:textId="77777777" w:rsidR="00B10FA3" w:rsidRPr="001E6124" w:rsidRDefault="00B10FA3" w:rsidP="6375CABF">
      <w:pPr>
        <w:spacing w:line="480" w:lineRule="auto"/>
      </w:pPr>
      <w:r w:rsidRPr="6375CABF">
        <w:rPr>
          <w:b/>
          <w:bCs/>
        </w:rPr>
        <w:t xml:space="preserve">     </w:t>
      </w:r>
      <w:r>
        <w:t>One of the greatest fears haunting elements of traditional American masculinity is the fear of being portrayed as effeminate. In fact, men fear this condemnation, however indirect, more against one and other than between women and men. For men, being termed a “fag,” a “homo,” a “sissy” goes far deeper than the pseudo sexual implication of the words themselves. It implies a failure to live up to the standards of a man. Far from a sexual slight, it represents a moral judgement of the totality of his character – and unworthiness.</w:t>
      </w:r>
    </w:p>
    <w:p w14:paraId="4E4F60D1" w14:textId="77777777" w:rsidR="00B10FA3" w:rsidRPr="001E6124" w:rsidRDefault="00B10FA3" w:rsidP="6375CABF">
      <w:pPr>
        <w:spacing w:line="480" w:lineRule="auto"/>
      </w:pPr>
      <w:r w:rsidRPr="001E6124">
        <w:t xml:space="preserve">     In fact, the </w:t>
      </w:r>
      <w:r w:rsidRPr="6375CABF">
        <w:rPr>
          <w:i/>
          <w:iCs/>
        </w:rPr>
        <w:t>fear of the feminine</w:t>
      </w:r>
      <w:r w:rsidRPr="001E6124">
        <w:t xml:space="preserve"> is, is some significant ways, the fuel that drives masculinity. Traditional characteristics such as intimacy, emotional vulnerability and dependency, while not necessarily ‘female’ by any natural standard, are often shunned in traditional masculine settings. The </w:t>
      </w:r>
      <w:r w:rsidRPr="6375CABF">
        <w:rPr>
          <w:i/>
          <w:iCs/>
        </w:rPr>
        <w:t>anima</w:t>
      </w:r>
      <w:r w:rsidRPr="001E6124">
        <w:t>, or female side of the male persona, as expressed by Karl Jung, is often repressed in the male, as being non-adaptive to the role of a man. The rigidity set up by this repression is often reflected in a stultified means by which men may express themselves in their dress and behavior. Without doubt, men are</w:t>
      </w:r>
      <w:r>
        <w:t xml:space="preserve">, by and large, </w:t>
      </w:r>
      <w:r w:rsidRPr="001E6124">
        <w:t>punished much more severely for disobeying conventional norms in a public setting.</w:t>
      </w:r>
      <w:r w:rsidRPr="001E6124">
        <w:rPr>
          <w:rStyle w:val="FootnoteReference"/>
        </w:rPr>
        <w:footnoteReference w:id="166"/>
      </w:r>
    </w:p>
    <w:p w14:paraId="56420B9D" w14:textId="77777777" w:rsidR="00B10FA3" w:rsidRDefault="00B10FA3" w:rsidP="6375CABF">
      <w:pPr>
        <w:spacing w:line="480" w:lineRule="auto"/>
      </w:pPr>
      <w:r>
        <w:rPr>
          <w:b/>
          <w:bCs/>
          <w:sz w:val="28"/>
          <w:szCs w:val="28"/>
        </w:rPr>
        <w:lastRenderedPageBreak/>
        <w:t xml:space="preserve">     </w:t>
      </w:r>
      <w:r>
        <w:t xml:space="preserve">There is, among many men of varying social classes, </w:t>
      </w:r>
      <w:r w:rsidRPr="6375CABF">
        <w:rPr>
          <w:i/>
          <w:iCs/>
        </w:rPr>
        <w:t>a real terror of the feminine</w:t>
      </w:r>
      <w:r>
        <w:t>, and it is expressed in multifarious ways, especially but not exclusively in right-wing circles. Support for violent military actions, either domestic or foreign, is one way in which men can reaffirm their allegiance to traditional masculine warrior values. Recall the huge disparity in support for the Iraq war, in which male support was literally double that of women. Recall also Mohammad Atta, one of the 911 attackers, and a male in a large family of women; a man who was preoccupied with fears of “female pollution,” and concerned about being exposed as ‘feminized,’ or, perhaps, even as gay.</w:t>
      </w:r>
      <w:r>
        <w:rPr>
          <w:rStyle w:val="FootnoteReference"/>
        </w:rPr>
        <w:footnoteReference w:id="167"/>
      </w:r>
    </w:p>
    <w:p w14:paraId="3EC47022" w14:textId="77777777" w:rsidR="00B10FA3" w:rsidRDefault="00B10FA3" w:rsidP="6375CABF">
      <w:pPr>
        <w:spacing w:line="480" w:lineRule="auto"/>
      </w:pPr>
      <w:r>
        <w:t xml:space="preserve">     Issues, sports, leisure activities – even art – are gendered, replete with coding that reaffirms norms of the masculine and feminine. NASCAR is masculine, soccer moms are feminine; barbeques are masculine, vegetarianism is feminine; military and corporate themes are masculine. Religion and politics, too, can be portrayed in masculine tropes of a male savior, and of punishment, salvation and (in the modern lexicon) the advantages of investing in the promises of the ‘prosperity gospel.’ One of the singular achievements of the Reagan Era was the </w:t>
      </w:r>
      <w:r w:rsidRPr="6375CABF">
        <w:rPr>
          <w:i/>
          <w:iCs/>
        </w:rPr>
        <w:t>emasculation of liberalism</w:t>
      </w:r>
      <w:r>
        <w:t xml:space="preserve"> as an ideology. Welfare, human rights, and protective legislation were dismissed as “weak,” a code term for </w:t>
      </w:r>
      <w:r w:rsidRPr="6375CABF">
        <w:rPr>
          <w:i/>
          <w:iCs/>
        </w:rPr>
        <w:t>feminine</w:t>
      </w:r>
      <w:r>
        <w:t>, a dismissal of empathy, calls for social justice and tolerance in a climate that preached supposed “rugged individualism.”</w:t>
      </w:r>
      <w:r>
        <w:rPr>
          <w:rStyle w:val="FootnoteReference"/>
        </w:rPr>
        <w:footnoteReference w:id="168"/>
      </w:r>
    </w:p>
    <w:p w14:paraId="110EA9FC" w14:textId="77777777" w:rsidR="00B10FA3" w:rsidRDefault="00B10FA3" w:rsidP="6375CABF">
      <w:pPr>
        <w:spacing w:line="480" w:lineRule="auto"/>
      </w:pPr>
      <w:r>
        <w:t xml:space="preserve">     Say what you will about Hillary Clinton, but she scared a good portion of the white male population in profound ways; her education, professionalism, and unwillingness to be treated as anything less than equal to a man earned her bitter scorn among political pundits, </w:t>
      </w:r>
      <w:r>
        <w:lastRenderedPageBreak/>
        <w:t xml:space="preserve">towards whom she described herself as a “human Rorschach test.” And speaking of the Clintons, it is interesting to note that </w:t>
      </w:r>
      <w:r w:rsidRPr="00A452A3">
        <w:rPr>
          <w:i/>
          <w:iCs/>
        </w:rPr>
        <w:t>Bill Clinton’s popularity surged after the Monika Lewinsky affair</w:t>
      </w:r>
      <w:r>
        <w:t xml:space="preserve">. It appears that men envied him, despite, or perhaps </w:t>
      </w:r>
      <w:r w:rsidRPr="6375CABF">
        <w:rPr>
          <w:u w:val="single"/>
        </w:rPr>
        <w:t>because</w:t>
      </w:r>
      <w:r>
        <w:t xml:space="preserve"> of his transgressions.</w:t>
      </w:r>
    </w:p>
    <w:p w14:paraId="7A9BF605" w14:textId="77777777" w:rsidR="00B10FA3" w:rsidRDefault="00B10FA3" w:rsidP="6375CABF">
      <w:pPr>
        <w:spacing w:line="480" w:lineRule="auto"/>
      </w:pPr>
      <w:r>
        <w:t xml:space="preserve">     Indeed, the fear of loss of masculinity is a pervasive quality in the US today. Conservatives are particularly susceptible to it, as their worldview tends to be more static, more conventional, more rigid. They may also occupy socioeconomic status’ that are most threatened by the advancement of women, or other non-traditional competitors in the workplace and in society generally. Men feel a personal power enhancement from violence, when it represents “their” side; they often feel uncomfortable with advocating for the environment or climate control, as these issues reflect concern, planning, </w:t>
      </w:r>
      <w:r w:rsidRPr="6375CABF">
        <w:rPr>
          <w:i/>
          <w:iCs/>
        </w:rPr>
        <w:t>restraint</w:t>
      </w:r>
      <w:r>
        <w:t xml:space="preserve">, </w:t>
      </w:r>
      <w:r w:rsidRPr="00FB6162">
        <w:t>nurturing</w:t>
      </w:r>
      <w:r>
        <w:t xml:space="preserve"> and a more “female” approach to policy.</w:t>
      </w:r>
      <w:r>
        <w:rPr>
          <w:rStyle w:val="FootnoteReference"/>
        </w:rPr>
        <w:footnoteReference w:id="169"/>
      </w:r>
      <w:r>
        <w:t xml:space="preserve"> The foundations of homophobia may well find their origins in the fear of women.</w:t>
      </w:r>
    </w:p>
    <w:p w14:paraId="3F43F6DB" w14:textId="15C71DC3" w:rsidR="6375CABF" w:rsidRDefault="6375CABF" w:rsidP="6375CABF">
      <w:pPr>
        <w:spacing w:line="480" w:lineRule="auto"/>
      </w:pPr>
    </w:p>
    <w:p w14:paraId="5F1613C6" w14:textId="44EF1A89" w:rsidR="6375CABF" w:rsidRDefault="6375CABF" w:rsidP="6375CABF">
      <w:pPr>
        <w:spacing w:line="480" w:lineRule="auto"/>
      </w:pPr>
    </w:p>
    <w:p w14:paraId="228536F5" w14:textId="77777777" w:rsidR="00A452A3" w:rsidRDefault="00A452A3" w:rsidP="6375CABF">
      <w:pPr>
        <w:spacing w:line="480" w:lineRule="auto"/>
      </w:pPr>
    </w:p>
    <w:p w14:paraId="13DEB356" w14:textId="77777777" w:rsidR="00A452A3" w:rsidRDefault="00A452A3" w:rsidP="6375CABF">
      <w:pPr>
        <w:spacing w:line="480" w:lineRule="auto"/>
      </w:pPr>
    </w:p>
    <w:p w14:paraId="0E9B0B98" w14:textId="6DA25402" w:rsidR="6375CABF" w:rsidRPr="00A452A3" w:rsidRDefault="6375CABF" w:rsidP="6375CABF">
      <w:pPr>
        <w:spacing w:line="480" w:lineRule="auto"/>
        <w:rPr>
          <w:i/>
          <w:iCs/>
        </w:rPr>
      </w:pPr>
    </w:p>
    <w:p w14:paraId="4C3A16FA" w14:textId="77777777" w:rsidR="00B10FA3" w:rsidRPr="00A452A3" w:rsidRDefault="00B10FA3" w:rsidP="6375CABF">
      <w:pPr>
        <w:spacing w:line="480" w:lineRule="auto"/>
        <w:rPr>
          <w:b/>
          <w:bCs/>
          <w:i/>
          <w:iCs/>
          <w:sz w:val="28"/>
          <w:szCs w:val="28"/>
        </w:rPr>
      </w:pPr>
      <w:r w:rsidRPr="00A452A3">
        <w:rPr>
          <w:b/>
          <w:bCs/>
          <w:i/>
          <w:iCs/>
          <w:sz w:val="28"/>
          <w:szCs w:val="28"/>
        </w:rPr>
        <w:t>The Case of Jennifer Lynch</w:t>
      </w:r>
    </w:p>
    <w:p w14:paraId="6B9043B8" w14:textId="77777777" w:rsidR="00B10FA3" w:rsidRDefault="00B10FA3" w:rsidP="6375CABF">
      <w:pPr>
        <w:spacing w:line="480" w:lineRule="auto"/>
      </w:pPr>
      <w:r>
        <w:t xml:space="preserve">     Having said that, one of the main preoccupations of traditional masculinity is the perceived need to </w:t>
      </w:r>
      <w:r w:rsidRPr="6375CABF">
        <w:rPr>
          <w:i/>
          <w:iCs/>
        </w:rPr>
        <w:t>protect the honor of women</w:t>
      </w:r>
      <w:r>
        <w:t xml:space="preserve">. This stance may well be the product of an assumed superiority (planters protected slaves and pet owners protect dogs), but also of an ingrained notion that a man should put himself on the line when the reputation of a woman is involved. </w:t>
      </w:r>
    </w:p>
    <w:p w14:paraId="1882CDF3" w14:textId="77777777" w:rsidR="00B10FA3" w:rsidRDefault="00B10FA3" w:rsidP="6375CABF">
      <w:pPr>
        <w:spacing w:line="480" w:lineRule="auto"/>
      </w:pPr>
      <w:r>
        <w:t xml:space="preserve">     There was no clearer a modern example of this phenomenon than the Jessica Lynch episode during the Iraq war. Lynch was a supply private from West Virginia who was taken captive by Iraqi forces, and held in a hospital while she recovered from injuries. The US military organized a rescue effort for Private Lynch – even a movie was made out of it. The post-Vietnam US military is, since the early 1970s, a volunteer organization; woman have been integrated into all services – sometimes with controversy – and gays have been permitted to serve since the Clinton administration. For a time, this expansion worked, as major military confrontations were few; but the Iraq war upset the applecart. Women were expected to ‘serve the peace’ in the military – but they were not expected to fight. Once they were engaged in conflict, the “damsels in distress” theme came roaring back into the collective consciousness of the culture and the military, and a rescue became imperative for both cultural as well as military strategic purposes. </w:t>
      </w:r>
    </w:p>
    <w:p w14:paraId="6D23B087" w14:textId="77777777" w:rsidR="00B10FA3" w:rsidRPr="00C938C3" w:rsidRDefault="00B10FA3" w:rsidP="6375CABF">
      <w:pPr>
        <w:spacing w:line="480" w:lineRule="auto"/>
      </w:pPr>
      <w:r>
        <w:t xml:space="preserve">     The military required Lynch’s rescue not only as a cultural demonstration of heroism, but also to sustain the men who were fighting the war; to reaffirm the myth of self-sacrifice in which they were engaged. After all, dying for one’s country is the ultimate ‘proof’ of one’s masculinity. At a psychological level, the presence of women in combat compromises the </w:t>
      </w:r>
      <w:r>
        <w:lastRenderedPageBreak/>
        <w:t>masculine myth of sacrifice. Women are the life givers of the world through reproduction; men are the life takers, through the warrior, protective role. Jennifer Lynch cut against the prevailing mythical grain, and had to be rescued and set back to W.VA to complete her training as a kindergarten teacher, and reaffirm the biopolitical balance that had been thrown out of whack.</w:t>
      </w:r>
      <w:r>
        <w:rPr>
          <w:rStyle w:val="FootnoteReference"/>
        </w:rPr>
        <w:footnoteReference w:id="170"/>
      </w:r>
    </w:p>
    <w:p w14:paraId="675AB2C7" w14:textId="211A4CD7" w:rsidR="6375CABF" w:rsidRPr="00A452A3" w:rsidRDefault="6375CABF" w:rsidP="6375CABF">
      <w:pPr>
        <w:spacing w:line="480" w:lineRule="auto"/>
        <w:rPr>
          <w:i/>
          <w:iCs/>
        </w:rPr>
      </w:pPr>
    </w:p>
    <w:p w14:paraId="0D380F4D" w14:textId="77777777" w:rsidR="00B10FA3" w:rsidRPr="00A452A3" w:rsidRDefault="00B10FA3" w:rsidP="6375CABF">
      <w:pPr>
        <w:spacing w:line="480" w:lineRule="auto"/>
        <w:rPr>
          <w:i/>
          <w:iCs/>
        </w:rPr>
      </w:pPr>
      <w:r w:rsidRPr="00A452A3">
        <w:rPr>
          <w:b/>
          <w:bCs/>
          <w:i/>
          <w:iCs/>
          <w:sz w:val="28"/>
          <w:szCs w:val="28"/>
        </w:rPr>
        <w:t xml:space="preserve">     Mythical Gender</w:t>
      </w:r>
    </w:p>
    <w:p w14:paraId="3AAFB1F3" w14:textId="5068F123" w:rsidR="00B10FA3" w:rsidRDefault="00B10FA3" w:rsidP="6375CABF">
      <w:pPr>
        <w:spacing w:line="480" w:lineRule="auto"/>
      </w:pPr>
      <w:r>
        <w:t xml:space="preserve">      In mythological contexts, the female figure poses a very important, even dominant role in society – one that could be quite intimidating. She is the Earth Mother, the creator of the earth; in fact, the creator of all things; human life, milk, menstruation and, symbolically, agricultural fecundity, dating back to prehistoric times.</w:t>
      </w:r>
      <w:r>
        <w:rPr>
          <w:rStyle w:val="FootnoteReference"/>
        </w:rPr>
        <w:footnoteReference w:id="171"/>
      </w:r>
      <w:r>
        <w:t xml:space="preserve"> Noted mythologist Joseph Campbell spoke of the “hero’s journey,” a quest that was common both to men and women. For a man, it might involve a warrior conquest or a delving into self</w:t>
      </w:r>
      <w:r w:rsidR="00A452A3">
        <w:t>-</w:t>
      </w:r>
      <w:r>
        <w:t>exploration; for a woman, it could, for example, involve the primordial process of bringing life into the world, the “giving over of oneself to the life to another.”</w:t>
      </w:r>
      <w:r>
        <w:rPr>
          <w:rStyle w:val="FootnoteReference"/>
        </w:rPr>
        <w:footnoteReference w:id="172"/>
      </w:r>
    </w:p>
    <w:p w14:paraId="014A7ADE" w14:textId="77777777" w:rsidR="00B10FA3" w:rsidRPr="00CB2418" w:rsidRDefault="00B10FA3" w:rsidP="6375CABF">
      <w:pPr>
        <w:spacing w:line="480" w:lineRule="auto"/>
      </w:pPr>
      <w:r>
        <w:t xml:space="preserve">     Campbell certainly saw the interposition of man in woman and woman in man. But many see, in contemporary culture, a blurring of lines between genders that is less than welcome. While working class white men were often discriminated against in favor of middle-class </w:t>
      </w:r>
      <w:r>
        <w:lastRenderedPageBreak/>
        <w:t>professional men and women, of recent more and more middle-class men are finding themselves discriminated against. However, these phenomena are not always perceived as genderized, and thus are often addressed as individual acts of preference. Because of this, alliances of like- minded men have not been encouraged to grow.</w:t>
      </w:r>
      <w:r>
        <w:rPr>
          <w:rStyle w:val="FootnoteReference"/>
        </w:rPr>
        <w:footnoteReference w:id="173"/>
      </w:r>
    </w:p>
    <w:p w14:paraId="215843FB" w14:textId="77777777" w:rsidR="00B10FA3" w:rsidRDefault="00B10FA3" w:rsidP="6375CABF">
      <w:pPr>
        <w:spacing w:line="480" w:lineRule="auto"/>
      </w:pPr>
      <w:r>
        <w:t xml:space="preserve">     In the modern US, the “provider” role for men has been reduced in its cultural importance, as more than half of employed women provide more than half of a median family income. Further, the traditional “good family man” role (provider, chores around the house, good relations with children) has not, by and large, been supported by US government policy – although Scandinavia has proven a leader in this area. Women divorce men at twice the rate that men divorce women; this is driven by increased financial independence. More than half of all divorced men who lose custody to their children drop out of their lives. These and other developments create a picture of contemporary men as somewhat flaccid and helpless. </w:t>
      </w:r>
    </w:p>
    <w:p w14:paraId="5234C9E7" w14:textId="77777777" w:rsidR="00B10FA3" w:rsidRDefault="00B10FA3" w:rsidP="6375CABF">
      <w:pPr>
        <w:spacing w:line="480" w:lineRule="auto"/>
      </w:pPr>
      <w:r>
        <w:t xml:space="preserve">     Not helping matters are social media portrayals of white men as promiscuous, irresponsible and abusive – by the 1990s, O.J. Simpson and Bill Clinton were paraded as symptomatic of all male behavior. To add insult to injury, some have claimed that “worrying about the state of our men is an American tradition,” when nothing could be further from the truth.</w:t>
      </w:r>
      <w:r>
        <w:rPr>
          <w:rStyle w:val="FootnoteReference"/>
        </w:rPr>
        <w:footnoteReference w:id="174"/>
      </w:r>
      <w:r>
        <w:t xml:space="preserve"> As the traditional default group, American white men comprise no group at all. Not surprisingly, many men reacted to such stereotyping, and created organizations to reclaim their power, groups such as the Promise Keepers. Perhaps also not surprising, many </w:t>
      </w:r>
      <w:r>
        <w:lastRenderedPageBreak/>
        <w:t>of these groups possessed strong streaks of misogyny and anti-gay bias; their goal is to reclaim a lost, heterosexual American essence led by straight white men.</w:t>
      </w:r>
      <w:r>
        <w:rPr>
          <w:rStyle w:val="FootnoteReference"/>
        </w:rPr>
        <w:footnoteReference w:id="175"/>
      </w:r>
    </w:p>
    <w:p w14:paraId="4E328077" w14:textId="6A8830C0" w:rsidR="00B10FA3" w:rsidRDefault="00B10FA3" w:rsidP="6375CABF">
      <w:pPr>
        <w:spacing w:line="480" w:lineRule="auto"/>
      </w:pPr>
      <w:r>
        <w:t xml:space="preserve">     As the masculinity crisis has grown, images of gender place have grown, morphed and, in some cases, become caricatures of themselves. The period of the Trump years has, at many levels, endorsed and tolerated a “toxic masculinity,” which reveals a traditional, unrelenting, anti-female, often subtly racist and intolerant and fearful version of manhood. Femininity is devalued and women are reduced to the status of items used for the pleasure of men. </w:t>
      </w:r>
      <w:r w:rsidRPr="6375CABF">
        <w:rPr>
          <w:i/>
          <w:iCs/>
        </w:rPr>
        <w:t>Violence</w:t>
      </w:r>
      <w:r>
        <w:t xml:space="preserve"> maintains a leading role in identity – either with guns, foreign policy preferences or interpersonal relations. </w:t>
      </w:r>
      <w:r w:rsidR="65DC9349">
        <w:t>Rational behavior is expurgated: c</w:t>
      </w:r>
      <w:r>
        <w:t>ompromise, empathy, diplomacy and even intellectualism are dismissed as evidence of weakness, effeminacy, or, at worst, female behavior.</w:t>
      </w:r>
      <w:r>
        <w:rPr>
          <w:rStyle w:val="FootnoteReference"/>
        </w:rPr>
        <w:footnoteReference w:id="176"/>
      </w:r>
      <w:r>
        <w:t xml:space="preserve"> </w:t>
      </w:r>
    </w:p>
    <w:p w14:paraId="027739CA" w14:textId="77777777" w:rsidR="00B10FA3" w:rsidRDefault="00B10FA3" w:rsidP="6375CABF">
      <w:pPr>
        <w:spacing w:line="480" w:lineRule="auto"/>
      </w:pPr>
      <w:r>
        <w:t xml:space="preserve">     In the early part of the 2000s, the </w:t>
      </w:r>
      <w:r w:rsidRPr="6375CABF">
        <w:rPr>
          <w:i/>
          <w:iCs/>
        </w:rPr>
        <w:t>Tea Party</w:t>
      </w:r>
      <w:r>
        <w:t xml:space="preserve"> faction of the Republican Party rose as a potent influence in the House of Representatives caucus. Ostensibly, the Tea Party represented working class Americans, tired of the same old same old from establishment politicians. In fact, they used a working-class veneer of rhetoric to advance the interests of wealthy Americans, namely the Koch Brothers, in a time worn tactic to scare people of limited means into supporting reactionary politics. </w:t>
      </w:r>
    </w:p>
    <w:p w14:paraId="32F0A4B8" w14:textId="2ADA03F9" w:rsidR="00B10FA3" w:rsidRDefault="00B10FA3" w:rsidP="6375CABF">
      <w:pPr>
        <w:spacing w:line="480" w:lineRule="auto"/>
      </w:pPr>
      <w:r>
        <w:t xml:space="preserve">     Oddly, in the US, the states with the highest levels of violence, the highest levels of disability, the highest levels of poverty, the highest teen pregnancies, worst opioid crises and domestic violence were the same states that tended to support the Tea Party. They were, by and large Southern and Mid</w:t>
      </w:r>
      <w:r w:rsidR="06429FB8">
        <w:t>-</w:t>
      </w:r>
      <w:r>
        <w:t xml:space="preserve">Western states, territories in which the well to do vote to </w:t>
      </w:r>
      <w:r>
        <w:lastRenderedPageBreak/>
        <w:t>defund social services, and the recipients of those services often either don’t vote, or have their votes misdirected or otherwise distracted over social and racial issues like Black Lives Matter, so-called ‘critical race’ theory, or LGBTQ issues. Meanwhile, the roads aren’t paved, the health care remains inaccessible, voting becomes more difficult and the powers that be enjoy the continuation of the status quo.</w:t>
      </w:r>
      <w:r>
        <w:rPr>
          <w:rStyle w:val="FootnoteReference"/>
        </w:rPr>
        <w:footnoteReference w:id="177"/>
      </w:r>
    </w:p>
    <w:p w14:paraId="54EBF25F" w14:textId="3D937BA7" w:rsidR="00B10FA3" w:rsidRDefault="00B10FA3" w:rsidP="6375CABF">
      <w:pPr>
        <w:spacing w:line="480" w:lineRule="auto"/>
      </w:pPr>
      <w:r>
        <w:t xml:space="preserve">     In such a political climate, the appeal to nationalism, localism and, frankly, tribalism becomes increasingly easy, with appeals to religion, fear, taxation and honor. The federal government becomes a convenient whipping boy for all of societ</w:t>
      </w:r>
      <w:r w:rsidR="00193ED6">
        <w:t>ies</w:t>
      </w:r>
      <w:r w:rsidR="00EB7321">
        <w:t>’</w:t>
      </w:r>
      <w:r>
        <w:t xml:space="preserve"> ills. In Louisiana, for example, the state economy relies on nearly half of its revenue through government funding – but the official line among the political class is that Louisiana is an ‘anti-government’ state. Not much is made of the dominance of the oil industry in the state, and its regressive environmental policies. After all, that is not the point. In the political (read – </w:t>
      </w:r>
      <w:r w:rsidRPr="6375CABF">
        <w:rPr>
          <w:i/>
          <w:iCs/>
        </w:rPr>
        <w:t xml:space="preserve">social) </w:t>
      </w:r>
      <w:r w:rsidRPr="00665C8F">
        <w:t>realm,</w:t>
      </w:r>
      <w:r>
        <w:t xml:space="preserve"> family, church, community are the talking points, and the strategy works, as it has for decades. </w:t>
      </w:r>
      <w:r>
        <w:rPr>
          <w:rStyle w:val="FootnoteReference"/>
        </w:rPr>
        <w:footnoteReference w:id="178"/>
      </w:r>
    </w:p>
    <w:p w14:paraId="7ABE1AF2" w14:textId="77777777" w:rsidR="00B10FA3" w:rsidRDefault="00B10FA3" w:rsidP="6375CABF">
      <w:pPr>
        <w:spacing w:line="480" w:lineRule="auto"/>
      </w:pPr>
      <w:r>
        <w:t xml:space="preserve">     Across the US, regulations of a sort remain lax – guns, motorcycle helmets, liquor, for example. But in other contexts, regulations can be quite strict in the same locales on issues like abortion, civil rights, police brutality, law enforcement and incarceration. Some have argued that this is a classic example of extending rights </w:t>
      </w:r>
      <w:r w:rsidRPr="6375CABF">
        <w:rPr>
          <w:i/>
          <w:iCs/>
        </w:rPr>
        <w:t>for</w:t>
      </w:r>
      <w:r>
        <w:t xml:space="preserve"> while denying rights </w:t>
      </w:r>
      <w:r w:rsidRPr="6375CABF">
        <w:rPr>
          <w:i/>
          <w:iCs/>
        </w:rPr>
        <w:t>from</w:t>
      </w:r>
      <w:r>
        <w:t xml:space="preserve">. There is even a colloquial sobriquet for the ‘least resistant personality’ in Louisiana: a conservative Catholic, working class, high school educated, industry connected. This, under the current political strategy is the most pliable, but also the most vulnerable group. </w:t>
      </w:r>
    </w:p>
    <w:p w14:paraId="6A1CC074" w14:textId="78CC3CD2" w:rsidR="00B10FA3" w:rsidRPr="00505FBC" w:rsidRDefault="00B10FA3" w:rsidP="6375CABF">
      <w:pPr>
        <w:spacing w:line="480" w:lineRule="auto"/>
      </w:pPr>
      <w:r>
        <w:lastRenderedPageBreak/>
        <w:t xml:space="preserve">     Thorstein Vebl</w:t>
      </w:r>
      <w:r w:rsidR="00EB7321">
        <w:t>e</w:t>
      </w:r>
      <w:r>
        <w:t>n’s famous quip that “distance from government confers honor” works well in this context, where uninformed residents can ‘choose’ to starve, thereby maintaining their god</w:t>
      </w:r>
      <w:r w:rsidR="00EB7321">
        <w:t xml:space="preserve"> </w:t>
      </w:r>
      <w:r>
        <w:t>-</w:t>
      </w:r>
      <w:r w:rsidR="00EB7321">
        <w:t xml:space="preserve"> </w:t>
      </w:r>
      <w:r>
        <w:t>given independence. Theirs is a culture that expects little from government; their operating mode is one of ‘enduring’ the present, but enduring in such a way that the present doesn’t change, and that ‘new players (minorities, immigrants, women) don’t muck up the works by ‘cutting in line’ in front of the ‘real Americans.’</w:t>
      </w:r>
      <w:r>
        <w:rPr>
          <w:rStyle w:val="FootnoteReference"/>
        </w:rPr>
        <w:footnoteReference w:id="179"/>
      </w:r>
      <w:r>
        <w:t xml:space="preserve">    </w:t>
      </w:r>
    </w:p>
    <w:p w14:paraId="484232E1" w14:textId="0F1D9C6A" w:rsidR="6375CABF" w:rsidRPr="00EB7321" w:rsidRDefault="6375CABF" w:rsidP="6375CABF">
      <w:pPr>
        <w:spacing w:line="480" w:lineRule="auto"/>
        <w:rPr>
          <w:i/>
          <w:iCs/>
        </w:rPr>
      </w:pPr>
    </w:p>
    <w:p w14:paraId="6C101CCC" w14:textId="77777777" w:rsidR="00B10FA3" w:rsidRPr="00EB7321" w:rsidRDefault="00B10FA3" w:rsidP="6375CABF">
      <w:pPr>
        <w:spacing w:line="480" w:lineRule="auto"/>
        <w:rPr>
          <w:b/>
          <w:bCs/>
          <w:i/>
          <w:iCs/>
          <w:sz w:val="28"/>
          <w:szCs w:val="28"/>
        </w:rPr>
      </w:pPr>
      <w:r w:rsidRPr="00EB7321">
        <w:rPr>
          <w:b/>
          <w:bCs/>
          <w:i/>
          <w:iCs/>
          <w:sz w:val="28"/>
          <w:szCs w:val="28"/>
        </w:rPr>
        <w:t>Mythical Man 2024 and His Precedents</w:t>
      </w:r>
    </w:p>
    <w:p w14:paraId="412DA536" w14:textId="788AA9D8" w:rsidR="00B10FA3" w:rsidRDefault="00B10FA3" w:rsidP="6375CABF">
      <w:pPr>
        <w:spacing w:line="480" w:lineRule="auto"/>
      </w:pPr>
      <w:r>
        <w:t xml:space="preserve">     In the United States, the political, not to mention the logical world has been turned on its head since the Trump presidency. New, cynical political tactics have been employed on a large scale, scaring much of the Republican party in quiet obedience, but also shadowing the hint of fascism in American politics. The tactics are not new (although, startlingly, they are regarded by many Americans as first-time events in a country that sees itself as immune from such pressures), but they are more organized than they have been in the decades since Father Charles Coughlin reached millions in his weekly anti</w:t>
      </w:r>
      <w:r w:rsidR="00EB7321">
        <w:t xml:space="preserve"> </w:t>
      </w:r>
      <w:r>
        <w:t>-</w:t>
      </w:r>
      <w:r w:rsidR="00EB7321">
        <w:t xml:space="preserve"> </w:t>
      </w:r>
      <w:r>
        <w:t>semitic and nationalist radio show of the 1930s, or since the revived KKK of the 1960s, to name but a few.</w:t>
      </w:r>
    </w:p>
    <w:p w14:paraId="0F27E010" w14:textId="77777777" w:rsidR="00B10FA3" w:rsidRDefault="00B10FA3" w:rsidP="6375CABF">
      <w:pPr>
        <w:spacing w:line="480" w:lineRule="auto"/>
      </w:pPr>
      <w:r>
        <w:t xml:space="preserve">      Smart money would bet that Trump advisors Steve Bannon and Stephen Miller are at the center of the new political language that seems to infect the body politic of the US. Bannon is noted for trying to muck up the political world, by throwing so much extraneous information into the social dialogue that ordinary people become overwhelmed, disoriented and tired </w:t>
      </w:r>
      <w:r>
        <w:lastRenderedPageBreak/>
        <w:t xml:space="preserve">from the deluge. By doing so, his goal is to create a justice of equivalency by noise. Confuse people by overwhelming them. </w:t>
      </w:r>
    </w:p>
    <w:p w14:paraId="07CB7851" w14:textId="77777777" w:rsidR="00B10FA3" w:rsidRDefault="00B10FA3" w:rsidP="6375CABF">
      <w:pPr>
        <w:spacing w:line="480" w:lineRule="auto"/>
      </w:pPr>
      <w:r>
        <w:t xml:space="preserve">     The S. Miller tactic is a bit different, and draws from the D. Trump, his former lawyer, Roy Cohn, and the R. Giuliani playbook. To them, one should never back down ever, as that defies their toxic, fallacious conception of masculinity. Moreover, one should punch back harder to the attacker, to double down on the attack. It is a very primitive interpretation of defense and of masculine power. </w:t>
      </w:r>
    </w:p>
    <w:p w14:paraId="23D37F3D" w14:textId="77FE1733" w:rsidR="00B10FA3" w:rsidRDefault="00B10FA3" w:rsidP="6375CABF">
      <w:pPr>
        <w:spacing w:line="480" w:lineRule="auto"/>
      </w:pPr>
      <w:r>
        <w:t xml:space="preserve">      Miller offers this admonition as well, perhaps as a means to confuse the issue at hand: take your opponent</w:t>
      </w:r>
      <w:r w:rsidR="00EB7321">
        <w:t>’</w:t>
      </w:r>
      <w:r>
        <w:t>s argument and flip it back to him/her as the same argument. “You robbed a bank” becomes “no, in fact YOU robbed a bank. President Trump didn’t cheat an election – President Biden cheated the election.” In psychological terms, it is pure projection and reaction formation</w:t>
      </w:r>
      <w:r w:rsidR="20D4C066">
        <w:t xml:space="preserve"> (as in “I’m not, YOU are!)</w:t>
      </w:r>
      <w:r>
        <w:t xml:space="preserve">, but it has been successful in muddying the waters of political discussion, and, at best, confusing the public dialogue about various subjects.  </w:t>
      </w:r>
    </w:p>
    <w:p w14:paraId="03C50967" w14:textId="77777777" w:rsidR="00B10FA3" w:rsidRDefault="00B10FA3" w:rsidP="6375CABF">
      <w:pPr>
        <w:spacing w:line="480" w:lineRule="auto"/>
      </w:pPr>
      <w:r>
        <w:t xml:space="preserve">     In the end, the form of masculinity (if one can call it that) that is demonstrated through these tactics is a kind of appeal to men as ‘supermen,’ as omniscient beings that never err; moreover, as beings that never acknowledge any reality aside from the one to which they hold. Add to that consistency of image (Blue suit, red tie – with consistent background), consistency of message (the big lie), and symbolic, targeted, triggering speech. </w:t>
      </w:r>
    </w:p>
    <w:p w14:paraId="39065769" w14:textId="69CCE893" w:rsidR="00B10FA3" w:rsidRDefault="00B10FA3" w:rsidP="6375CABF">
      <w:pPr>
        <w:spacing w:line="480" w:lineRule="auto"/>
      </w:pPr>
      <w:r>
        <w:t xml:space="preserve">     These tactics are straight out of the fascist period of 1920-30s Italy, and later of the Third Reich; twisted and misinterpreted readings from Nietz</w:t>
      </w:r>
      <w:r w:rsidR="00EB7321">
        <w:t>s</w:t>
      </w:r>
      <w:r>
        <w:t>che’s admonitions of an ‘</w:t>
      </w:r>
      <w:proofErr w:type="spellStart"/>
      <w:r>
        <w:t>Overmensch</w:t>
      </w:r>
      <w:proofErr w:type="spellEnd"/>
      <w:r>
        <w:t xml:space="preserve">’ and personal liberation. Even the language mimics the 1930s, with the use of signaling words </w:t>
      </w:r>
      <w:r>
        <w:lastRenderedPageBreak/>
        <w:t>such as ‘disease,’ ‘vermin’ and ‘globalist,’ to name a few. It has been said before: nothing is new.</w:t>
      </w:r>
    </w:p>
    <w:p w14:paraId="43542A51" w14:textId="2F8E5820" w:rsidR="00B10FA3" w:rsidRDefault="00B10FA3" w:rsidP="6375CABF">
      <w:pPr>
        <w:spacing w:line="480" w:lineRule="auto"/>
      </w:pPr>
      <w:r>
        <w:t xml:space="preserve">     If we examine American Presidents since the 1970s, we can see a variety of gender styles. Jimmy Carter was a moralist, who placed great importance of consultations with his wife, Rosalyn. He placed little emphasis on bravado, and when he did use it (such as with the boycott of the Olympics after the Soviet invasion of Afghanistan), it seemed forced and unnatural. Carter was all about intellect, restraint and reason – but it didn’t serve him well when Ronald Reagan challenged him in 1980. The American hostages in Iran were used as a tool by Reagan during the campaign to chip away at Carter’s personal strength, even his masculine identity, which appeared to many to be held hostage in Tehran. Reagan’s message was one of the kindly granddad - but don’t step on my lawn. He offered a reassurance to Americans that authority had been restored, and that we were all safe.  Of course, we know now that his administration engaged in heinous, illegal activity in Central America, Iran and elsewhere – but, officially, the message was that America was safe again – and many believed it.</w:t>
      </w:r>
    </w:p>
    <w:p w14:paraId="0EE830BB" w14:textId="0FFF03A2" w:rsidR="00B10FA3" w:rsidRDefault="00B10FA3" w:rsidP="6375CABF">
      <w:pPr>
        <w:spacing w:line="480" w:lineRule="auto"/>
      </w:pPr>
      <w:r>
        <w:t xml:space="preserve">     George H.W. Bush was a wealthy, bequeathed elitist who made awkward attempts to portray himself as a man of the people. A career politician and government bureaucrat, he possessed little of Reagan’s charm</w:t>
      </w:r>
      <w:r w:rsidR="5C4868FD">
        <w:t xml:space="preserve"> </w:t>
      </w:r>
      <w:r>
        <w:t xml:space="preserve">but was able to ride the ex-president’s coattails to the White House in 1988, after a weak campaign by Democrat Michael Dukakis. But Bush was not a man’s man in the traditional sense, and he knew it. One could convincingly argue that, at least in part, that the execution of the Iraq War of 1991 was a vehicle for proving masculine </w:t>
      </w:r>
      <w:proofErr w:type="spellStart"/>
      <w:r>
        <w:t>bon</w:t>
      </w:r>
      <w:r w:rsidR="00A11A47">
        <w:t>i</w:t>
      </w:r>
      <w:r>
        <w:t>fides</w:t>
      </w:r>
      <w:proofErr w:type="spellEnd"/>
      <w:r>
        <w:t xml:space="preserve"> for an otherwise pampered, entitled man.  </w:t>
      </w:r>
    </w:p>
    <w:p w14:paraId="7CA23E76" w14:textId="77777777" w:rsidR="00B10FA3" w:rsidRDefault="00B10FA3" w:rsidP="6375CABF">
      <w:pPr>
        <w:spacing w:line="480" w:lineRule="auto"/>
      </w:pPr>
      <w:r>
        <w:lastRenderedPageBreak/>
        <w:t xml:space="preserve">      But what is a man – or, more specifically, an American man? Theodore Adorno said that ‘tough guys, are (by definition) weaklings,’ while Norman Mailer famously said that masculinity is a status provided as an earned honor. Clearly, there are multiple ways to understand masculine identity. Union organization has, at different times, been seen as a defining characteristic of a man – the fighter for justice and decent wages. At the same time, unions have often been denigrated as limp wristed, impediments to a robust American economy, with strikes rendering American consumerism impotent.</w:t>
      </w:r>
      <w:r>
        <w:rPr>
          <w:rStyle w:val="FootnoteReference"/>
        </w:rPr>
        <w:footnoteReference w:id="180"/>
      </w:r>
    </w:p>
    <w:p w14:paraId="77432E79" w14:textId="77777777" w:rsidR="00B10FA3" w:rsidRDefault="00B10FA3" w:rsidP="6375CABF">
      <w:pPr>
        <w:spacing w:line="480" w:lineRule="auto"/>
      </w:pPr>
      <w:r>
        <w:t xml:space="preserve">    Perhaps today limits the language of gender specific heroism, but multiple examples exist of totems of American culture that stood for the traditionally masculine, the consummate individual, the clever thief, the con man. Take Huck Finn; a reprobate by today’s standards, but a hero in his own time – a young man who endured domestic abuse from an alcoholic father, and who discovered a “liberated manhood” which, interestingly, excluded the temptations of women. In essence, his persona was that of a true sense of self, beholden to no law, no gender, no class.</w:t>
      </w:r>
      <w:r>
        <w:rPr>
          <w:rStyle w:val="FootnoteReference"/>
        </w:rPr>
        <w:footnoteReference w:id="181"/>
      </w:r>
    </w:p>
    <w:p w14:paraId="675AD0AA" w14:textId="77777777" w:rsidR="00B10FA3" w:rsidRPr="00353ADD" w:rsidRDefault="00B10FA3" w:rsidP="6375CABF">
      <w:pPr>
        <w:spacing w:line="480" w:lineRule="auto"/>
      </w:pPr>
      <w:r>
        <w:t xml:space="preserve">     Herman Melville’s classic </w:t>
      </w:r>
      <w:r w:rsidRPr="6375CABF">
        <w:rPr>
          <w:i/>
          <w:iCs/>
        </w:rPr>
        <w:t>Moby Dick</w:t>
      </w:r>
      <w:r>
        <w:t xml:space="preserve"> posed the forces of nature against man, and his sense of self. A common trop appears during the novel, referencing the fear of domination. Meanwhile, a generation of American men from the Civil War period felt the humiliation of ‘gendered disgrace. Henry Ford tried to revitalize American male vitality, while opposing labor organization efforts, even going so far as so associate Jewish workers with “effeminate behavior.</w:t>
      </w:r>
      <w:r>
        <w:rPr>
          <w:rStyle w:val="FootnoteReference"/>
        </w:rPr>
        <w:footnoteReference w:id="182"/>
      </w:r>
    </w:p>
    <w:p w14:paraId="3F25DEBD" w14:textId="02B79CBF" w:rsidR="6375CABF" w:rsidRPr="00EB7321" w:rsidRDefault="6375CABF" w:rsidP="6375CABF">
      <w:pPr>
        <w:spacing w:line="480" w:lineRule="auto"/>
        <w:rPr>
          <w:i/>
          <w:iCs/>
        </w:rPr>
      </w:pPr>
    </w:p>
    <w:p w14:paraId="2203FB93" w14:textId="77777777" w:rsidR="00B10FA3" w:rsidRPr="00EB7321" w:rsidRDefault="00B10FA3" w:rsidP="6375CABF">
      <w:pPr>
        <w:spacing w:line="480" w:lineRule="auto"/>
        <w:rPr>
          <w:i/>
          <w:iCs/>
        </w:rPr>
      </w:pPr>
      <w:r w:rsidRPr="00EB7321">
        <w:rPr>
          <w:i/>
          <w:iCs/>
        </w:rPr>
        <w:t xml:space="preserve">     </w:t>
      </w:r>
      <w:r w:rsidRPr="00EB7321">
        <w:rPr>
          <w:b/>
          <w:bCs/>
          <w:i/>
          <w:iCs/>
          <w:sz w:val="28"/>
          <w:szCs w:val="28"/>
        </w:rPr>
        <w:t>Where we Find Ourselves Today</w:t>
      </w:r>
      <w:r w:rsidRPr="00EB7321">
        <w:rPr>
          <w:i/>
          <w:iCs/>
        </w:rPr>
        <w:t xml:space="preserve"> </w:t>
      </w:r>
    </w:p>
    <w:p w14:paraId="0DD70CDF" w14:textId="77777777" w:rsidR="00B10FA3" w:rsidRDefault="00B10FA3" w:rsidP="6375CABF">
      <w:pPr>
        <w:spacing w:line="480" w:lineRule="auto"/>
      </w:pPr>
      <w:r>
        <w:t xml:space="preserve">     Before delving into the issue of men and identity, much less the more profound issue of defining masculinity in modern America, I must demure: few discuss masculinity in the US, much less its redefinition. One might say that, in any substantive sense, that the issue is largely invisible, ‘masked’ as if it were part of Covid-19. The reasons behind this are topics for another book, but it should be stated that serious discussion of masculinity issues in the US are largely denied, ignored, or displaced to other areas, such as race or gender.</w:t>
      </w:r>
    </w:p>
    <w:p w14:paraId="2860E370" w14:textId="5124E7AE" w:rsidR="6375CABF" w:rsidRDefault="6375CABF" w:rsidP="6375CABF">
      <w:pPr>
        <w:spacing w:line="480" w:lineRule="auto"/>
      </w:pPr>
    </w:p>
    <w:p w14:paraId="0E159205" w14:textId="77777777" w:rsidR="00B10FA3" w:rsidRPr="00EB7321" w:rsidRDefault="00B10FA3" w:rsidP="6375CABF">
      <w:pPr>
        <w:spacing w:line="480" w:lineRule="auto"/>
        <w:rPr>
          <w:i/>
          <w:iCs/>
        </w:rPr>
      </w:pPr>
      <w:r>
        <w:t xml:space="preserve">     </w:t>
      </w:r>
      <w:r w:rsidRPr="00EB7321">
        <w:rPr>
          <w:b/>
          <w:bCs/>
          <w:i/>
          <w:iCs/>
          <w:sz w:val="28"/>
          <w:szCs w:val="28"/>
        </w:rPr>
        <w:t>Identity and Behavior of Men</w:t>
      </w:r>
    </w:p>
    <w:p w14:paraId="6C8F7679" w14:textId="77777777" w:rsidR="00B10FA3" w:rsidRDefault="00B10FA3" w:rsidP="6375CABF">
      <w:pPr>
        <w:spacing w:line="480" w:lineRule="auto"/>
      </w:pPr>
      <w:r>
        <w:t xml:space="preserve">         It is common to describe typical American white men today as “angry,” although the greater specifics of cause and relation are less clear. But, given that the concept is, itself a fact of modern discourse, it is worth investigating. Apparently. Today, many white men look back upon the past (perhaps defined as roughly 1970-2000) as a golden era, and one that has been displaced by the foreign and undeserving “other.” Just what that ‘other’ represents is a bit more complicated. </w:t>
      </w:r>
    </w:p>
    <w:p w14:paraId="56C0E3AF" w14:textId="77777777" w:rsidR="00B10FA3" w:rsidRDefault="00B10FA3" w:rsidP="6375CABF">
      <w:pPr>
        <w:spacing w:line="480" w:lineRule="auto"/>
      </w:pPr>
      <w:r>
        <w:t xml:space="preserve">     As the issue has been defined as a “lost world” for white men, the reaction has been multifarious; some men grow depressed and passive, withdrawing into video gaming and non-involvement in culture. Others become more proactive, utilizing social media to advance the idea that manhood should be re-established.</w:t>
      </w:r>
      <w:r>
        <w:rPr>
          <w:rStyle w:val="FootnoteReference"/>
        </w:rPr>
        <w:footnoteReference w:id="183"/>
      </w:r>
      <w:r>
        <w:t xml:space="preserve"> What is odd in the American context is </w:t>
      </w:r>
      <w:r>
        <w:lastRenderedPageBreak/>
        <w:t>that the anger seems to transcend class lines – the inherited and comfortable show a discomfort with modern trends that were traditionally restricted to the working classes and the poor. Might America be a “warrior” culture that has given up on men as nurturers, and that fears anger in women? Is this where “</w:t>
      </w:r>
      <w:r w:rsidRPr="6375CABF">
        <w:rPr>
          <w:i/>
          <w:iCs/>
        </w:rPr>
        <w:t>Karen</w:t>
      </w:r>
      <w:r>
        <w:t>” was born?</w:t>
      </w:r>
      <w:r>
        <w:rPr>
          <w:rStyle w:val="FootnoteReference"/>
        </w:rPr>
        <w:footnoteReference w:id="184"/>
      </w:r>
      <w:r>
        <w:t xml:space="preserve"> Anger in America is a phenomenon that is both natively driven by demographic changes and stoked hard by political interests.</w:t>
      </w:r>
    </w:p>
    <w:p w14:paraId="40EBA7C9" w14:textId="77777777" w:rsidR="00B10FA3" w:rsidRDefault="00B10FA3" w:rsidP="6375CABF">
      <w:pPr>
        <w:spacing w:line="480" w:lineRule="auto"/>
      </w:pPr>
      <w:r>
        <w:t xml:space="preserve">     Are American men angry, or just throwing a collective fit? Within the past decade, the number of young adult men between the ages of 18-24 living at home has exceeded 50%. Video games have replaced nights out with friends – or dates – and parents have acquiesced in the behavior. Previously, young men entered young adulthood with a modicum of education, followed by a job, by which they could ascend to a higher status. The traditional signs of a man were implicit: independent, employed, adequately educated.</w:t>
      </w:r>
      <w:r>
        <w:rPr>
          <w:rStyle w:val="FootnoteReference"/>
        </w:rPr>
        <w:footnoteReference w:id="185"/>
      </w:r>
      <w:r>
        <w:t xml:space="preserve"> </w:t>
      </w:r>
    </w:p>
    <w:p w14:paraId="2B90A37C" w14:textId="77777777" w:rsidR="00B10FA3" w:rsidRDefault="00B10FA3" w:rsidP="6375CABF">
      <w:pPr>
        <w:spacing w:line="480" w:lineRule="auto"/>
      </w:pPr>
      <w:r>
        <w:t xml:space="preserve">     Modern American men exhibit signs of “</w:t>
      </w:r>
      <w:r w:rsidRPr="6375CABF">
        <w:rPr>
          <w:i/>
          <w:iCs/>
        </w:rPr>
        <w:t>immaturity</w:t>
      </w:r>
      <w:r>
        <w:t>,” as they deign previous markers of responsibility such as jobs or education, preferring the safety of home living and the instant gratification of the online world. Such is a throwback to a critique of American culture in the 1970s by historian Christopher Lasch, which identified modern consumer culture with a superficial understanding of aging, and a consumer driven need to promote eternal youth, at the expense of appreciating the real advantage of the perspective of seniors.</w:t>
      </w:r>
      <w:r>
        <w:rPr>
          <w:rStyle w:val="FootnoteReference"/>
        </w:rPr>
        <w:footnoteReference w:id="186"/>
      </w:r>
    </w:p>
    <w:p w14:paraId="66DCA13D" w14:textId="77777777" w:rsidR="00B10FA3" w:rsidRDefault="00B10FA3" w:rsidP="6375CABF">
      <w:pPr>
        <w:spacing w:line="480" w:lineRule="auto"/>
      </w:pPr>
      <w:r>
        <w:t xml:space="preserve">     Adult immaturity has many manifestations, ranging from the refusal to take responsibility for one’s actions, to the adoption of hobbies or activities that, while juvenile, take on adult </w:t>
      </w:r>
      <w:r>
        <w:lastRenderedPageBreak/>
        <w:t xml:space="preserve">implications. An example of this behavior is the “little league” father who supports his son, attending his games, but who becomes out of control at a bad or questionable call by an umpire. In this case, the role of parent, playmate and authority becomes confused or distorted. </w:t>
      </w:r>
      <w:r>
        <w:rPr>
          <w:rStyle w:val="FootnoteReference"/>
        </w:rPr>
        <w:footnoteReference w:id="187"/>
      </w:r>
    </w:p>
    <w:p w14:paraId="39228F28" w14:textId="77777777" w:rsidR="00B10FA3" w:rsidRDefault="00B10FA3" w:rsidP="6375CABF">
      <w:pPr>
        <w:spacing w:line="480" w:lineRule="auto"/>
      </w:pPr>
      <w:r>
        <w:t xml:space="preserve">         Masculinity, of course, is not a single thing belonging to a single class. Traditionally, there are masculinities of a hegemonic, or superior, sort, and other masculinities that ascribe themselves to working class and poor populations. What might they have in common? Well, in the first place, ‘acts of manhood’ tend to claim privilege, to elicit deference and to exhibit a form of resistance.</w:t>
      </w:r>
      <w:r>
        <w:rPr>
          <w:rStyle w:val="FootnoteReference"/>
        </w:rPr>
        <w:footnoteReference w:id="188"/>
      </w:r>
      <w:r>
        <w:t xml:space="preserve"> Men tend to avoid behavior that, in some way, indicates an empathy with the feminine. This posture might be transferred to children, if, for example, a man controls the type or gender of doll with which his son plays. Other acts of manhood include creating a fear in others; in this case, masculinity has taken on an aggressive and potentially violent guise. However, the display of masculinity can be both active and passive. In the former, violence and threat is present; in the latter, non-compliance (such as refusing to study at school) might serve a similar purpose of gender protest.</w:t>
      </w:r>
    </w:p>
    <w:p w14:paraId="7DDABDE1" w14:textId="77777777" w:rsidR="00B10FA3" w:rsidRDefault="00B10FA3" w:rsidP="6375CABF">
      <w:pPr>
        <w:spacing w:line="480" w:lineRule="auto"/>
      </w:pPr>
      <w:r>
        <w:t xml:space="preserve">      One might ask, ‘where have the men gone?’ And it is a real concern, with real life implications. In the contemporary US, men increasingly don’t attend university; they often live at home with parents, they play video games and avoid interacting with the world. They appear to lack both goals and aspiration. As passive observers, they become vulnerable to simplistic, emotionally driven political appeals. Previous political leaders, such as former President George W. Bush preached a message of simplism, what some critics called ‘magical </w:t>
      </w:r>
      <w:r>
        <w:lastRenderedPageBreak/>
        <w:t xml:space="preserve">thinking’: </w:t>
      </w:r>
      <w:r w:rsidRPr="6375CABF">
        <w:rPr>
          <w:i/>
          <w:iCs/>
        </w:rPr>
        <w:t>American is #1. Freedom in the US exceeds other countries. We cannot err. We are the guarantors of world peace.</w:t>
      </w:r>
      <w:r>
        <w:rPr>
          <w:rStyle w:val="FootnoteReference"/>
        </w:rPr>
        <w:footnoteReference w:id="189"/>
      </w:r>
      <w:r>
        <w:t xml:space="preserve"> </w:t>
      </w:r>
    </w:p>
    <w:p w14:paraId="4BB36476" w14:textId="77777777" w:rsidR="00B10FA3" w:rsidRDefault="00B10FA3" w:rsidP="6375CABF">
      <w:pPr>
        <w:spacing w:line="480" w:lineRule="auto"/>
      </w:pPr>
      <w:r>
        <w:t xml:space="preserve">     In 1970, Charles Reich published </w:t>
      </w:r>
      <w:r w:rsidRPr="6375CABF">
        <w:rPr>
          <w:i/>
          <w:iCs/>
        </w:rPr>
        <w:t>The Greening of America</w:t>
      </w:r>
      <w:r>
        <w:t>, which took a critical view of American culture, past present and future, with more than a touch of gender examination. Reich posited three periods of American history, which he termed Consciousness I, II and III. Consciousness I was the rigor of the frontier – the survival instinct that allowed people to adapt to an unfamiliar environment. Consciousness II represented the Industrial Revolution, and the manifest changes that accompanied it, including class newly formed class divisions, wealth distribution, and adherence to a new set of economic principles, often referred to as Manchester liberalism or Classical economics.</w:t>
      </w:r>
    </w:p>
    <w:p w14:paraId="3C21E94B" w14:textId="77777777" w:rsidR="00B10FA3" w:rsidRDefault="00B10FA3" w:rsidP="6375CABF">
      <w:pPr>
        <w:spacing w:line="480" w:lineRule="auto"/>
      </w:pPr>
      <w:r>
        <w:t xml:space="preserve">      Consciousness III represented many of the values of the mid and late 1960s: personal freedom, egalitarianism, and tolerance for insight, often with the assistance of recreational drugs.</w:t>
      </w:r>
      <w:r>
        <w:rPr>
          <w:rStyle w:val="FootnoteReference"/>
        </w:rPr>
        <w:footnoteReference w:id="190"/>
      </w:r>
      <w:r>
        <w:t xml:space="preserve"> At the time, it was seen as the attainment of a better, more comprehensive, insightful and socially conscious means of viewing the world and social relations. </w:t>
      </w:r>
    </w:p>
    <w:p w14:paraId="7BFFC7B2" w14:textId="77777777" w:rsidR="00B10FA3" w:rsidRDefault="00B10FA3" w:rsidP="6375CABF">
      <w:pPr>
        <w:spacing w:line="480" w:lineRule="auto"/>
      </w:pPr>
      <w:r>
        <w:t xml:space="preserve">     By the late 1970s, cultural critics, such as Christopher Lasch were lumping men with women as “slaves to glamour,’ the implication being that, having been removed (or exiled) from difficult, physical labor, that men had lost the values of thrift, hard work, and basic puritanical conservatism. In short, they had lost their </w:t>
      </w:r>
      <w:proofErr w:type="spellStart"/>
      <w:r>
        <w:t>cohones</w:t>
      </w:r>
      <w:proofErr w:type="spellEnd"/>
      <w:r>
        <w:t xml:space="preserve">. </w:t>
      </w:r>
      <w:r>
        <w:rPr>
          <w:rStyle w:val="FootnoteReference"/>
        </w:rPr>
        <w:footnoteReference w:id="191"/>
      </w:r>
    </w:p>
    <w:p w14:paraId="1E9CF59F" w14:textId="77777777" w:rsidR="00B10FA3" w:rsidRDefault="00B10FA3" w:rsidP="6375CABF">
      <w:pPr>
        <w:spacing w:line="480" w:lineRule="auto"/>
      </w:pPr>
      <w:r>
        <w:t xml:space="preserve">     The election of Barack Obama in 2008 created a crisis of masculinity that cut across class lines. In the first place, Obama was not a typical African American – he was actually African, </w:t>
      </w:r>
      <w:r>
        <w:lastRenderedPageBreak/>
        <w:t xml:space="preserve">removed by one generation. Second, he was educated – highly educated – a Harvard Law grad, and constitutional professor at the University of Chicago. So, he was a tough nut to crack, politically speaking. </w:t>
      </w:r>
    </w:p>
    <w:p w14:paraId="06879547" w14:textId="46DE4645" w:rsidR="00B10FA3" w:rsidRDefault="00B10FA3" w:rsidP="6375CABF">
      <w:pPr>
        <w:spacing w:line="480" w:lineRule="auto"/>
      </w:pPr>
      <w:r>
        <w:t xml:space="preserve">     His opponent, John McCain, tried to utilize the standard American political tactics of toughness, anger, and moralism, regarding abortion. He appealed to class issues, using “Joe the Plumber,” a staged video to demonstrate his working</w:t>
      </w:r>
      <w:r w:rsidR="24D23C09">
        <w:t>-</w:t>
      </w:r>
      <w:r>
        <w:t xml:space="preserve">class credentials, to limited approval. Obama wore a swagger; he was ‘cool’ and unfettered by McCains anger. He was the professor who could inspire empathy, while remaining a confident, progressive man. He was immune from accusations of effeminacy, and his worse flaw was, perhaps, of being perceived as too educated – perhaps even (to use a pejorative racial slur) </w:t>
      </w:r>
      <w:r w:rsidRPr="6375CABF">
        <w:rPr>
          <w:i/>
          <w:iCs/>
        </w:rPr>
        <w:t>uppity.</w:t>
      </w:r>
      <w:r>
        <w:rPr>
          <w:rStyle w:val="FootnoteReference"/>
        </w:rPr>
        <w:footnoteReference w:id="192"/>
      </w:r>
      <w:r>
        <w:t xml:space="preserve"> </w:t>
      </w:r>
    </w:p>
    <w:p w14:paraId="1A768755" w14:textId="77777777" w:rsidR="00B10FA3" w:rsidRDefault="00B10FA3" w:rsidP="6375CABF">
      <w:pPr>
        <w:spacing w:line="480" w:lineRule="auto"/>
      </w:pPr>
      <w:r>
        <w:t xml:space="preserve">     As the country moved into the Trump years, a different model of masculinity was presented; “Trumpism” seemed to represent a kind of last gasp of holding onto traditional patriarchal themes. White male privilege was a third rail of sorts in American culture, and Donald Trump was able to tap into deep gender insecurity in sectors of the country. His brand of behavior is what some term “toxic masculinity,” an unforgiving, unyielding, intolerant, unapologetic form of male behavior that thrives on competition and ‘winning,’ whatever that might mean. There are clear undertones of violence – both verbal and physical – in the position. Women, either implicitly or explicitly, are the enemy, as are ‘non-traditional’ males.</w:t>
      </w:r>
      <w:r>
        <w:rPr>
          <w:rStyle w:val="FootnoteReference"/>
        </w:rPr>
        <w:footnoteReference w:id="193"/>
      </w:r>
      <w:r>
        <w:t xml:space="preserve"> Intellect is a suspect quality, and empathy is akin to weakness. In </w:t>
      </w:r>
      <w:r>
        <w:lastRenderedPageBreak/>
        <w:t>essence, it is a performance mode of masculinity, regularly reaffirming itself in its relentlessness. Political issues are morphed into tests of manhood: climate change, welfare and civil rights are effeminized as issues, as are any policies that contribute to ‘nurturing’ within the society. Again, the slight to female virtues is central to toxic masculinity. Of course, the gun is prominent as the ultimate defense of toxic masculinity. It represents the metaphor of defense against The Other, and ensures a literal, if lethal guarantee of personal status to the possessor.</w:t>
      </w:r>
      <w:r>
        <w:rPr>
          <w:rStyle w:val="FootnoteReference"/>
        </w:rPr>
        <w:footnoteReference w:id="194"/>
      </w:r>
      <w:r>
        <w:t xml:space="preserve">     </w:t>
      </w:r>
    </w:p>
    <w:p w14:paraId="503286BE" w14:textId="77777777" w:rsidR="00B10FA3" w:rsidRDefault="00B10FA3" w:rsidP="6375CABF">
      <w:pPr>
        <w:spacing w:line="480" w:lineRule="auto"/>
      </w:pPr>
      <w:r>
        <w:t xml:space="preserve">     Of course, the baseline of toxic masculinity is fear; fear of women, fear of modernity, fear of cultural change, fear of evolving sexual norms, fear of decline and status loss. The symptoms can be puzzling; men refusing to go to the doctor – as the diagnosis of a hindered body might suggest weakness. Recall Donald Trump’s obsession with the size of his hands as suggesting that he was deficient in other areas. Images of violence, death and mayhem feed an apparently insatiable appetite of frustrated, confused men, often with tragic results.</w:t>
      </w:r>
    </w:p>
    <w:p w14:paraId="3D681013" w14:textId="77777777" w:rsidR="00B10FA3" w:rsidRDefault="00B10FA3" w:rsidP="6375CABF">
      <w:pPr>
        <w:spacing w:line="480" w:lineRule="auto"/>
      </w:pPr>
      <w:r>
        <w:t xml:space="preserve">     These trends are not new. Mirra Komarovsky’s </w:t>
      </w:r>
      <w:r w:rsidRPr="6375CABF">
        <w:rPr>
          <w:i/>
          <w:iCs/>
        </w:rPr>
        <w:t>Dilemmas of Masculinity</w:t>
      </w:r>
      <w:r>
        <w:t xml:space="preserve"> was published in 1976, and dealt with research dating from 1969 on male college seniors at Columbia College. Her research showed that over three quarters of her research subjects felt “role strain” in their heterosexual relationships. While nearly half of the subjects supported the idea of women’s equality in the workplace, many had reservations about equal responsibility in the private sphere of the home, preferring a more traditional role for their partners. This </w:t>
      </w:r>
      <w:r>
        <w:lastRenderedPageBreak/>
        <w:t>divergency, she found, comprised a “major ideological roadblock” to the institutional changes that would be necessary to effect equal opportunity between the sexes.</w:t>
      </w:r>
      <w:r>
        <w:rPr>
          <w:rStyle w:val="FootnoteReference"/>
        </w:rPr>
        <w:footnoteReference w:id="195"/>
      </w:r>
    </w:p>
    <w:p w14:paraId="5C3D75B4" w14:textId="77777777" w:rsidR="00B10FA3" w:rsidRDefault="00B10FA3" w:rsidP="6375CABF">
      <w:pPr>
        <w:spacing w:line="480" w:lineRule="auto"/>
      </w:pPr>
      <w:r>
        <w:t xml:space="preserve">     Komarovsky found that, in her research, that the dominant ideal of masculinity in 1969 “assumed a right of power and privilege” to men. At the time of her research, the gay liberation movement was still in its infancy, and data relating to gay male conceptions of masculinity were hard to come by. But by the 1980s, when the term “angry white male” began to circulate, white men still held privileged status, but cultural and demographic shifts were challenging that status. Men had less cache in what she terms “the rewards for role conformity.”</w:t>
      </w:r>
      <w:r>
        <w:rPr>
          <w:rStyle w:val="FootnoteReference"/>
        </w:rPr>
        <w:footnoteReference w:id="196"/>
      </w:r>
      <w:r>
        <w:t xml:space="preserve">   </w:t>
      </w:r>
    </w:p>
    <w:p w14:paraId="3CD95B33" w14:textId="77777777" w:rsidR="00B10FA3" w:rsidRDefault="00B10FA3" w:rsidP="6375CABF">
      <w:pPr>
        <w:spacing w:line="480" w:lineRule="auto"/>
      </w:pPr>
      <w:r>
        <w:t xml:space="preserve">     But toxicity doesn’t emerge from nowhere – yes, it is stoked and manipulated through right wing media circles for cynical purposes, but there are, without a doubt, real issues that men are responding to. Consider, for example, that 78% of suicides in the US are men; that three quarters of children of divorce are given to the wife as custodian, that men constitute the overwhelming number of casualties in war, that they live significantly shorter lives than women, and that they experience high levels of (typically unreported) domestic </w:t>
      </w:r>
      <w:r w:rsidRPr="6375CABF">
        <w:rPr>
          <w:i/>
          <w:iCs/>
        </w:rPr>
        <w:t>violence</w:t>
      </w:r>
      <w:r>
        <w:t>.</w:t>
      </w:r>
      <w:r>
        <w:rPr>
          <w:rStyle w:val="FootnoteReference"/>
        </w:rPr>
        <w:footnoteReference w:id="197"/>
      </w:r>
      <w:r>
        <w:t xml:space="preserve"> </w:t>
      </w:r>
    </w:p>
    <w:p w14:paraId="798C8113" w14:textId="77777777" w:rsidR="00B10FA3" w:rsidRDefault="00B10FA3" w:rsidP="6375CABF">
      <w:pPr>
        <w:spacing w:line="480" w:lineRule="auto"/>
      </w:pPr>
      <w:r>
        <w:t xml:space="preserve">     Listeners to the late right wing radio host Rush Limbaugh shared many characteristics: his fans tended to be white, middle aged, and interestingly, </w:t>
      </w:r>
      <w:r w:rsidRPr="6375CABF">
        <w:rPr>
          <w:i/>
          <w:iCs/>
        </w:rPr>
        <w:t>childless</w:t>
      </w:r>
      <w:r>
        <w:t xml:space="preserve">. While this may seem like an unimportant detail on the surface, childlessness can be related to a lack of connection with community (school, activities, social clubs etc.) and can suggest a form of alienation from the immediate society around them. Limbaugh was able to channel white male anger </w:t>
      </w:r>
      <w:r>
        <w:lastRenderedPageBreak/>
        <w:t xml:space="preserve">and to redefine it as </w:t>
      </w:r>
      <w:r w:rsidRPr="6375CABF">
        <w:rPr>
          <w:i/>
          <w:iCs/>
        </w:rPr>
        <w:t>victimhood</w:t>
      </w:r>
      <w:r>
        <w:t>, an ironic pose for a movement that sought to reinforce masculine values.</w:t>
      </w:r>
      <w:r>
        <w:rPr>
          <w:rStyle w:val="FootnoteReference"/>
        </w:rPr>
        <w:footnoteReference w:id="198"/>
      </w:r>
    </w:p>
    <w:p w14:paraId="1E40B608" w14:textId="77777777" w:rsidR="00B10FA3" w:rsidRDefault="00B10FA3" w:rsidP="6375CABF">
      <w:pPr>
        <w:spacing w:line="480" w:lineRule="auto"/>
      </w:pPr>
      <w:r>
        <w:t xml:space="preserve">     Victimhood may be an overstatement for the status of white men, but </w:t>
      </w:r>
      <w:r w:rsidRPr="6375CABF">
        <w:rPr>
          <w:i/>
          <w:iCs/>
        </w:rPr>
        <w:t>undervalued demographic group</w:t>
      </w:r>
      <w:r>
        <w:t xml:space="preserve"> might fit a little better. Sociologist Michael Kimmel promoted a “good men project,” which was aimed at promoting fathers family rights, and to ensure an equitable distribution of rights over reproductive issues. Kimmel’s arguments are nuanced; men might be disadvantaged but not discriminated. The biggest fear, he says, is invisibility; that men find themselves </w:t>
      </w:r>
      <w:r w:rsidRPr="6375CABF">
        <w:rPr>
          <w:i/>
          <w:iCs/>
        </w:rPr>
        <w:t>unrecognized</w:t>
      </w:r>
      <w:r>
        <w:t xml:space="preserve">, and, by extension, unknown and irrelevant. </w:t>
      </w:r>
    </w:p>
    <w:p w14:paraId="33941BC3" w14:textId="77777777" w:rsidR="00B10FA3" w:rsidRDefault="00B10FA3" w:rsidP="6375CABF">
      <w:pPr>
        <w:spacing w:line="480" w:lineRule="auto"/>
      </w:pPr>
      <w:r>
        <w:t xml:space="preserve">     Covid 19 and policy pronouncements brought out lingering aspects of American masculinity, such as the resistance to wear masks. Some of this had been played out during the AIDS epidemic, when use of condoms were argued against sexual abstinence. In the end, condoms made AIDs transmission less likely, but, in the case of Covid, the cure seemed to herald a stigma  - a limitation, if you will, for a sizeable portion of the population.</w:t>
      </w:r>
    </w:p>
    <w:p w14:paraId="53F9CCEC" w14:textId="46546C48" w:rsidR="00B10FA3" w:rsidRDefault="00B10FA3" w:rsidP="6375CABF">
      <w:pPr>
        <w:spacing w:line="480" w:lineRule="auto"/>
      </w:pPr>
      <w:r>
        <w:t xml:space="preserve">      President Trump stated categorically that mask wearing equaled ‘weakness’ in personal character – that it was an unmanly act. One could extrapolate from this posture that masks might make the President himself and his administration appeal feeble, though the logic seems strained. A journalist for </w:t>
      </w:r>
      <w:r w:rsidRPr="6375CABF">
        <w:rPr>
          <w:i/>
          <w:iCs/>
        </w:rPr>
        <w:t>The Atlantic</w:t>
      </w:r>
      <w:r>
        <w:t>, however, argues that the very existence of masks reminded us – on a daily basis – of the persistence of the pandemic, and that this was the essential crossing-point of image and policy.</w:t>
      </w:r>
      <w:r>
        <w:rPr>
          <w:rStyle w:val="FootnoteReference"/>
        </w:rPr>
        <w:footnoteReference w:id="199"/>
      </w:r>
    </w:p>
    <w:p w14:paraId="313765B5" w14:textId="77777777" w:rsidR="00B10FA3" w:rsidRDefault="00B10FA3" w:rsidP="6375CABF">
      <w:pPr>
        <w:spacing w:line="480" w:lineRule="auto"/>
      </w:pPr>
      <w:r>
        <w:t xml:space="preserve">      Harkening back to the 1970s, American white masculinity had some unlikely heroes – like Bernard Goetz, who, in the late 70s, shot several young black men on a NYC subway when he </w:t>
      </w:r>
      <w:r>
        <w:lastRenderedPageBreak/>
        <w:t>was confronted. Goetz was the Pee Wee Herman of physical gender definition; the most unlikely hero for a generation of white men who felt besieged by immigrants in NYC. But the fact that he was elevated to stardom indicates the level of anxiety prevalent in the US at the time.</w:t>
      </w:r>
      <w:r>
        <w:rPr>
          <w:rStyle w:val="FootnoteReference"/>
        </w:rPr>
        <w:footnoteReference w:id="200"/>
      </w:r>
    </w:p>
    <w:p w14:paraId="3545A0C7" w14:textId="77777777" w:rsidR="00B10FA3" w:rsidRPr="00967F95" w:rsidRDefault="00B10FA3" w:rsidP="6375CABF">
      <w:pPr>
        <w:spacing w:line="480" w:lineRule="auto"/>
      </w:pPr>
      <w:r>
        <w:t xml:space="preserve">      Years later, Hillary Clinton served as the foil for right wing-masculinist propaganda. Clinton was a centrist Democrat who had supported the devastating attack on Iraq – she was no progressive – but she had attracted the attention of the DNC. She was well connected, well financed and articulate. The only problem was that she found herself enormously unpopular in rural America. Now, if we return to Thomas Frank and his fine work </w:t>
      </w:r>
      <w:r w:rsidRPr="6375CABF">
        <w:rPr>
          <w:i/>
          <w:iCs/>
        </w:rPr>
        <w:t>Listen Liberal</w:t>
      </w:r>
      <w:r>
        <w:t xml:space="preserve"> we can better make sense of her unpopularity, but the shorthand is that she simply lacked any connection to large swathes of the American electorate, especially among those lower middle class and working class voters who had formed the backbone of the Democratic Party for decades. And while she might have blamed FBI director James Comey, Democratic Senator Bernie Sanders and others for her loss, it appears likely that H. Clinton did not fit the gender preference of the day; she was white, educated, and privileged – but she was also female and outspoken about issues – not a winning political strategy in the reactionary year of 2016.</w:t>
      </w:r>
      <w:r>
        <w:rPr>
          <w:rStyle w:val="FootnoteReference"/>
        </w:rPr>
        <w:footnoteReference w:customMarkFollows="1" w:id="201"/>
        <w:t>65</w:t>
      </w:r>
    </w:p>
    <w:p w14:paraId="4B35CBD5" w14:textId="77777777" w:rsidR="00B10FA3" w:rsidRDefault="00B10FA3" w:rsidP="6375CABF">
      <w:pPr>
        <w:spacing w:line="480" w:lineRule="auto"/>
      </w:pPr>
      <w:r>
        <w:t xml:space="preserve">     The dominant male gender trope by 2016 was </w:t>
      </w:r>
      <w:r w:rsidRPr="6375CABF">
        <w:rPr>
          <w:i/>
          <w:iCs/>
        </w:rPr>
        <w:t>macho</w:t>
      </w:r>
      <w:r>
        <w:t xml:space="preserve">, a style of masculinity that was considered a joke for several decades, at least in the US. Macho was a direct appeal to male physical strength, virility, and sex appeal. It was gaudy, overt and shameless. It exhibited a </w:t>
      </w:r>
      <w:r>
        <w:lastRenderedPageBreak/>
        <w:t>hyper masculine style that assumed the subordination of women – and, it could be violent. Macho was the antithesis of educated, brainy, restrained. It turned Obama on its head – macho was full on testosterone as the test of character. Some, such as Stephen Miller and Steve Bannon subscribed to these values, and tried to repackage them as political tools.</w:t>
      </w:r>
    </w:p>
    <w:p w14:paraId="25584AAE" w14:textId="387E2056" w:rsidR="6375CABF" w:rsidRDefault="6375CABF" w:rsidP="6375CABF">
      <w:pPr>
        <w:spacing w:line="480" w:lineRule="auto"/>
      </w:pPr>
    </w:p>
    <w:p w14:paraId="69D9868A" w14:textId="77777777" w:rsidR="00B10FA3" w:rsidRPr="00EB7321" w:rsidRDefault="00B10FA3" w:rsidP="6375CABF">
      <w:pPr>
        <w:spacing w:line="480" w:lineRule="auto"/>
        <w:rPr>
          <w:b/>
          <w:bCs/>
          <w:i/>
          <w:iCs/>
          <w:sz w:val="28"/>
          <w:szCs w:val="28"/>
        </w:rPr>
      </w:pPr>
      <w:r w:rsidRPr="00EB7321">
        <w:rPr>
          <w:b/>
          <w:bCs/>
          <w:i/>
          <w:iCs/>
        </w:rPr>
        <w:t xml:space="preserve">     </w:t>
      </w:r>
      <w:r w:rsidRPr="00EB7321">
        <w:rPr>
          <w:b/>
          <w:bCs/>
          <w:i/>
          <w:iCs/>
          <w:sz w:val="28"/>
          <w:szCs w:val="28"/>
        </w:rPr>
        <w:t>Masculinity as Metaphor</w:t>
      </w:r>
    </w:p>
    <w:p w14:paraId="590B4601" w14:textId="77777777" w:rsidR="00B10FA3" w:rsidRPr="002A417B" w:rsidRDefault="00B10FA3" w:rsidP="6375CABF">
      <w:pPr>
        <w:spacing w:line="480" w:lineRule="auto"/>
      </w:pPr>
      <w:r>
        <w:t xml:space="preserve">     The relative loss of societal power by white men over the past half century is, in part due to a simple shift in demographics, as other groups have increased in population. Other factors include legislation that has either provided opportunities to traditionally underprivileged groups (often referred to as affirmative action or “positive” or “promotive” rectification of a societal issue), or legislation designed to remove an impediment to a civil or economic right (termed a “negative” rectification – or one that removes a prejudice to achieve a positive goal).</w:t>
      </w:r>
    </w:p>
    <w:p w14:paraId="20898775" w14:textId="77777777" w:rsidR="00B10FA3" w:rsidRDefault="00B10FA3" w:rsidP="6375CABF">
      <w:pPr>
        <w:spacing w:line="480" w:lineRule="auto"/>
      </w:pPr>
      <w:r w:rsidRPr="6375CABF">
        <w:rPr>
          <w:sz w:val="28"/>
          <w:szCs w:val="28"/>
        </w:rPr>
        <w:t xml:space="preserve">     </w:t>
      </w:r>
      <w:r>
        <w:t xml:space="preserve">Equally significant have been societal and attitudinal shifts that have rendered certain forms of traditional behavior either suspect or obsolete. Finally, increased sophistication in technology has rendered certain industries of physical, “masculine” work moribund. </w:t>
      </w:r>
    </w:p>
    <w:p w14:paraId="571E46FB" w14:textId="77777777" w:rsidR="00B10FA3" w:rsidRDefault="00B10FA3" w:rsidP="6375CABF">
      <w:pPr>
        <w:spacing w:line="480" w:lineRule="auto"/>
      </w:pPr>
      <w:r>
        <w:t xml:space="preserve">     At the same time, newly ascendent groups have “celebrated” their identities and successes in very visible ways, whether they be racial gender or sexual identities. White, heterosexual men, however, have found their “identity,” as it were, stereotyped and belittled as harmful. Meaningful attention to masculine characteristics in the modern world has been largely ignored. When it has received attention, it is often from fringe elements of the society, such as white nationalist or misogynist elements that have other, hidden agendas. </w:t>
      </w:r>
    </w:p>
    <w:p w14:paraId="3F95DCDB" w14:textId="1FA386B5" w:rsidR="00B10FA3" w:rsidRDefault="00B10FA3" w:rsidP="6375CABF">
      <w:pPr>
        <w:spacing w:line="480" w:lineRule="auto"/>
      </w:pPr>
      <w:r>
        <w:lastRenderedPageBreak/>
        <w:t xml:space="preserve">     Thus, expressing “masculinity” often becomes a clandestine, symbolic affair; rather than engaging in a societal dialogue about changing sexual norms, </w:t>
      </w:r>
      <w:r w:rsidRPr="008F31B8">
        <w:t>men are often shamed into silence.</w:t>
      </w:r>
      <w:r>
        <w:t xml:space="preserve"> As a result, </w:t>
      </w:r>
      <w:r w:rsidRPr="6375CABF">
        <w:rPr>
          <w:i/>
          <w:iCs/>
        </w:rPr>
        <w:t>the definition of masculinity becomes relegated to the symbolic and metaphorical realm.</w:t>
      </w:r>
      <w:r>
        <w:t xml:space="preserve"> The issue of the day – or the outrage of the week may not itself express the real issue that lies behind. </w:t>
      </w:r>
      <w:r w:rsidR="775E61B1">
        <w:t xml:space="preserve">During </w:t>
      </w:r>
      <w:r>
        <w:t xml:space="preserve">the Covid pandemic, the </w:t>
      </w:r>
      <w:r w:rsidRPr="6375CABF">
        <w:rPr>
          <w:i/>
          <w:iCs/>
        </w:rPr>
        <w:t>protests against mask</w:t>
      </w:r>
      <w:r>
        <w:t xml:space="preserve"> wearing </w:t>
      </w:r>
      <w:r w:rsidR="42CC6EF0">
        <w:t>took</w:t>
      </w:r>
      <w:r>
        <w:t xml:space="preserve"> center stage. But, to be truthful, </w:t>
      </w:r>
      <w:r w:rsidR="6A7DECB5">
        <w:t xml:space="preserve">was </w:t>
      </w:r>
      <w:r>
        <w:t>wearing a mask really the issue here? Is freedom and liberty the issue? I would argue no; that the real issues lay deeper in perceived power loss (don’t tell me what to do), distrust in institutions that have been (often rightly) perceived to be unresponsive to the needs of citizens, and even effeminacy – after all - who wears masks, aside from nurses and vulnerable people? The very act of hiding one’s face is interestingly symbolic, suggesting timidity and an unwillingness to confront ones surroundings in a “manly” way.</w:t>
      </w:r>
      <w:r>
        <w:rPr>
          <w:rStyle w:val="FootnoteReference"/>
        </w:rPr>
        <w:footnoteReference w:id="202"/>
      </w:r>
      <w:r>
        <w:t xml:space="preserve"> The tough guy always removes his sunglasses before a fight.</w:t>
      </w:r>
    </w:p>
    <w:p w14:paraId="734696F2" w14:textId="1CB090C8" w:rsidR="00B10FA3" w:rsidRDefault="00B10FA3" w:rsidP="6375CABF">
      <w:pPr>
        <w:spacing w:line="480" w:lineRule="auto"/>
      </w:pPr>
      <w:r>
        <w:t xml:space="preserve">     Language can be a metaphor for masculinity. Tough guys use violent imagery, negative themes, references to familiar topics like women, sports and anger at the government. Language that references literature, art, self</w:t>
      </w:r>
      <w:r w:rsidR="5E79CB7B">
        <w:t>-</w:t>
      </w:r>
      <w:r>
        <w:t>reflection, empathy or non-conventionality is brainy language, and thus immediately suspect as effeminate, or at least as non-conformist. As mentioned earlier, the biggest fear for many men is being “outed” as not possessing the requisite skills to be a man. Thoughtfulness does not equal effeminacy, and effeminacy does not necessarily equal gay, but such qualities can be useful tools of shaming, as they are associated with a kind of existential failure – a failure of gender.</w:t>
      </w:r>
      <w:r>
        <w:rPr>
          <w:rStyle w:val="FootnoteReference"/>
        </w:rPr>
        <w:footnoteReference w:id="203"/>
      </w:r>
    </w:p>
    <w:p w14:paraId="7619B680" w14:textId="77777777" w:rsidR="00B10FA3" w:rsidRDefault="00B10FA3" w:rsidP="6375CABF">
      <w:pPr>
        <w:spacing w:line="480" w:lineRule="auto"/>
      </w:pPr>
      <w:r>
        <w:lastRenderedPageBreak/>
        <w:t xml:space="preserve">      Some years back, Barack Obama was heavily criticized for referring to portions of the population as overly dependent on their “god, guns and religion</w:t>
      </w:r>
      <w:r w:rsidRPr="6375CABF">
        <w:rPr>
          <w:i/>
          <w:iCs/>
        </w:rPr>
        <w:t>.” Obama had haphazardly wandered into several of the most potent metaphors of masculinity</w:t>
      </w:r>
      <w:r>
        <w:t xml:space="preserve">. Guns, for the simple reason that they served to enhance the danger, and hence the authority, of anyone possessing one. Religion, which in much of the world, such as Europe, might serve as a metaphor for the traditional or the elderly, in the US it is a potent symbol of tradition. One needn’t be a church goer to revel in the “sacred word,” and to utilize that word in ways that preserve a traditional (and to some a divine) order. In this order, women know their place, homosexuality is a sin against nature, the man is the head of the family, sinners will be punished and the righteous will be rewarded. The bible itself is the bulwark against modernism, against change. One needn’t have ever cracked it open to utilize its moral authority to defend a threatened position. Donald Trump was once asked what his </w:t>
      </w:r>
      <w:r>
        <w:rPr>
          <w:rStyle w:val="FootnoteReference"/>
        </w:rPr>
        <w:footnoteReference w:id="204"/>
      </w:r>
      <w:r>
        <w:t>favorite book was, to which he responded “the Bible.” When asked to recite his favorite verse, he paused, unable to recall even one. As a tool, the bible creates a moral shield much in the same way that a gun creates a literal one.</w:t>
      </w:r>
    </w:p>
    <w:p w14:paraId="537B3E9D" w14:textId="77777777" w:rsidR="00B10FA3" w:rsidRPr="004A185E" w:rsidRDefault="00B10FA3" w:rsidP="6375CABF">
      <w:pPr>
        <w:spacing w:line="480" w:lineRule="auto"/>
      </w:pPr>
      <w:r>
        <w:t xml:space="preserve">     The list of metaphors is seemingly endless: vegetarianism, model of car, music (country over Coldplay), choice of sport (NASCAR over tennis), and choice of political affiliation. Climate change suggests environmentalism, fear and internationalism, all associated with effeminacy and weakness. In the end, conservative Republican is a default for two-thirds of </w:t>
      </w:r>
      <w:r>
        <w:lastRenderedPageBreak/>
        <w:t xml:space="preserve">white men in America, though most probably couldn’t define </w:t>
      </w:r>
      <w:r w:rsidRPr="6375CABF">
        <w:rPr>
          <w:i/>
          <w:iCs/>
        </w:rPr>
        <w:t>conservatism</w:t>
      </w:r>
      <w:r>
        <w:t xml:space="preserve"> as an ideology in any substantive way if asked.</w:t>
      </w:r>
    </w:p>
    <w:p w14:paraId="3A1DFF74" w14:textId="77777777" w:rsidR="00B10FA3" w:rsidRDefault="00B10FA3" w:rsidP="6375CABF">
      <w:pPr>
        <w:spacing w:line="480" w:lineRule="auto"/>
      </w:pPr>
      <w:r>
        <w:t xml:space="preserve">      And, of course, there is the metaphor of race. Historians have long explored the metaphor of color and morality as it applies to racial relations in the US. Whiteness has been used as a symbol of purity in American culture (i.e. the KKK), just as blackness has been used as a scourge, the evidence of decay and dirt.</w:t>
      </w:r>
      <w:r>
        <w:rPr>
          <w:rStyle w:val="FootnoteReference"/>
        </w:rPr>
        <w:footnoteReference w:id="205"/>
      </w:r>
    </w:p>
    <w:p w14:paraId="5EEFBE7E" w14:textId="77777777" w:rsidR="00EB7321" w:rsidRDefault="00B10FA3" w:rsidP="6375CABF">
      <w:pPr>
        <w:spacing w:line="480" w:lineRule="auto"/>
      </w:pPr>
      <w:r>
        <w:t xml:space="preserve">     Finally, there is a metaphor of patriotism – the last refuge for scoundrels, as it has often been called. Like religion, the claim of patriotism is intended to confer immediate legitimacy on the person proclaiming it. Three traditional ways of promoting “patriotism” are to: 1. Support small government against the encroachment of power 2. Reduce taxation, which encroaches on liberty 3. Reduce regulations, whether it be on guns, motorcycle helmets, labor or business.</w:t>
      </w:r>
      <w:r>
        <w:rPr>
          <w:rStyle w:val="FootnoteReference"/>
        </w:rPr>
        <w:footnoteReference w:id="206"/>
      </w:r>
      <w:r>
        <w:t xml:space="preserve"> All of these are tied in with the idea – supported by elites – of self</w:t>
      </w:r>
      <w:r w:rsidR="00940299">
        <w:t>-</w:t>
      </w:r>
      <w:r>
        <w:t>sufficiency, of rugged individualism, which is used cynically by monied interests to prov</w:t>
      </w:r>
      <w:r w:rsidR="00940299">
        <w:t xml:space="preserve">ide </w:t>
      </w:r>
    </w:p>
    <w:p w14:paraId="7825E7BD" w14:textId="77777777" w:rsidR="00EB7321" w:rsidRDefault="00EB7321" w:rsidP="6375CABF">
      <w:pPr>
        <w:spacing w:line="480" w:lineRule="auto"/>
      </w:pPr>
    </w:p>
    <w:p w14:paraId="422381A4" w14:textId="77777777" w:rsidR="00EB7321" w:rsidRDefault="00EB7321" w:rsidP="6375CABF">
      <w:pPr>
        <w:spacing w:line="480" w:lineRule="auto"/>
      </w:pPr>
    </w:p>
    <w:p w14:paraId="686E2323" w14:textId="77777777" w:rsidR="00EB7321" w:rsidRDefault="00EB7321" w:rsidP="6375CABF">
      <w:pPr>
        <w:spacing w:line="480" w:lineRule="auto"/>
      </w:pPr>
    </w:p>
    <w:p w14:paraId="2BDDC6A1" w14:textId="67314698" w:rsidR="00B10FA3" w:rsidRPr="00681276" w:rsidRDefault="00B10FA3" w:rsidP="6375CABF">
      <w:pPr>
        <w:spacing w:line="480" w:lineRule="auto"/>
      </w:pPr>
      <w:r>
        <w:t>working and middle-class people a sense of</w:t>
      </w:r>
      <w:r w:rsidRPr="6375CABF">
        <w:rPr>
          <w:i/>
          <w:iCs/>
        </w:rPr>
        <w:t xml:space="preserve"> emotional</w:t>
      </w:r>
      <w:r>
        <w:t xml:space="preserve"> self</w:t>
      </w:r>
      <w:r w:rsidR="00940299">
        <w:t>-</w:t>
      </w:r>
      <w:r>
        <w:t xml:space="preserve">interest that serves to coopt their actual </w:t>
      </w:r>
      <w:r w:rsidRPr="6375CABF">
        <w:rPr>
          <w:i/>
          <w:iCs/>
        </w:rPr>
        <w:t>economic</w:t>
      </w:r>
      <w:r>
        <w:t xml:space="preserve"> interests.</w:t>
      </w:r>
      <w:r>
        <w:rPr>
          <w:rStyle w:val="FootnoteReference"/>
        </w:rPr>
        <w:footnoteReference w:id="207"/>
      </w:r>
    </w:p>
    <w:p w14:paraId="7619DEE2" w14:textId="77777777" w:rsidR="00B10FA3" w:rsidRPr="008D4693" w:rsidRDefault="00B10FA3" w:rsidP="6375CABF">
      <w:pPr>
        <w:spacing w:line="480" w:lineRule="auto"/>
      </w:pPr>
    </w:p>
    <w:p w14:paraId="5988807B" w14:textId="77777777" w:rsidR="00B10FA3" w:rsidRPr="00E826E9" w:rsidRDefault="00B10FA3" w:rsidP="6375CABF">
      <w:pPr>
        <w:spacing w:line="480" w:lineRule="auto"/>
      </w:pPr>
    </w:p>
    <w:p w14:paraId="64B5DC9A" w14:textId="77777777" w:rsidR="00B10FA3" w:rsidRPr="005409A9" w:rsidRDefault="00B10FA3" w:rsidP="6375CABF">
      <w:pPr>
        <w:spacing w:line="480" w:lineRule="auto"/>
      </w:pPr>
      <w:r>
        <w:t xml:space="preserve">     </w:t>
      </w:r>
    </w:p>
    <w:bookmarkEnd w:id="1"/>
    <w:p w14:paraId="2FDCEBB2" w14:textId="77777777" w:rsidR="00B10FA3" w:rsidRPr="005409A9" w:rsidRDefault="00B10FA3" w:rsidP="6375CABF">
      <w:pPr>
        <w:spacing w:line="480" w:lineRule="auto"/>
      </w:pPr>
    </w:p>
    <w:p w14:paraId="00C5DB00" w14:textId="77777777" w:rsidR="00B10FA3" w:rsidRDefault="00B10FA3" w:rsidP="6375CABF">
      <w:pPr>
        <w:spacing w:line="480" w:lineRule="auto"/>
      </w:pPr>
    </w:p>
    <w:p w14:paraId="3CAC7B60" w14:textId="77777777" w:rsidR="00B10FA3" w:rsidRDefault="00B10FA3" w:rsidP="6375CABF">
      <w:pPr>
        <w:spacing w:line="480" w:lineRule="auto"/>
      </w:pPr>
    </w:p>
    <w:p w14:paraId="3B1460FA" w14:textId="77777777" w:rsidR="00B10FA3" w:rsidRDefault="00B10FA3" w:rsidP="6375CABF">
      <w:pPr>
        <w:spacing w:line="480" w:lineRule="auto"/>
      </w:pPr>
    </w:p>
    <w:p w14:paraId="00B40603" w14:textId="77777777" w:rsidR="00B10FA3" w:rsidRDefault="00B10FA3" w:rsidP="6375CABF">
      <w:pPr>
        <w:spacing w:line="480" w:lineRule="auto"/>
      </w:pPr>
    </w:p>
    <w:p w14:paraId="73D6E249" w14:textId="77777777" w:rsidR="00B10FA3" w:rsidRDefault="00B10FA3" w:rsidP="6375CABF">
      <w:pPr>
        <w:spacing w:line="480" w:lineRule="auto"/>
      </w:pPr>
      <w:r>
        <w:tab/>
      </w:r>
      <w:r>
        <w:tab/>
      </w:r>
      <w:r>
        <w:tab/>
        <w:t xml:space="preserve">    </w:t>
      </w:r>
    </w:p>
    <w:p w14:paraId="11833AEF" w14:textId="77777777" w:rsidR="008A6F2E" w:rsidRDefault="00B10FA3" w:rsidP="00947803">
      <w:r>
        <w:t xml:space="preserve">     </w:t>
      </w:r>
      <w:r>
        <w:tab/>
      </w:r>
      <w:r>
        <w:tab/>
        <w:t xml:space="preserve">                                 </w:t>
      </w:r>
    </w:p>
    <w:p w14:paraId="167E6168" w14:textId="77777777" w:rsidR="008A6F2E" w:rsidRDefault="008A6F2E" w:rsidP="00947803"/>
    <w:p w14:paraId="7F8E46AD" w14:textId="77777777" w:rsidR="008A6F2E" w:rsidRDefault="008A6F2E" w:rsidP="00947803"/>
    <w:p w14:paraId="29569863" w14:textId="77777777" w:rsidR="008A6F2E" w:rsidRDefault="008A6F2E" w:rsidP="00947803"/>
    <w:p w14:paraId="571CAD0A" w14:textId="77777777" w:rsidR="008A6F2E" w:rsidRDefault="008A6F2E" w:rsidP="00947803"/>
    <w:p w14:paraId="358B94D6" w14:textId="77777777" w:rsidR="008A6F2E" w:rsidRDefault="008A6F2E" w:rsidP="00947803"/>
    <w:p w14:paraId="266024C2" w14:textId="77777777" w:rsidR="008A6F2E" w:rsidRDefault="008A6F2E" w:rsidP="00947803"/>
    <w:p w14:paraId="258F4D19" w14:textId="77777777" w:rsidR="008A6F2E" w:rsidRDefault="008A6F2E" w:rsidP="00947803"/>
    <w:p w14:paraId="2046DD63" w14:textId="77777777" w:rsidR="008A6F2E" w:rsidRDefault="008A6F2E" w:rsidP="00947803"/>
    <w:p w14:paraId="18719182" w14:textId="77777777" w:rsidR="008A6F2E" w:rsidRDefault="008A6F2E" w:rsidP="00947803"/>
    <w:p w14:paraId="7520B758" w14:textId="77777777" w:rsidR="008A6F2E" w:rsidRDefault="008A6F2E" w:rsidP="00947803"/>
    <w:p w14:paraId="4C8999DE" w14:textId="66FA84E9" w:rsidR="00957057" w:rsidRDefault="00B10FA3" w:rsidP="00894840">
      <w:pPr>
        <w:pStyle w:val="NormalWeb"/>
        <w:spacing w:beforeAutospacing="0" w:line="480" w:lineRule="auto"/>
      </w:pPr>
      <w:r>
        <w:t xml:space="preserve">     </w:t>
      </w:r>
    </w:p>
    <w:p w14:paraId="6F8859FF" w14:textId="6B233FDF" w:rsidR="00957057" w:rsidRPr="00926A80" w:rsidRDefault="0041543E" w:rsidP="0041543E">
      <w:pPr>
        <w:pStyle w:val="NormalWeb"/>
        <w:spacing w:beforeAutospacing="0" w:line="480" w:lineRule="auto"/>
        <w:ind w:left="3600"/>
        <w:rPr>
          <w:b/>
          <w:bCs/>
          <w:i/>
          <w:iCs/>
          <w:sz w:val="32"/>
          <w:szCs w:val="32"/>
        </w:rPr>
      </w:pPr>
      <w:r w:rsidRPr="00926A80">
        <w:rPr>
          <w:b/>
          <w:bCs/>
          <w:i/>
          <w:iCs/>
          <w:sz w:val="32"/>
          <w:szCs w:val="32"/>
        </w:rPr>
        <w:t xml:space="preserve">   </w:t>
      </w:r>
      <w:r w:rsidR="0023080C" w:rsidRPr="00926A80">
        <w:rPr>
          <w:b/>
          <w:bCs/>
          <w:i/>
          <w:iCs/>
          <w:sz w:val="32"/>
          <w:szCs w:val="32"/>
        </w:rPr>
        <w:t xml:space="preserve">Chapter </w:t>
      </w:r>
      <w:r w:rsidR="002C5AF1" w:rsidRPr="00926A80">
        <w:rPr>
          <w:b/>
          <w:bCs/>
          <w:i/>
          <w:iCs/>
          <w:sz w:val="32"/>
          <w:szCs w:val="32"/>
        </w:rPr>
        <w:t>8</w:t>
      </w:r>
    </w:p>
    <w:p w14:paraId="3F332162" w14:textId="40744551" w:rsidR="00B10FA3" w:rsidRPr="00926A80" w:rsidRDefault="00B10FA3">
      <w:pPr>
        <w:rPr>
          <w:rFonts w:ascii="Times New Roman" w:hAnsi="Times New Roman" w:cs="Times New Roman"/>
          <w:b/>
          <w:bCs/>
          <w:sz w:val="36"/>
          <w:szCs w:val="36"/>
        </w:rPr>
      </w:pPr>
      <w:r w:rsidRPr="00926A80">
        <w:rPr>
          <w:rFonts w:ascii="Times New Roman" w:hAnsi="Times New Roman" w:cs="Times New Roman"/>
          <w:sz w:val="36"/>
          <w:szCs w:val="36"/>
        </w:rPr>
        <w:t xml:space="preserve">                               </w:t>
      </w:r>
      <w:r w:rsidR="0041543E" w:rsidRPr="00926A80">
        <w:rPr>
          <w:rFonts w:ascii="Times New Roman" w:hAnsi="Times New Roman" w:cs="Times New Roman"/>
          <w:sz w:val="36"/>
          <w:szCs w:val="36"/>
        </w:rPr>
        <w:t xml:space="preserve">            </w:t>
      </w:r>
      <w:r w:rsidR="00087D91" w:rsidRPr="00926A80">
        <w:rPr>
          <w:rFonts w:ascii="Times New Roman" w:hAnsi="Times New Roman" w:cs="Times New Roman"/>
          <w:sz w:val="36"/>
          <w:szCs w:val="36"/>
        </w:rPr>
        <w:t xml:space="preserve"> </w:t>
      </w:r>
      <w:r w:rsidRPr="00926A80">
        <w:rPr>
          <w:rFonts w:ascii="Times New Roman" w:hAnsi="Times New Roman" w:cs="Times New Roman"/>
          <w:b/>
          <w:bCs/>
          <w:sz w:val="36"/>
          <w:szCs w:val="36"/>
        </w:rPr>
        <w:t>Lying</w:t>
      </w:r>
    </w:p>
    <w:p w14:paraId="0849CAFA" w14:textId="77777777" w:rsidR="00B10FA3" w:rsidRPr="00926A80" w:rsidRDefault="00B10FA3" w:rsidP="003A6475">
      <w:pPr>
        <w:spacing w:line="240" w:lineRule="auto"/>
        <w:rPr>
          <w:rFonts w:ascii="Times New Roman" w:hAnsi="Times New Roman" w:cs="Times New Roman"/>
          <w:i/>
          <w:iCs/>
          <w:sz w:val="22"/>
          <w:szCs w:val="22"/>
        </w:rPr>
      </w:pPr>
    </w:p>
    <w:p w14:paraId="11FC876E" w14:textId="77777777" w:rsidR="00B10FA3" w:rsidRPr="00926A80" w:rsidRDefault="00B10FA3" w:rsidP="00FC0AAA">
      <w:pPr>
        <w:spacing w:after="0" w:line="240" w:lineRule="auto"/>
        <w:rPr>
          <w:rFonts w:ascii="Times New Roman" w:hAnsi="Times New Roman" w:cs="Times New Roman"/>
          <w:i/>
          <w:iCs/>
          <w:sz w:val="22"/>
          <w:szCs w:val="22"/>
        </w:rPr>
      </w:pPr>
    </w:p>
    <w:p w14:paraId="5DD7C2AB" w14:textId="77777777" w:rsidR="00C04ABB" w:rsidRDefault="00B10FA3" w:rsidP="00FC0AAA">
      <w:pPr>
        <w:spacing w:after="0" w:line="240" w:lineRule="auto"/>
        <w:rPr>
          <w:rFonts w:ascii="Times New Roman" w:hAnsi="Times New Roman" w:cs="Times New Roman"/>
          <w:i/>
          <w:iCs/>
          <w:sz w:val="22"/>
          <w:szCs w:val="22"/>
        </w:rPr>
      </w:pPr>
      <w:r w:rsidRPr="00926A80">
        <w:rPr>
          <w:rFonts w:ascii="Times New Roman" w:hAnsi="Times New Roman" w:cs="Times New Roman"/>
          <w:i/>
          <w:iCs/>
          <w:sz w:val="22"/>
          <w:szCs w:val="22"/>
        </w:rPr>
        <w:t xml:space="preserve">                   </w:t>
      </w:r>
    </w:p>
    <w:p w14:paraId="682CCEB9" w14:textId="77777777" w:rsidR="00C04ABB" w:rsidRDefault="00C04ABB" w:rsidP="00FC0AAA">
      <w:pPr>
        <w:spacing w:after="0" w:line="240" w:lineRule="auto"/>
        <w:rPr>
          <w:rFonts w:ascii="Times New Roman" w:hAnsi="Times New Roman" w:cs="Times New Roman"/>
          <w:i/>
          <w:iCs/>
          <w:sz w:val="22"/>
          <w:szCs w:val="22"/>
        </w:rPr>
      </w:pPr>
    </w:p>
    <w:p w14:paraId="11CA6D0D" w14:textId="77777777" w:rsidR="00C04ABB" w:rsidRDefault="00C04ABB" w:rsidP="00FC0AAA">
      <w:pPr>
        <w:spacing w:after="0" w:line="240" w:lineRule="auto"/>
        <w:rPr>
          <w:rFonts w:ascii="Times New Roman" w:hAnsi="Times New Roman" w:cs="Times New Roman"/>
          <w:i/>
          <w:iCs/>
          <w:sz w:val="22"/>
          <w:szCs w:val="22"/>
        </w:rPr>
      </w:pPr>
    </w:p>
    <w:p w14:paraId="0BA2D96B" w14:textId="77777777" w:rsidR="00193ED6" w:rsidRDefault="00193ED6" w:rsidP="00193ED6">
      <w:pPr>
        <w:spacing w:after="0" w:line="240" w:lineRule="auto"/>
        <w:rPr>
          <w:rFonts w:ascii="Times New Roman" w:hAnsi="Times New Roman" w:cs="Times New Roman"/>
          <w:i/>
          <w:iCs/>
          <w:sz w:val="22"/>
          <w:szCs w:val="22"/>
        </w:rPr>
      </w:pPr>
    </w:p>
    <w:p w14:paraId="57E0EB4E" w14:textId="77777777" w:rsidR="00C04ABB" w:rsidRDefault="00C04ABB" w:rsidP="00193ED6">
      <w:pPr>
        <w:spacing w:after="0" w:line="240" w:lineRule="auto"/>
        <w:rPr>
          <w:rFonts w:ascii="Times New Roman" w:hAnsi="Times New Roman" w:cs="Times New Roman"/>
          <w:i/>
          <w:iCs/>
          <w:sz w:val="22"/>
          <w:szCs w:val="22"/>
        </w:rPr>
      </w:pPr>
    </w:p>
    <w:p w14:paraId="79B97335" w14:textId="77777777" w:rsidR="00C04ABB" w:rsidRDefault="00C04ABB" w:rsidP="00193ED6">
      <w:pPr>
        <w:spacing w:after="0" w:line="240" w:lineRule="auto"/>
        <w:rPr>
          <w:rFonts w:ascii="Times New Roman" w:hAnsi="Times New Roman" w:cs="Times New Roman"/>
          <w:i/>
          <w:iCs/>
          <w:sz w:val="22"/>
          <w:szCs w:val="22"/>
        </w:rPr>
      </w:pPr>
    </w:p>
    <w:p w14:paraId="540B5464" w14:textId="77777777" w:rsidR="00C04ABB" w:rsidRDefault="00C04ABB" w:rsidP="00193ED6">
      <w:pPr>
        <w:spacing w:after="0" w:line="240" w:lineRule="auto"/>
        <w:rPr>
          <w:rFonts w:ascii="Times New Roman" w:hAnsi="Times New Roman" w:cs="Times New Roman"/>
          <w:i/>
          <w:iCs/>
          <w:sz w:val="22"/>
          <w:szCs w:val="22"/>
        </w:rPr>
      </w:pPr>
    </w:p>
    <w:p w14:paraId="1FE439B1" w14:textId="148A35CE" w:rsidR="00B10FA3" w:rsidRDefault="00C04ABB" w:rsidP="00193ED6">
      <w:pPr>
        <w:spacing w:after="0" w:line="240" w:lineRule="auto"/>
        <w:ind w:firstLine="720"/>
        <w:rPr>
          <w:rFonts w:ascii="Times New Roman" w:hAnsi="Times New Roman" w:cs="Times New Roman"/>
          <w:i/>
          <w:iCs/>
          <w:sz w:val="22"/>
          <w:szCs w:val="22"/>
        </w:rPr>
      </w:pPr>
      <w:r>
        <w:rPr>
          <w:rFonts w:ascii="Times New Roman" w:hAnsi="Times New Roman" w:cs="Times New Roman"/>
          <w:i/>
          <w:iCs/>
          <w:sz w:val="22"/>
          <w:szCs w:val="22"/>
        </w:rPr>
        <w:t xml:space="preserve">     </w:t>
      </w:r>
      <w:r w:rsidR="00B10FA3" w:rsidRPr="00926A80">
        <w:rPr>
          <w:rFonts w:ascii="Times New Roman" w:hAnsi="Times New Roman" w:cs="Times New Roman"/>
          <w:i/>
          <w:iCs/>
          <w:sz w:val="22"/>
          <w:szCs w:val="22"/>
        </w:rPr>
        <w:t xml:space="preserve">   History has taught us that often lies serve her better than the truth; for man is sluggish</w:t>
      </w:r>
    </w:p>
    <w:p w14:paraId="1185EDA8" w14:textId="7F1FAB13" w:rsidR="00B10FA3" w:rsidRDefault="00193ED6" w:rsidP="00193ED6">
      <w:pPr>
        <w:spacing w:after="0" w:line="240" w:lineRule="auto"/>
        <w:rPr>
          <w:rFonts w:ascii="Times New Roman" w:hAnsi="Times New Roman" w:cs="Times New Roman"/>
          <w:i/>
          <w:iCs/>
          <w:sz w:val="22"/>
          <w:szCs w:val="22"/>
        </w:rPr>
      </w:pPr>
      <w:r>
        <w:rPr>
          <w:rFonts w:ascii="Times New Roman" w:hAnsi="Times New Roman" w:cs="Times New Roman"/>
          <w:i/>
          <w:iCs/>
          <w:sz w:val="22"/>
          <w:szCs w:val="22"/>
        </w:rPr>
        <w:t xml:space="preserve">  </w:t>
      </w:r>
      <w:r w:rsidR="00B10FA3" w:rsidRPr="00926A80">
        <w:rPr>
          <w:rFonts w:ascii="Times New Roman" w:hAnsi="Times New Roman" w:cs="Times New Roman"/>
          <w:i/>
          <w:iCs/>
          <w:sz w:val="22"/>
          <w:szCs w:val="22"/>
        </w:rPr>
        <w:t xml:space="preserve">                   and has to be led through the desert for forty years before each step in his development.</w:t>
      </w:r>
    </w:p>
    <w:p w14:paraId="60F6E5C7" w14:textId="77777777" w:rsidR="00193ED6" w:rsidRPr="00926A80" w:rsidRDefault="00193ED6" w:rsidP="00193ED6">
      <w:pPr>
        <w:spacing w:after="0" w:line="240" w:lineRule="auto"/>
        <w:rPr>
          <w:rFonts w:ascii="Times New Roman" w:hAnsi="Times New Roman" w:cs="Times New Roman"/>
          <w:i/>
          <w:iCs/>
          <w:sz w:val="22"/>
          <w:szCs w:val="22"/>
        </w:rPr>
      </w:pPr>
    </w:p>
    <w:p w14:paraId="40E2AA72" w14:textId="10E46A04" w:rsidR="00B10FA3" w:rsidRPr="00926A80" w:rsidRDefault="0097444C" w:rsidP="00193ED6">
      <w:pPr>
        <w:spacing w:line="240" w:lineRule="auto"/>
        <w:ind w:left="1155"/>
        <w:rPr>
          <w:rFonts w:ascii="Times New Roman" w:hAnsi="Times New Roman" w:cs="Times New Roman"/>
          <w:i/>
          <w:iCs/>
          <w:sz w:val="22"/>
          <w:szCs w:val="22"/>
        </w:rPr>
      </w:pPr>
      <w:r>
        <w:rPr>
          <w:rFonts w:ascii="Times New Roman" w:hAnsi="Times New Roman" w:cs="Times New Roman"/>
          <w:i/>
          <w:iCs/>
          <w:sz w:val="22"/>
          <w:szCs w:val="22"/>
        </w:rPr>
        <w:t>And he has t</w:t>
      </w:r>
      <w:r w:rsidR="00B10FA3" w:rsidRPr="00926A80">
        <w:rPr>
          <w:rFonts w:ascii="Times New Roman" w:hAnsi="Times New Roman" w:cs="Times New Roman"/>
          <w:i/>
          <w:iCs/>
          <w:sz w:val="22"/>
          <w:szCs w:val="22"/>
        </w:rPr>
        <w:t>o be driven through the desert with threats and promises, by imagin</w:t>
      </w:r>
      <w:r w:rsidR="00193ED6">
        <w:rPr>
          <w:rFonts w:ascii="Times New Roman" w:hAnsi="Times New Roman" w:cs="Times New Roman"/>
          <w:i/>
          <w:iCs/>
          <w:sz w:val="22"/>
          <w:szCs w:val="22"/>
        </w:rPr>
        <w:t>e</w:t>
      </w:r>
      <w:r w:rsidR="00FC0AAA">
        <w:rPr>
          <w:rFonts w:ascii="Times New Roman" w:hAnsi="Times New Roman" w:cs="Times New Roman"/>
          <w:i/>
          <w:iCs/>
          <w:sz w:val="22"/>
          <w:szCs w:val="22"/>
        </w:rPr>
        <w:t xml:space="preserve"> </w:t>
      </w:r>
      <w:r w:rsidR="00863077">
        <w:rPr>
          <w:rFonts w:ascii="Times New Roman" w:hAnsi="Times New Roman" w:cs="Times New Roman"/>
          <w:i/>
          <w:iCs/>
          <w:sz w:val="22"/>
          <w:szCs w:val="22"/>
        </w:rPr>
        <w:t>e</w:t>
      </w:r>
      <w:r w:rsidR="00B10FA3" w:rsidRPr="00926A80">
        <w:rPr>
          <w:rFonts w:ascii="Times New Roman" w:hAnsi="Times New Roman" w:cs="Times New Roman"/>
          <w:i/>
          <w:iCs/>
          <w:sz w:val="22"/>
          <w:szCs w:val="22"/>
        </w:rPr>
        <w:t>rrors</w:t>
      </w:r>
      <w:r w:rsidR="00863077">
        <w:rPr>
          <w:rFonts w:ascii="Times New Roman" w:hAnsi="Times New Roman" w:cs="Times New Roman"/>
          <w:i/>
          <w:iCs/>
          <w:sz w:val="22"/>
          <w:szCs w:val="22"/>
        </w:rPr>
        <w:t xml:space="preserve"> </w:t>
      </w:r>
      <w:r w:rsidR="00193ED6">
        <w:rPr>
          <w:rFonts w:ascii="Times New Roman" w:hAnsi="Times New Roman" w:cs="Times New Roman"/>
          <w:i/>
          <w:iCs/>
          <w:sz w:val="22"/>
          <w:szCs w:val="22"/>
        </w:rPr>
        <w:t xml:space="preserve">                                                                                                                                                                                                                                          </w:t>
      </w:r>
      <w:r w:rsidR="00B10FA3" w:rsidRPr="00926A80">
        <w:rPr>
          <w:rFonts w:ascii="Times New Roman" w:hAnsi="Times New Roman" w:cs="Times New Roman"/>
          <w:i/>
          <w:iCs/>
          <w:sz w:val="22"/>
          <w:szCs w:val="22"/>
        </w:rPr>
        <w:t>and imaginary consolations, so that he should not sit down prematurely to rest and</w:t>
      </w:r>
      <w:r w:rsidR="00193ED6">
        <w:rPr>
          <w:rFonts w:ascii="Times New Roman" w:hAnsi="Times New Roman" w:cs="Times New Roman"/>
          <w:i/>
          <w:iCs/>
          <w:sz w:val="22"/>
          <w:szCs w:val="22"/>
        </w:rPr>
        <w:t xml:space="preserve"> </w:t>
      </w:r>
      <w:r w:rsidR="00FC0AAA">
        <w:rPr>
          <w:rFonts w:ascii="Times New Roman" w:hAnsi="Times New Roman" w:cs="Times New Roman"/>
          <w:i/>
          <w:iCs/>
          <w:sz w:val="22"/>
          <w:szCs w:val="22"/>
        </w:rPr>
        <w:t xml:space="preserve">                   </w:t>
      </w:r>
      <w:r>
        <w:rPr>
          <w:rFonts w:ascii="Times New Roman" w:hAnsi="Times New Roman" w:cs="Times New Roman"/>
          <w:i/>
          <w:iCs/>
          <w:sz w:val="22"/>
          <w:szCs w:val="22"/>
        </w:rPr>
        <w:t xml:space="preserve">divert </w:t>
      </w:r>
      <w:r w:rsidR="00B10FA3" w:rsidRPr="00926A80">
        <w:rPr>
          <w:rFonts w:ascii="Times New Roman" w:hAnsi="Times New Roman" w:cs="Times New Roman"/>
          <w:i/>
          <w:iCs/>
          <w:sz w:val="22"/>
          <w:szCs w:val="22"/>
        </w:rPr>
        <w:t>himself by worshipping golden calves.</w:t>
      </w:r>
    </w:p>
    <w:p w14:paraId="52B1B1A0" w14:textId="77777777" w:rsidR="00B10FA3" w:rsidRPr="00193ED6" w:rsidRDefault="00B10FA3" w:rsidP="00193ED6">
      <w:pPr>
        <w:spacing w:line="240" w:lineRule="auto"/>
        <w:ind w:left="720"/>
        <w:rPr>
          <w:rFonts w:ascii="Times New Roman" w:hAnsi="Times New Roman" w:cs="Times New Roman"/>
          <w:b/>
          <w:bCs/>
          <w:i/>
          <w:iCs/>
          <w:sz w:val="22"/>
          <w:szCs w:val="22"/>
        </w:rPr>
      </w:pPr>
      <w:r w:rsidRPr="00926A80">
        <w:rPr>
          <w:rFonts w:ascii="Times New Roman" w:hAnsi="Times New Roman" w:cs="Times New Roman"/>
          <w:i/>
          <w:iCs/>
          <w:sz w:val="22"/>
          <w:szCs w:val="22"/>
        </w:rPr>
        <w:t xml:space="preserve">  </w:t>
      </w:r>
      <w:r w:rsidRPr="00193ED6">
        <w:rPr>
          <w:rFonts w:ascii="Times New Roman" w:hAnsi="Times New Roman" w:cs="Times New Roman"/>
          <w:b/>
          <w:bCs/>
          <w:i/>
          <w:iCs/>
          <w:sz w:val="22"/>
          <w:szCs w:val="22"/>
        </w:rPr>
        <w:t xml:space="preserve"> -Arthur Koestler, Darkness at Noon</w:t>
      </w:r>
    </w:p>
    <w:p w14:paraId="0DD40274" w14:textId="77777777" w:rsidR="00193ED6" w:rsidRDefault="00193ED6" w:rsidP="00193ED6">
      <w:pPr>
        <w:spacing w:line="240" w:lineRule="auto"/>
        <w:ind w:left="720"/>
        <w:rPr>
          <w:rFonts w:ascii="Times New Roman" w:hAnsi="Times New Roman" w:cs="Times New Roman"/>
          <w:i/>
          <w:iCs/>
          <w:sz w:val="22"/>
          <w:szCs w:val="22"/>
        </w:rPr>
      </w:pPr>
    </w:p>
    <w:p w14:paraId="4D98159E" w14:textId="4459A64B" w:rsidR="00193ED6" w:rsidRPr="00926A80" w:rsidRDefault="00193ED6" w:rsidP="00193ED6">
      <w:pPr>
        <w:spacing w:line="240" w:lineRule="auto"/>
        <w:ind w:left="720"/>
        <w:rPr>
          <w:rFonts w:ascii="Times New Roman" w:hAnsi="Times New Roman" w:cs="Times New Roman"/>
          <w:i/>
          <w:iCs/>
          <w:sz w:val="22"/>
          <w:szCs w:val="22"/>
        </w:rPr>
      </w:pPr>
      <w:r>
        <w:rPr>
          <w:rFonts w:ascii="Times New Roman" w:hAnsi="Times New Roman" w:cs="Times New Roman"/>
          <w:i/>
          <w:iCs/>
          <w:sz w:val="22"/>
          <w:szCs w:val="22"/>
        </w:rPr>
        <w:t>--</w:t>
      </w:r>
    </w:p>
    <w:p w14:paraId="05F83BA4" w14:textId="77777777" w:rsidR="00B10FA3" w:rsidRPr="00926A80" w:rsidRDefault="00B10FA3" w:rsidP="000E75EF">
      <w:pPr>
        <w:spacing w:line="240" w:lineRule="auto"/>
        <w:ind w:left="720"/>
        <w:rPr>
          <w:rFonts w:ascii="Times New Roman" w:hAnsi="Times New Roman" w:cs="Times New Roman"/>
          <w:i/>
          <w:iCs/>
          <w:sz w:val="22"/>
          <w:szCs w:val="22"/>
        </w:rPr>
      </w:pPr>
    </w:p>
    <w:p w14:paraId="1F14C75D" w14:textId="77777777" w:rsidR="00B10FA3" w:rsidRPr="00926A80" w:rsidRDefault="00B10FA3" w:rsidP="000E75EF">
      <w:pPr>
        <w:spacing w:line="240" w:lineRule="auto"/>
        <w:ind w:left="720"/>
        <w:rPr>
          <w:rFonts w:ascii="Times New Roman" w:hAnsi="Times New Roman" w:cs="Times New Roman"/>
          <w:i/>
          <w:iCs/>
          <w:sz w:val="22"/>
          <w:szCs w:val="22"/>
        </w:rPr>
      </w:pPr>
    </w:p>
    <w:p w14:paraId="7B310AE1" w14:textId="423F36E1" w:rsidR="00B10FA3" w:rsidRPr="00926A80" w:rsidRDefault="00B10FA3" w:rsidP="00C80E2F">
      <w:pPr>
        <w:spacing w:line="360" w:lineRule="auto"/>
        <w:ind w:left="720"/>
        <w:rPr>
          <w:rFonts w:ascii="Times New Roman" w:hAnsi="Times New Roman" w:cs="Times New Roman"/>
          <w:i/>
          <w:iCs/>
          <w:sz w:val="22"/>
          <w:szCs w:val="22"/>
        </w:rPr>
      </w:pPr>
      <w:r w:rsidRPr="00926A80">
        <w:rPr>
          <w:rFonts w:ascii="Times New Roman" w:hAnsi="Times New Roman" w:cs="Times New Roman"/>
          <w:i/>
          <w:iCs/>
          <w:sz w:val="22"/>
          <w:szCs w:val="22"/>
        </w:rPr>
        <w:t xml:space="preserve">      Before a person can live tolerably with himself or with others, he must know order. If we lack  order in the soul and order in the society, we dwell in a land of darkness, as darkness itself. And with the shadow of death, without any order, and where light is as darkness.</w:t>
      </w:r>
    </w:p>
    <w:p w14:paraId="237B609C" w14:textId="77777777" w:rsidR="00B10FA3" w:rsidRPr="00926A80" w:rsidRDefault="00B10FA3" w:rsidP="000E75EF">
      <w:pPr>
        <w:spacing w:line="240" w:lineRule="auto"/>
        <w:ind w:left="720"/>
        <w:rPr>
          <w:rFonts w:ascii="Times New Roman" w:hAnsi="Times New Roman" w:cs="Times New Roman"/>
          <w:i/>
          <w:iCs/>
          <w:sz w:val="22"/>
          <w:szCs w:val="22"/>
        </w:rPr>
      </w:pPr>
      <w:r w:rsidRPr="00926A80">
        <w:rPr>
          <w:rFonts w:ascii="Times New Roman" w:hAnsi="Times New Roman" w:cs="Times New Roman"/>
          <w:i/>
          <w:iCs/>
          <w:sz w:val="22"/>
          <w:szCs w:val="22"/>
        </w:rPr>
        <w:t>-</w:t>
      </w:r>
      <w:r w:rsidRPr="009170BD">
        <w:rPr>
          <w:rFonts w:ascii="Times New Roman" w:hAnsi="Times New Roman" w:cs="Times New Roman"/>
          <w:b/>
          <w:bCs/>
          <w:i/>
          <w:iCs/>
          <w:sz w:val="22"/>
          <w:szCs w:val="22"/>
        </w:rPr>
        <w:t>The Book of Job</w:t>
      </w:r>
    </w:p>
    <w:p w14:paraId="4F3618B6" w14:textId="77777777" w:rsidR="00B10FA3" w:rsidRPr="00926A80" w:rsidRDefault="00B10FA3">
      <w:pPr>
        <w:rPr>
          <w:rFonts w:ascii="Times New Roman" w:hAnsi="Times New Roman" w:cs="Times New Roman"/>
          <w:i/>
          <w:iCs/>
          <w:sz w:val="18"/>
          <w:szCs w:val="18"/>
        </w:rPr>
      </w:pPr>
    </w:p>
    <w:p w14:paraId="695EE85D" w14:textId="77777777" w:rsidR="00B10FA3" w:rsidRPr="00926A80" w:rsidRDefault="00B10FA3">
      <w:pPr>
        <w:rPr>
          <w:rFonts w:ascii="Times New Roman" w:hAnsi="Times New Roman" w:cs="Times New Roman"/>
          <w:b/>
          <w:bCs/>
          <w:sz w:val="32"/>
          <w:szCs w:val="32"/>
        </w:rPr>
      </w:pPr>
    </w:p>
    <w:p w14:paraId="7905275A" w14:textId="77777777" w:rsidR="00B10FA3" w:rsidRPr="00926A80" w:rsidRDefault="00B10FA3">
      <w:pPr>
        <w:rPr>
          <w:rFonts w:ascii="Times New Roman" w:hAnsi="Times New Roman" w:cs="Times New Roman"/>
          <w:b/>
          <w:bCs/>
          <w:sz w:val="32"/>
          <w:szCs w:val="32"/>
        </w:rPr>
      </w:pPr>
    </w:p>
    <w:p w14:paraId="55C3934B" w14:textId="77777777" w:rsidR="00B10FA3" w:rsidRPr="00926A80" w:rsidRDefault="00B10FA3">
      <w:pPr>
        <w:rPr>
          <w:rFonts w:ascii="Times New Roman" w:hAnsi="Times New Roman" w:cs="Times New Roman"/>
          <w:b/>
          <w:bCs/>
          <w:sz w:val="32"/>
          <w:szCs w:val="32"/>
        </w:rPr>
      </w:pPr>
    </w:p>
    <w:p w14:paraId="4AF677CA" w14:textId="77777777" w:rsidR="00B10FA3" w:rsidRPr="00926A80" w:rsidRDefault="00B10FA3">
      <w:pPr>
        <w:rPr>
          <w:rFonts w:ascii="Times New Roman" w:hAnsi="Times New Roman" w:cs="Times New Roman"/>
          <w:b/>
          <w:bCs/>
          <w:sz w:val="32"/>
          <w:szCs w:val="32"/>
        </w:rPr>
      </w:pPr>
    </w:p>
    <w:p w14:paraId="6C5E6E86" w14:textId="77777777" w:rsidR="00B10FA3" w:rsidRPr="00926A80" w:rsidRDefault="00B10FA3">
      <w:pPr>
        <w:rPr>
          <w:rFonts w:ascii="Times New Roman" w:hAnsi="Times New Roman" w:cs="Times New Roman"/>
          <w:b/>
          <w:bCs/>
          <w:sz w:val="32"/>
          <w:szCs w:val="32"/>
        </w:rPr>
      </w:pPr>
    </w:p>
    <w:p w14:paraId="046AE4EA" w14:textId="77777777" w:rsidR="00574146" w:rsidRPr="00926A80" w:rsidRDefault="00574146" w:rsidP="00F72EF6">
      <w:pPr>
        <w:rPr>
          <w:rFonts w:ascii="Times New Roman" w:hAnsi="Times New Roman" w:cs="Times New Roman"/>
        </w:rPr>
      </w:pPr>
    </w:p>
    <w:p w14:paraId="30F6BEEB" w14:textId="77777777" w:rsidR="006C0469" w:rsidRDefault="00574146" w:rsidP="00574146">
      <w:pPr>
        <w:spacing w:line="480" w:lineRule="auto"/>
        <w:rPr>
          <w:rFonts w:ascii="Times New Roman" w:hAnsi="Times New Roman" w:cs="Times New Roman"/>
        </w:rPr>
      </w:pPr>
      <w:r w:rsidRPr="00926A80">
        <w:rPr>
          <w:rFonts w:ascii="Times New Roman" w:hAnsi="Times New Roman" w:cs="Times New Roman"/>
        </w:rPr>
        <w:t xml:space="preserve">    </w:t>
      </w:r>
    </w:p>
    <w:p w14:paraId="3E969113" w14:textId="6BB24465" w:rsidR="00B10FA3" w:rsidRPr="00926A80" w:rsidRDefault="00574146" w:rsidP="00574146">
      <w:pPr>
        <w:spacing w:line="480" w:lineRule="auto"/>
        <w:rPr>
          <w:rFonts w:ascii="Times New Roman" w:hAnsi="Times New Roman" w:cs="Times New Roman"/>
        </w:rPr>
      </w:pPr>
      <w:r w:rsidRPr="00926A80">
        <w:rPr>
          <w:rFonts w:ascii="Times New Roman" w:hAnsi="Times New Roman" w:cs="Times New Roman"/>
        </w:rPr>
        <w:t xml:space="preserve"> </w:t>
      </w:r>
      <w:r w:rsidR="00B10FA3" w:rsidRPr="00926A80">
        <w:rPr>
          <w:rFonts w:ascii="Times New Roman" w:hAnsi="Times New Roman" w:cs="Times New Roman"/>
        </w:rPr>
        <w:t xml:space="preserve"> We live in a world where not is all as it seems. Regardless of country or region, only the most naïve person would claim otherwise. Especially in the age of the digital universe, reality itself is a mere flip of the switch; one can represent themselves as multiple persons online, or, conversely, represent multiple viewpoints contemporaneously. AI has only increased this tendency.</w:t>
      </w:r>
    </w:p>
    <w:p w14:paraId="31484D9C" w14:textId="77777777" w:rsidR="00B10FA3" w:rsidRPr="00926A80" w:rsidRDefault="00B10FA3" w:rsidP="00574146">
      <w:pPr>
        <w:spacing w:line="480" w:lineRule="auto"/>
        <w:rPr>
          <w:rFonts w:ascii="Times New Roman" w:hAnsi="Times New Roman" w:cs="Times New Roman"/>
        </w:rPr>
      </w:pPr>
      <w:r w:rsidRPr="00926A80">
        <w:rPr>
          <w:rFonts w:ascii="Times New Roman" w:hAnsi="Times New Roman" w:cs="Times New Roman"/>
        </w:rPr>
        <w:t xml:space="preserve">     Of course, there are lies and then there are </w:t>
      </w:r>
      <w:r w:rsidRPr="00926A80">
        <w:rPr>
          <w:rFonts w:ascii="Times New Roman" w:hAnsi="Times New Roman" w:cs="Times New Roman"/>
          <w:i/>
          <w:iCs/>
        </w:rPr>
        <w:t>lies.</w:t>
      </w:r>
      <w:r w:rsidRPr="00926A80">
        <w:rPr>
          <w:rFonts w:ascii="Times New Roman" w:hAnsi="Times New Roman" w:cs="Times New Roman"/>
        </w:rPr>
        <w:t xml:space="preserve"> In most cases, lies are misrepresentations – like Jim who shows up at the Craigslist date who posted another guy’s photo. That is an outright lie, for sure. But the implications of that lie are probably minor. His transgression is personal, situational, specific, and audacious. His date can shut the door on him; similarly, she might agree to see him, but hound him through the date that he lied about himself. In all likelihood, not much else will derive from his chicanery – if the date occurs at all, it will be fraught with distrust from the start.</w:t>
      </w:r>
    </w:p>
    <w:p w14:paraId="3DD62CFE" w14:textId="77777777" w:rsidR="00B10FA3" w:rsidRPr="00926A80" w:rsidRDefault="00B10FA3" w:rsidP="00574146">
      <w:pPr>
        <w:spacing w:line="480" w:lineRule="auto"/>
        <w:rPr>
          <w:rFonts w:ascii="Times New Roman" w:hAnsi="Times New Roman" w:cs="Times New Roman"/>
        </w:rPr>
      </w:pPr>
      <w:r w:rsidRPr="00926A80">
        <w:rPr>
          <w:rFonts w:ascii="Times New Roman" w:hAnsi="Times New Roman" w:cs="Times New Roman"/>
        </w:rPr>
        <w:t xml:space="preserve">     Jim lied in a way that could be proved and verified. But most other lies are subtle, abstract, approximate and difficult to (immediately) disprove. Had Jim showed up at the door of his date, having posted a fake or old photo of himself, he would be on the street in a moment. But if he mentioned that he was a successful start-up online financier, he might have gotten his foot in the door. Proving him wrong (or at least totally wrong) on that angle would require research – not the thing that one is thinking about in the first moment of a first date.</w:t>
      </w:r>
    </w:p>
    <w:p w14:paraId="5C88E583" w14:textId="77777777" w:rsidR="00B10FA3" w:rsidRPr="00926A80" w:rsidRDefault="00B10FA3" w:rsidP="00574146">
      <w:pPr>
        <w:spacing w:line="480" w:lineRule="auto"/>
        <w:rPr>
          <w:rFonts w:ascii="Times New Roman" w:hAnsi="Times New Roman" w:cs="Times New Roman"/>
          <w:sz w:val="32"/>
          <w:szCs w:val="32"/>
        </w:rPr>
      </w:pPr>
    </w:p>
    <w:p w14:paraId="0AD9B93F" w14:textId="77777777" w:rsidR="00B10FA3" w:rsidRPr="00926A80" w:rsidRDefault="00B10FA3" w:rsidP="00574146">
      <w:pPr>
        <w:spacing w:line="480" w:lineRule="auto"/>
        <w:rPr>
          <w:rFonts w:ascii="Times New Roman" w:hAnsi="Times New Roman" w:cs="Times New Roman"/>
          <w:b/>
          <w:bCs/>
          <w:sz w:val="32"/>
          <w:szCs w:val="32"/>
        </w:rPr>
      </w:pPr>
    </w:p>
    <w:p w14:paraId="5DA45384" w14:textId="77777777" w:rsidR="00B10FA3" w:rsidRPr="00926A80" w:rsidRDefault="00B10FA3" w:rsidP="00574146">
      <w:pPr>
        <w:spacing w:line="480" w:lineRule="auto"/>
        <w:rPr>
          <w:rFonts w:ascii="Times New Roman" w:hAnsi="Times New Roman" w:cs="Times New Roman"/>
          <w:b/>
          <w:bCs/>
          <w:sz w:val="32"/>
          <w:szCs w:val="32"/>
        </w:rPr>
      </w:pPr>
    </w:p>
    <w:p w14:paraId="0424E08C" w14:textId="77777777" w:rsidR="00B10FA3" w:rsidRPr="006C0469" w:rsidRDefault="00B10FA3" w:rsidP="00574146">
      <w:pPr>
        <w:spacing w:line="480" w:lineRule="auto"/>
        <w:rPr>
          <w:rFonts w:ascii="Times New Roman" w:hAnsi="Times New Roman" w:cs="Times New Roman"/>
          <w:b/>
          <w:bCs/>
          <w:i/>
          <w:iCs/>
          <w:sz w:val="28"/>
          <w:szCs w:val="28"/>
        </w:rPr>
      </w:pPr>
      <w:r w:rsidRPr="006C0469">
        <w:rPr>
          <w:rFonts w:ascii="Times New Roman" w:hAnsi="Times New Roman" w:cs="Times New Roman"/>
          <w:b/>
          <w:bCs/>
          <w:i/>
          <w:iCs/>
          <w:sz w:val="28"/>
          <w:szCs w:val="28"/>
        </w:rPr>
        <w:t>The Lie</w:t>
      </w:r>
    </w:p>
    <w:p w14:paraId="15C71C6D" w14:textId="77777777" w:rsidR="00B10FA3" w:rsidRPr="00926A80" w:rsidRDefault="00B10FA3" w:rsidP="00574146">
      <w:pPr>
        <w:spacing w:line="480" w:lineRule="auto"/>
        <w:rPr>
          <w:rFonts w:ascii="Times New Roman" w:hAnsi="Times New Roman" w:cs="Times New Roman"/>
        </w:rPr>
      </w:pPr>
      <w:r w:rsidRPr="00926A80">
        <w:rPr>
          <w:rFonts w:ascii="Times New Roman" w:hAnsi="Times New Roman" w:cs="Times New Roman"/>
        </w:rPr>
        <w:t xml:space="preserve">     The lie is designed to in some way damage our ability to understand reality that makes us neurotic, makes us feel alone, make us feel that something is wrong with ourselves, and if we believe them our minds become essentially taken over by untruths and fictions they have been simply said to us we are forced to see place and interpretation of the world that is in some sense invisible and it’s never real in any significant way a person who believes the life is constrained by it according to live in his own world this is a “please note a world that others cannot enter and which given the liar himself does not truly reside.” The liar leads an existence of loneliness, precisely because the liar cannot even reveal that he is lonely - and there is no one else in his fabricated world. Without disclosing in doing so that he has lied he hides his own thoughts, pretending to believe what he does not believe and therefore he makes it impossible for other people to be fully in touch with him; they cannot respond to him.</w:t>
      </w:r>
      <w:r w:rsidRPr="00926A80">
        <w:rPr>
          <w:rStyle w:val="FootnoteReference"/>
          <w:rFonts w:ascii="Times New Roman" w:hAnsi="Times New Roman" w:cs="Times New Roman"/>
        </w:rPr>
        <w:footnoteReference w:id="208"/>
      </w:r>
    </w:p>
    <w:p w14:paraId="129A329B" w14:textId="77777777" w:rsidR="00B10FA3" w:rsidRPr="00926A80" w:rsidRDefault="00B10FA3" w:rsidP="00574146">
      <w:pPr>
        <w:spacing w:line="480" w:lineRule="auto"/>
        <w:rPr>
          <w:rFonts w:ascii="Times New Roman" w:hAnsi="Times New Roman" w:cs="Times New Roman"/>
          <w:b/>
          <w:bCs/>
          <w:sz w:val="32"/>
          <w:szCs w:val="32"/>
        </w:rPr>
      </w:pPr>
    </w:p>
    <w:p w14:paraId="40940FD8" w14:textId="77777777" w:rsidR="00B10FA3" w:rsidRPr="006C0469" w:rsidRDefault="00B10FA3" w:rsidP="00574146">
      <w:pPr>
        <w:spacing w:line="480" w:lineRule="auto"/>
        <w:rPr>
          <w:rFonts w:ascii="Times New Roman" w:hAnsi="Times New Roman" w:cs="Times New Roman"/>
          <w:b/>
          <w:bCs/>
          <w:i/>
          <w:iCs/>
          <w:sz w:val="28"/>
          <w:szCs w:val="28"/>
        </w:rPr>
      </w:pPr>
      <w:r w:rsidRPr="00926A80">
        <w:rPr>
          <w:rFonts w:ascii="Times New Roman" w:hAnsi="Times New Roman" w:cs="Times New Roman"/>
          <w:b/>
          <w:bCs/>
          <w:sz w:val="32"/>
          <w:szCs w:val="32"/>
        </w:rPr>
        <w:t xml:space="preserve"> </w:t>
      </w:r>
      <w:r w:rsidRPr="006C0469">
        <w:rPr>
          <w:rFonts w:ascii="Times New Roman" w:hAnsi="Times New Roman" w:cs="Times New Roman"/>
          <w:b/>
          <w:bCs/>
          <w:i/>
          <w:iCs/>
          <w:sz w:val="28"/>
          <w:szCs w:val="28"/>
        </w:rPr>
        <w:t>Market Lies</w:t>
      </w:r>
    </w:p>
    <w:p w14:paraId="0B309967" w14:textId="2BF6E947" w:rsidR="00B10FA3" w:rsidRPr="00926A80" w:rsidRDefault="00B10FA3" w:rsidP="00574146">
      <w:pPr>
        <w:spacing w:line="480" w:lineRule="auto"/>
        <w:rPr>
          <w:rFonts w:ascii="Times New Roman" w:hAnsi="Times New Roman" w:cs="Times New Roman"/>
        </w:rPr>
      </w:pPr>
      <w:r w:rsidRPr="00926A80">
        <w:rPr>
          <w:rFonts w:ascii="Times New Roman" w:hAnsi="Times New Roman" w:cs="Times New Roman"/>
        </w:rPr>
        <w:t xml:space="preserve">    To be brutally honest about the bare bones of the western order since the 18</w:t>
      </w:r>
      <w:r w:rsidRPr="00926A80">
        <w:rPr>
          <w:rFonts w:ascii="Times New Roman" w:hAnsi="Times New Roman" w:cs="Times New Roman"/>
          <w:vertAlign w:val="superscript"/>
        </w:rPr>
        <w:t>th</w:t>
      </w:r>
      <w:r w:rsidRPr="00926A80">
        <w:rPr>
          <w:rFonts w:ascii="Times New Roman" w:hAnsi="Times New Roman" w:cs="Times New Roman"/>
        </w:rPr>
        <w:t xml:space="preserve"> century, the system under which much of the West lives is, for lack of a better term, “Systematized Lying” -- otherwise known as </w:t>
      </w:r>
      <w:r w:rsidRPr="00926A80">
        <w:rPr>
          <w:rFonts w:ascii="Times New Roman" w:hAnsi="Times New Roman" w:cs="Times New Roman"/>
          <w:i/>
          <w:iCs/>
        </w:rPr>
        <w:t>Capitalism</w:t>
      </w:r>
      <w:r w:rsidRPr="00926A80">
        <w:rPr>
          <w:rFonts w:ascii="Times New Roman" w:hAnsi="Times New Roman" w:cs="Times New Roman"/>
        </w:rPr>
        <w:t xml:space="preserve">. Not even its staunchest defenders would deny this aspect of our economic system. Adam Smith, </w:t>
      </w:r>
      <w:r w:rsidR="006D179F">
        <w:rPr>
          <w:rFonts w:ascii="Times New Roman" w:hAnsi="Times New Roman" w:cs="Times New Roman"/>
        </w:rPr>
        <w:t xml:space="preserve">an </w:t>
      </w:r>
      <w:r w:rsidRPr="00926A80">
        <w:rPr>
          <w:rFonts w:ascii="Times New Roman" w:hAnsi="Times New Roman" w:cs="Times New Roman"/>
        </w:rPr>
        <w:t xml:space="preserve">early advocate of free market mechanisms in economics, said that the merchants and manufacturers of England were, in his words, the </w:t>
      </w:r>
      <w:r w:rsidRPr="00926A80">
        <w:rPr>
          <w:rFonts w:ascii="Times New Roman" w:hAnsi="Times New Roman" w:cs="Times New Roman"/>
        </w:rPr>
        <w:lastRenderedPageBreak/>
        <w:t xml:space="preserve">“masters of mankind.” The new system adhered to what was often referred to as the “vile maxim” of “all for ourselves and nothing for other people.” </w:t>
      </w:r>
      <w:r w:rsidRPr="00926A80">
        <w:rPr>
          <w:rStyle w:val="FootnoteReference"/>
          <w:rFonts w:ascii="Times New Roman" w:hAnsi="Times New Roman" w:cs="Times New Roman"/>
        </w:rPr>
        <w:footnoteReference w:id="209"/>
      </w:r>
    </w:p>
    <w:p w14:paraId="6279C647" w14:textId="77777777" w:rsidR="00B10FA3" w:rsidRPr="00926A80" w:rsidRDefault="00B10FA3" w:rsidP="00574146">
      <w:pPr>
        <w:spacing w:line="480" w:lineRule="auto"/>
        <w:rPr>
          <w:rFonts w:ascii="Times New Roman" w:hAnsi="Times New Roman" w:cs="Times New Roman"/>
        </w:rPr>
      </w:pPr>
      <w:r w:rsidRPr="00926A80">
        <w:rPr>
          <w:rFonts w:ascii="Times New Roman" w:hAnsi="Times New Roman" w:cs="Times New Roman"/>
        </w:rPr>
        <w:t xml:space="preserve">     Capitalism is, fundamentally – and rightly or wrongly - an economic idea that puts faith in the ‘invisible arm’ of a market mechanism to provide maximum efficiency and productivity economically. But the invisible arm has no moral compass – it is merely </w:t>
      </w:r>
      <w:r w:rsidRPr="00926A80">
        <w:rPr>
          <w:rFonts w:ascii="Times New Roman" w:hAnsi="Times New Roman" w:cs="Times New Roman"/>
          <w:i/>
          <w:iCs/>
        </w:rPr>
        <w:t>all against all</w:t>
      </w:r>
      <w:r w:rsidRPr="00926A80">
        <w:rPr>
          <w:rFonts w:ascii="Times New Roman" w:hAnsi="Times New Roman" w:cs="Times New Roman"/>
        </w:rPr>
        <w:t xml:space="preserve">, in the hopes of improved eventual circumstances. In such a universe (often referred to as ‘free market,’ but towards which even its author, Adam Smith, had significant reservations), </w:t>
      </w:r>
      <w:r w:rsidRPr="00926A80">
        <w:rPr>
          <w:rFonts w:ascii="Times New Roman" w:hAnsi="Times New Roman" w:cs="Times New Roman"/>
          <w:i/>
          <w:iCs/>
        </w:rPr>
        <w:t>truth</w:t>
      </w:r>
      <w:r w:rsidRPr="00926A80">
        <w:rPr>
          <w:rFonts w:ascii="Times New Roman" w:hAnsi="Times New Roman" w:cs="Times New Roman"/>
        </w:rPr>
        <w:t xml:space="preserve"> is often the first casualty. </w:t>
      </w:r>
      <w:r w:rsidRPr="00926A80">
        <w:rPr>
          <w:rFonts w:ascii="Times New Roman" w:hAnsi="Times New Roman" w:cs="Times New Roman"/>
          <w:i/>
          <w:iCs/>
        </w:rPr>
        <w:t>Caveat Emptor</w:t>
      </w:r>
      <w:r w:rsidRPr="00926A80">
        <w:rPr>
          <w:rFonts w:ascii="Times New Roman" w:hAnsi="Times New Roman" w:cs="Times New Roman"/>
        </w:rPr>
        <w:t xml:space="preserve"> is, out of necessity, the guiding principle. </w:t>
      </w:r>
    </w:p>
    <w:p w14:paraId="74B88508" w14:textId="77777777" w:rsidR="00B10FA3" w:rsidRPr="00926A80" w:rsidRDefault="00B10FA3" w:rsidP="00574146">
      <w:pPr>
        <w:spacing w:line="480" w:lineRule="auto"/>
        <w:rPr>
          <w:rFonts w:ascii="Times New Roman" w:hAnsi="Times New Roman" w:cs="Times New Roman"/>
        </w:rPr>
      </w:pPr>
      <w:r w:rsidRPr="00926A80">
        <w:rPr>
          <w:rFonts w:ascii="Times New Roman" w:hAnsi="Times New Roman" w:cs="Times New Roman"/>
        </w:rPr>
        <w:t xml:space="preserve">     </w:t>
      </w:r>
      <w:r w:rsidRPr="00926A80">
        <w:rPr>
          <w:rFonts w:ascii="Times New Roman" w:hAnsi="Times New Roman" w:cs="Times New Roman"/>
          <w:i/>
          <w:iCs/>
        </w:rPr>
        <w:t>Advertising</w:t>
      </w:r>
      <w:r w:rsidRPr="00926A80">
        <w:rPr>
          <w:rFonts w:ascii="Times New Roman" w:hAnsi="Times New Roman" w:cs="Times New Roman"/>
        </w:rPr>
        <w:t xml:space="preserve"> is a good starting example to understanding the underpinnings, the girders, of capitalism. Ads are intended as language or images designed to encourage a business transaction of tangible benefit to the seller. An advantage may also accrue to the buyer, but </w:t>
      </w:r>
      <w:r w:rsidRPr="00926A80">
        <w:rPr>
          <w:rFonts w:ascii="Times New Roman" w:hAnsi="Times New Roman" w:cs="Times New Roman"/>
          <w:i/>
          <w:iCs/>
        </w:rPr>
        <w:t>caveat emptor</w:t>
      </w:r>
      <w:r w:rsidRPr="00926A80">
        <w:rPr>
          <w:rFonts w:ascii="Times New Roman" w:hAnsi="Times New Roman" w:cs="Times New Roman"/>
        </w:rPr>
        <w:t xml:space="preserve"> has traditionally been the operating mode for purchasers. While some rules regulate transactions in capitalist economies (in some more than in others), advertising, generally, follows certain rules of logic. </w:t>
      </w:r>
    </w:p>
    <w:p w14:paraId="65D46BAE" w14:textId="77777777" w:rsidR="00B10FA3" w:rsidRPr="00926A80" w:rsidRDefault="00B10FA3" w:rsidP="00574146">
      <w:pPr>
        <w:spacing w:line="480" w:lineRule="auto"/>
        <w:rPr>
          <w:rFonts w:ascii="Times New Roman" w:hAnsi="Times New Roman" w:cs="Times New Roman"/>
        </w:rPr>
      </w:pPr>
      <w:r w:rsidRPr="00926A80">
        <w:rPr>
          <w:rFonts w:ascii="Times New Roman" w:hAnsi="Times New Roman" w:cs="Times New Roman"/>
        </w:rPr>
        <w:t xml:space="preserve">     The line between exaggeration and hyperbole and outright misrepresentation is often a fine one. First, the buyer is told what they want to hear; often, while vital information is left out of the initial pitch, perhaps included in the fine print.  “No money down” sounds mighty good, but it doesn’t really tell us what is in store with interest payments. “Full coverage” makes a car rental sound secure, but the fine print may not provide the security at the level sought. A “pre-approved” credit card is simply one that a consumer has not yet applied for – there is no approval whatsoever.</w:t>
      </w:r>
    </w:p>
    <w:p w14:paraId="2133E215" w14:textId="77777777" w:rsidR="00B10FA3" w:rsidRPr="00926A80" w:rsidRDefault="00B10FA3" w:rsidP="00574146">
      <w:pPr>
        <w:spacing w:line="480" w:lineRule="auto"/>
        <w:rPr>
          <w:rFonts w:ascii="Times New Roman" w:hAnsi="Times New Roman" w:cs="Times New Roman"/>
        </w:rPr>
      </w:pPr>
      <w:r w:rsidRPr="00926A80">
        <w:rPr>
          <w:rFonts w:ascii="Times New Roman" w:hAnsi="Times New Roman" w:cs="Times New Roman"/>
        </w:rPr>
        <w:t xml:space="preserve">      Today, in the grocery store, we all know of the conditioned “discount” prices that, upon closer scrutiny, apply only to multiple purchases or to those in possession of a </w:t>
      </w:r>
      <w:r w:rsidRPr="00926A80">
        <w:rPr>
          <w:rFonts w:ascii="Times New Roman" w:hAnsi="Times New Roman" w:cs="Times New Roman"/>
          <w:i/>
          <w:iCs/>
        </w:rPr>
        <w:t xml:space="preserve">pre-obtained </w:t>
      </w:r>
      <w:r w:rsidRPr="00926A80">
        <w:rPr>
          <w:rFonts w:ascii="Times New Roman" w:hAnsi="Times New Roman" w:cs="Times New Roman"/>
          <w:i/>
          <w:iCs/>
        </w:rPr>
        <w:lastRenderedPageBreak/>
        <w:t>member card</w:t>
      </w:r>
      <w:r w:rsidRPr="00926A80">
        <w:rPr>
          <w:rFonts w:ascii="Times New Roman" w:hAnsi="Times New Roman" w:cs="Times New Roman"/>
        </w:rPr>
        <w:t xml:space="preserve">. Internet ads proliferate, offering investors “$3000 a day,” beginning within one hour of subscribing to their program. A “teaser” interest rate is flashed in an ad to interest consumers in purchasing or financing a car, when, in fact, such a rate may not be possible to obtain. Or an item, such as an app, is offered “for free,” only for the consumer to discover that, either it requires a subscription, or that the free functions are severely limited. </w:t>
      </w:r>
    </w:p>
    <w:p w14:paraId="5E74FA5F" w14:textId="77777777" w:rsidR="00B10FA3" w:rsidRPr="00926A80" w:rsidRDefault="00B10FA3" w:rsidP="00574146">
      <w:pPr>
        <w:spacing w:line="480" w:lineRule="auto"/>
        <w:rPr>
          <w:rFonts w:ascii="Times New Roman" w:hAnsi="Times New Roman" w:cs="Times New Roman"/>
        </w:rPr>
      </w:pPr>
      <w:r w:rsidRPr="00926A80">
        <w:rPr>
          <w:rFonts w:ascii="Times New Roman" w:hAnsi="Times New Roman" w:cs="Times New Roman"/>
        </w:rPr>
        <w:t xml:space="preserve">     When I was 11, I bought a “remote control ghost” from a magazine ad. The ad claimed that the ghost “floated, darted, moved and rose” from a remote control in your pocket. It was “lifelike” and “scary.” I paid one dollar for this ‘automatic’ ghost, and 6-8 weeks later, I received in the mail a white balloon with a string. True, the balloon had two eyes on it, but scary, lifelike and remote this device was not. Still, one could argue that, technically, no statement in the ad was materially and demonstrably false, as long as one added helium to the balloon.</w:t>
      </w:r>
    </w:p>
    <w:p w14:paraId="48B5F7F0" w14:textId="77777777" w:rsidR="00B10FA3" w:rsidRPr="00926A80" w:rsidRDefault="00B10FA3" w:rsidP="00574146">
      <w:pPr>
        <w:spacing w:line="480" w:lineRule="auto"/>
        <w:rPr>
          <w:rFonts w:ascii="Times New Roman" w:hAnsi="Times New Roman" w:cs="Times New Roman"/>
        </w:rPr>
      </w:pPr>
      <w:r w:rsidRPr="00926A80">
        <w:rPr>
          <w:rFonts w:ascii="Times New Roman" w:hAnsi="Times New Roman" w:cs="Times New Roman"/>
        </w:rPr>
        <w:t xml:space="preserve">     </w:t>
      </w:r>
      <w:r w:rsidRPr="00926A80">
        <w:rPr>
          <w:rFonts w:ascii="Times New Roman" w:hAnsi="Times New Roman" w:cs="Times New Roman"/>
          <w:i/>
          <w:iCs/>
        </w:rPr>
        <w:t xml:space="preserve">Misrepresentation </w:t>
      </w:r>
      <w:r w:rsidRPr="00926A80">
        <w:rPr>
          <w:rFonts w:ascii="Times New Roman" w:hAnsi="Times New Roman" w:cs="Times New Roman"/>
        </w:rPr>
        <w:t>in the consumer culture is rampant, and it takes many forms. An item offered at $1.99 is a bit of an obvious semantic lie, as $1.99 is, for all intents and purposes, $2.00 – not to mention the fact that it doesn’t include sales tax. The buxom model standing in front of a new car is another misrepresentation; in most cases, it is unlikely that she comes with the vehicle. But the illusion is there. To be sure, it is an odd world in which we live, where market-based lying is, on the social level, completely accepted as normal behavior.</w:t>
      </w:r>
    </w:p>
    <w:p w14:paraId="07F57B79" w14:textId="77777777" w:rsidR="00B10FA3" w:rsidRPr="00926A80" w:rsidRDefault="00B10FA3" w:rsidP="00574146">
      <w:pPr>
        <w:spacing w:line="480" w:lineRule="auto"/>
        <w:rPr>
          <w:rFonts w:ascii="Times New Roman" w:hAnsi="Times New Roman" w:cs="Times New Roman"/>
        </w:rPr>
      </w:pPr>
      <w:r w:rsidRPr="00926A80">
        <w:rPr>
          <w:rFonts w:ascii="Times New Roman" w:hAnsi="Times New Roman" w:cs="Times New Roman"/>
        </w:rPr>
        <w:t xml:space="preserve">     We tolerate being hosed. Why is that?</w:t>
      </w:r>
    </w:p>
    <w:p w14:paraId="6F8E76CB" w14:textId="58E31FDA" w:rsidR="00B10FA3" w:rsidRPr="00926A80" w:rsidRDefault="00B10FA3" w:rsidP="00574146">
      <w:pPr>
        <w:spacing w:line="480" w:lineRule="auto"/>
        <w:rPr>
          <w:rFonts w:ascii="Times New Roman" w:hAnsi="Times New Roman" w:cs="Times New Roman"/>
        </w:rPr>
      </w:pPr>
      <w:r w:rsidRPr="00926A80">
        <w:rPr>
          <w:rFonts w:ascii="Times New Roman" w:hAnsi="Times New Roman" w:cs="Times New Roman"/>
        </w:rPr>
        <w:t xml:space="preserve">     Euphemisms proliferate in the capitalist economic community, such as “fresh-frozen,’ ‘pre-approved,’ ‘one time only,’ ‘limited availability,’ ‘classic version,’ and so forth. Most of us pay limited attention to these ‘consumer lies,’ as we don’t expect truth from the economy – or, at least we don’t expect total truth. We are in on the game, </w:t>
      </w:r>
      <w:r w:rsidR="00853F26">
        <w:rPr>
          <w:rFonts w:ascii="Times New Roman" w:hAnsi="Times New Roman" w:cs="Times New Roman"/>
        </w:rPr>
        <w:t>and</w:t>
      </w:r>
      <w:r w:rsidRPr="00926A80">
        <w:rPr>
          <w:rFonts w:ascii="Times New Roman" w:hAnsi="Times New Roman" w:cs="Times New Roman"/>
        </w:rPr>
        <w:t xml:space="preserve"> the BS, as long as we are not being overtly scammed. We know that we have rights too, such as the right of returning items, </w:t>
      </w:r>
      <w:r w:rsidRPr="00926A80">
        <w:rPr>
          <w:rFonts w:ascii="Times New Roman" w:hAnsi="Times New Roman" w:cs="Times New Roman"/>
        </w:rPr>
        <w:lastRenderedPageBreak/>
        <w:t>comparative shopping, cancellation of purchase and appeal to consumer protection. So, we accept a bit of BS as we make our way through the consumer jungle.</w:t>
      </w:r>
    </w:p>
    <w:p w14:paraId="47703F89" w14:textId="77777777" w:rsidR="00B10FA3" w:rsidRPr="00926A80" w:rsidRDefault="00B10FA3" w:rsidP="00574146">
      <w:pPr>
        <w:spacing w:line="480" w:lineRule="auto"/>
        <w:rPr>
          <w:rFonts w:ascii="Times New Roman" w:hAnsi="Times New Roman" w:cs="Times New Roman"/>
        </w:rPr>
      </w:pPr>
      <w:r w:rsidRPr="00926A80">
        <w:rPr>
          <w:rFonts w:ascii="Times New Roman" w:hAnsi="Times New Roman" w:cs="Times New Roman"/>
        </w:rPr>
        <w:t xml:space="preserve">     Sometimes, there is market flexibility: At farm markets, we know that $10 a pound for tomatoes is not the real price, and we can work with the vendor towards a preferred price, or walk away. We can barter. The stated initial price is not real, but both the buyer and seller know that. There is no con involved; rational negotiation is possible.  There are rules – and by these rules are the potential for the agreed upon competition and negotiation between the two parties. We understand the lingo, and that knowledge protects us from egregious economic chicanery. Mostly. When euphemistic lingo is used for serious expenses, such as mortgages or car purchases, things can get ugly. And truth vs lying becomes at best a contest, and at worst a scam or lawsuit.</w:t>
      </w:r>
    </w:p>
    <w:p w14:paraId="384232ED" w14:textId="77777777" w:rsidR="00B10FA3" w:rsidRPr="00926A80" w:rsidRDefault="00B10FA3" w:rsidP="00574146">
      <w:pPr>
        <w:spacing w:line="480" w:lineRule="auto"/>
        <w:rPr>
          <w:rFonts w:ascii="Times New Roman" w:hAnsi="Times New Roman" w:cs="Times New Roman"/>
        </w:rPr>
      </w:pPr>
      <w:r w:rsidRPr="00926A80">
        <w:rPr>
          <w:rFonts w:ascii="Times New Roman" w:hAnsi="Times New Roman" w:cs="Times New Roman"/>
        </w:rPr>
        <w:t xml:space="preserve">     If I advertise a 1966 Mustang for sale, and, upon delivery you receive a 2004 Ford Fiesta, I may be held accountable for fraud – for lying in a specific economic, transactional way.  But nothing stops me from saying that your teeth will never be whiter, that your credit will never be better, that your weight will never be lower or that women will never find you more irresistible. All are statements with little connection to present reality. All are permissible lies. Four out of five dentists affirm it.</w:t>
      </w:r>
    </w:p>
    <w:p w14:paraId="5EA884DD" w14:textId="77777777" w:rsidR="00B10FA3" w:rsidRPr="006C0469" w:rsidRDefault="00B10FA3" w:rsidP="00574146">
      <w:pPr>
        <w:spacing w:line="480" w:lineRule="auto"/>
        <w:rPr>
          <w:rFonts w:ascii="Times New Roman" w:hAnsi="Times New Roman" w:cs="Times New Roman"/>
          <w:b/>
          <w:bCs/>
          <w:i/>
          <w:iCs/>
          <w:sz w:val="28"/>
          <w:szCs w:val="28"/>
        </w:rPr>
      </w:pPr>
      <w:r w:rsidRPr="006C0469">
        <w:rPr>
          <w:rFonts w:ascii="Times New Roman" w:hAnsi="Times New Roman" w:cs="Times New Roman"/>
          <w:b/>
          <w:bCs/>
          <w:i/>
          <w:iCs/>
          <w:sz w:val="28"/>
          <w:szCs w:val="28"/>
        </w:rPr>
        <w:t>The Liar</w:t>
      </w:r>
    </w:p>
    <w:p w14:paraId="01FDF92A" w14:textId="51D1B8C6" w:rsidR="00B10FA3" w:rsidRPr="00926A80" w:rsidRDefault="00B10FA3" w:rsidP="00574146">
      <w:pPr>
        <w:spacing w:line="480" w:lineRule="auto"/>
        <w:rPr>
          <w:rFonts w:ascii="Times New Roman" w:hAnsi="Times New Roman" w:cs="Times New Roman"/>
        </w:rPr>
      </w:pPr>
      <w:r w:rsidRPr="00926A80">
        <w:rPr>
          <w:rFonts w:ascii="Times New Roman" w:hAnsi="Times New Roman" w:cs="Times New Roman"/>
        </w:rPr>
        <w:t xml:space="preserve">     A good starting point for understanding the psychology of the liar is Aristotle. His standard was that of the </w:t>
      </w:r>
      <w:r w:rsidRPr="00926A80">
        <w:rPr>
          <w:rFonts w:ascii="Times New Roman" w:hAnsi="Times New Roman" w:cs="Times New Roman"/>
          <w:i/>
          <w:iCs/>
        </w:rPr>
        <w:t>golden mean</w:t>
      </w:r>
      <w:r w:rsidRPr="00926A80">
        <w:rPr>
          <w:rFonts w:ascii="Times New Roman" w:hAnsi="Times New Roman" w:cs="Times New Roman"/>
        </w:rPr>
        <w:t xml:space="preserve">, by which actions were judged based on their ‘median’ behavior. An excessively honest person, in his view was, in fact, a liar, as he had no restraint on that which could be conveyed to his peers. In his view, both an excess and a deficiency of honesty could count as lying behavior. For example, an excess of honesty indicated a deficiency of </w:t>
      </w:r>
      <w:r w:rsidRPr="00926A80">
        <w:rPr>
          <w:rFonts w:ascii="Times New Roman" w:hAnsi="Times New Roman" w:cs="Times New Roman"/>
          <w:i/>
          <w:iCs/>
        </w:rPr>
        <w:t xml:space="preserve">tact. </w:t>
      </w:r>
      <w:r w:rsidRPr="00926A80">
        <w:rPr>
          <w:rFonts w:ascii="Times New Roman" w:hAnsi="Times New Roman" w:cs="Times New Roman"/>
        </w:rPr>
        <w:t xml:space="preserve"> You talk too much. Too much information could be as misleading or confusing as </w:t>
      </w:r>
      <w:r w:rsidRPr="00926A80">
        <w:rPr>
          <w:rFonts w:ascii="Times New Roman" w:hAnsi="Times New Roman" w:cs="Times New Roman"/>
        </w:rPr>
        <w:lastRenderedPageBreak/>
        <w:t xml:space="preserve">insufficient information. In the end, Aristotle notes that dishonesty might assume many forms, </w:t>
      </w:r>
      <w:r w:rsidR="00BD452E">
        <w:rPr>
          <w:rFonts w:ascii="Times New Roman" w:hAnsi="Times New Roman" w:cs="Times New Roman"/>
        </w:rPr>
        <w:t>with</w:t>
      </w:r>
      <w:r w:rsidRPr="00926A80">
        <w:rPr>
          <w:rFonts w:ascii="Times New Roman" w:hAnsi="Times New Roman" w:cs="Times New Roman"/>
        </w:rPr>
        <w:t xml:space="preserve"> some more sinister than others.</w:t>
      </w:r>
    </w:p>
    <w:p w14:paraId="074C82CC" w14:textId="77777777" w:rsidR="00B10FA3" w:rsidRPr="00926A80" w:rsidRDefault="00B10FA3" w:rsidP="00574146">
      <w:pPr>
        <w:spacing w:line="480" w:lineRule="auto"/>
        <w:rPr>
          <w:rFonts w:ascii="Times New Roman" w:hAnsi="Times New Roman" w:cs="Times New Roman"/>
        </w:rPr>
      </w:pPr>
      <w:r w:rsidRPr="00926A80">
        <w:rPr>
          <w:rFonts w:ascii="Times New Roman" w:hAnsi="Times New Roman" w:cs="Times New Roman"/>
        </w:rPr>
        <w:t xml:space="preserve">      For example, a simple lie may be used for the mundane purpose of helping the liar at that moment. “The check is in the mail” might describe this lie. Lies might be altruistic, according to Aristotle: failure to take responsibility for fulfilling a contributed charitable contribution is, technically a lie – but one with all of the best intentions. A soldier may lie to him or herself when deciding whether to go to war. Is the cause just? What are my chances of survival? What if I am injured? In this case, one may lie to themselves to justify a stance to either go to war, or to avoid the encounter entirely.</w:t>
      </w:r>
      <w:r w:rsidRPr="00926A80">
        <w:rPr>
          <w:rStyle w:val="FootnoteReference"/>
          <w:rFonts w:ascii="Times New Roman" w:hAnsi="Times New Roman" w:cs="Times New Roman"/>
        </w:rPr>
        <w:footnoteReference w:id="210"/>
      </w:r>
      <w:r w:rsidRPr="00926A80">
        <w:rPr>
          <w:rFonts w:ascii="Times New Roman" w:hAnsi="Times New Roman" w:cs="Times New Roman"/>
        </w:rPr>
        <w:t xml:space="preserve"> Without question, lying has many, many degrees of culpability and interpretation.</w:t>
      </w:r>
    </w:p>
    <w:p w14:paraId="32C11388" w14:textId="5D42604A" w:rsidR="00B10FA3" w:rsidRPr="006C0469" w:rsidRDefault="00B10FA3" w:rsidP="00574146">
      <w:pPr>
        <w:spacing w:line="480" w:lineRule="auto"/>
        <w:rPr>
          <w:rFonts w:ascii="Times New Roman" w:hAnsi="Times New Roman" w:cs="Times New Roman"/>
          <w:i/>
          <w:iCs/>
          <w:sz w:val="28"/>
          <w:szCs w:val="28"/>
        </w:rPr>
      </w:pPr>
      <w:r w:rsidRPr="006C0469">
        <w:rPr>
          <w:rFonts w:ascii="Times New Roman" w:hAnsi="Times New Roman" w:cs="Times New Roman"/>
          <w:b/>
          <w:bCs/>
          <w:i/>
          <w:iCs/>
          <w:sz w:val="28"/>
          <w:szCs w:val="28"/>
        </w:rPr>
        <w:t>Political Fibs</w:t>
      </w:r>
    </w:p>
    <w:p w14:paraId="341723B5" w14:textId="0B44C4BA" w:rsidR="00B10FA3" w:rsidRPr="005562E6" w:rsidRDefault="00B10FA3" w:rsidP="00574146">
      <w:pPr>
        <w:spacing w:line="480" w:lineRule="auto"/>
        <w:rPr>
          <w:rFonts w:ascii="Times New Roman" w:hAnsi="Times New Roman" w:cs="Times New Roman"/>
        </w:rPr>
      </w:pPr>
      <w:r w:rsidRPr="005562E6">
        <w:rPr>
          <w:rFonts w:ascii="Times New Roman" w:hAnsi="Times New Roman" w:cs="Times New Roman"/>
        </w:rPr>
        <w:t xml:space="preserve">     Today we are accosted with not only market and social lies, but </w:t>
      </w:r>
      <w:r w:rsidRPr="005562E6">
        <w:rPr>
          <w:rFonts w:ascii="Times New Roman" w:hAnsi="Times New Roman" w:cs="Times New Roman"/>
          <w:i/>
          <w:iCs/>
        </w:rPr>
        <w:t xml:space="preserve">political lies, </w:t>
      </w:r>
      <w:r w:rsidRPr="005562E6">
        <w:rPr>
          <w:rFonts w:ascii="Times New Roman" w:hAnsi="Times New Roman" w:cs="Times New Roman"/>
        </w:rPr>
        <w:t>which have always lived in fertile ground, are becoming both more common, flagrant and shameless. Further, these new bold lies are becoming increasingly accepted among certain portions of the political class. Now, for starters, political lying is actually a part of the art of politics, and legitimately so. No one expects our political leaders to be the moral saviors of the nation, regardless of what they claim to be - let’s get that out of the way first.  Any competent American politician knows that a tax hike is better termed a “revenue enhancement” or that the spate of mass gun killings in the US is better described as a “mental health issue.” Poor people might be “welfare queens,” or “underserving hangers-on,” and the homeless might be termed “domicile challenged.”</w:t>
      </w:r>
      <w:r w:rsidRPr="005562E6">
        <w:rPr>
          <w:rStyle w:val="FootnoteReference"/>
          <w:rFonts w:ascii="Times New Roman" w:hAnsi="Times New Roman" w:cs="Times New Roman"/>
        </w:rPr>
        <w:footnoteReference w:id="211"/>
      </w:r>
      <w:r w:rsidRPr="005562E6">
        <w:rPr>
          <w:rFonts w:ascii="Times New Roman" w:hAnsi="Times New Roman" w:cs="Times New Roman"/>
        </w:rPr>
        <w:t xml:space="preserve"> Perhaps these types of statements should better be termed </w:t>
      </w:r>
      <w:r w:rsidRPr="005562E6">
        <w:rPr>
          <w:rFonts w:ascii="Times New Roman" w:hAnsi="Times New Roman" w:cs="Times New Roman"/>
        </w:rPr>
        <w:lastRenderedPageBreak/>
        <w:t>euphemisms, political discourse, rhetoric or propaganda. Such statements live at the edge of falsehood, but they offer sufficient idiosyncra</w:t>
      </w:r>
      <w:r w:rsidR="00400B81">
        <w:rPr>
          <w:rFonts w:ascii="Times New Roman" w:hAnsi="Times New Roman" w:cs="Times New Roman"/>
        </w:rPr>
        <w:t>s</w:t>
      </w:r>
      <w:r w:rsidRPr="005562E6">
        <w:rPr>
          <w:rFonts w:ascii="Times New Roman" w:hAnsi="Times New Roman" w:cs="Times New Roman"/>
        </w:rPr>
        <w:t>ies that they are not exposed as naked falsehoods.</w:t>
      </w:r>
    </w:p>
    <w:p w14:paraId="76C1AA09" w14:textId="7AA2C093" w:rsidR="00B10FA3" w:rsidRPr="005562E6" w:rsidRDefault="00B10FA3" w:rsidP="00574146">
      <w:pPr>
        <w:spacing w:line="480" w:lineRule="auto"/>
        <w:rPr>
          <w:rFonts w:ascii="Times New Roman" w:hAnsi="Times New Roman" w:cs="Times New Roman"/>
        </w:rPr>
      </w:pPr>
      <w:r w:rsidRPr="005562E6">
        <w:rPr>
          <w:rFonts w:ascii="Times New Roman" w:hAnsi="Times New Roman" w:cs="Times New Roman"/>
        </w:rPr>
        <w:t xml:space="preserve">     Then, there are “Feminazis” and “baby killers,” which fall into the category of political social </w:t>
      </w:r>
      <w:r w:rsidRPr="005562E6">
        <w:rPr>
          <w:rFonts w:ascii="Times New Roman" w:hAnsi="Times New Roman" w:cs="Times New Roman"/>
          <w:i/>
          <w:iCs/>
        </w:rPr>
        <w:t>hyperbole</w:t>
      </w:r>
      <w:r w:rsidRPr="005562E6">
        <w:rPr>
          <w:rFonts w:ascii="Times New Roman" w:hAnsi="Times New Roman" w:cs="Times New Roman"/>
        </w:rPr>
        <w:t xml:space="preserve">. All are lies, or at least gross exaggerations, but they are lies in a vague, political context. Who can prove otherwise? “We are in the worst period of American history,” or “no one is more pro-black that I” are not really lies as they are unchallengeable </w:t>
      </w:r>
      <w:r w:rsidRPr="005562E6">
        <w:rPr>
          <w:rFonts w:ascii="Times New Roman" w:hAnsi="Times New Roman" w:cs="Times New Roman"/>
          <w:i/>
          <w:iCs/>
        </w:rPr>
        <w:t>rhetorical devices</w:t>
      </w:r>
      <w:r w:rsidRPr="005562E6">
        <w:rPr>
          <w:rFonts w:ascii="Times New Roman" w:hAnsi="Times New Roman" w:cs="Times New Roman"/>
        </w:rPr>
        <w:t>, and should be seen as such. And let us be reminded that rhetoric, as such, is not lying, per se, but rather the art of persuasive language. It is merely a matter of semantics and degree. Like it or not, we have grown accustomed to this brand of lying for decades – “smaller government,” “pro-family,” “low tax,” “anti-corruption, “freest country in the world,” “for the people.” Unproveable statements; hard to disprove falsehoods. The trouble is, that this brand and style of vague, persuasive l</w:t>
      </w:r>
      <w:r w:rsidR="004A2CA2">
        <w:rPr>
          <w:rFonts w:ascii="Times New Roman" w:hAnsi="Times New Roman" w:cs="Times New Roman"/>
        </w:rPr>
        <w:t>anguage</w:t>
      </w:r>
      <w:r w:rsidRPr="005562E6">
        <w:rPr>
          <w:rFonts w:ascii="Times New Roman" w:hAnsi="Times New Roman" w:cs="Times New Roman"/>
        </w:rPr>
        <w:t xml:space="preserve"> works, and it works well.</w:t>
      </w:r>
      <w:r w:rsidRPr="005562E6">
        <w:rPr>
          <w:rStyle w:val="FootnoteReference"/>
          <w:rFonts w:ascii="Times New Roman" w:hAnsi="Times New Roman" w:cs="Times New Roman"/>
        </w:rPr>
        <w:footnoteReference w:id="212"/>
      </w:r>
    </w:p>
    <w:p w14:paraId="7EA50434" w14:textId="77777777" w:rsidR="00B10FA3" w:rsidRPr="005562E6" w:rsidRDefault="00B10FA3" w:rsidP="00574146">
      <w:pPr>
        <w:spacing w:line="480" w:lineRule="auto"/>
        <w:rPr>
          <w:rFonts w:ascii="Times New Roman" w:hAnsi="Times New Roman" w:cs="Times New Roman"/>
          <w:b/>
          <w:bCs/>
          <w:sz w:val="32"/>
          <w:szCs w:val="32"/>
        </w:rPr>
      </w:pPr>
    </w:p>
    <w:p w14:paraId="1B9F3AE6" w14:textId="77777777" w:rsidR="00B10FA3" w:rsidRPr="006C0469" w:rsidRDefault="00B10FA3" w:rsidP="00574146">
      <w:pPr>
        <w:spacing w:line="480" w:lineRule="auto"/>
        <w:rPr>
          <w:rFonts w:ascii="Times New Roman" w:hAnsi="Times New Roman" w:cs="Times New Roman"/>
          <w:i/>
          <w:iCs/>
          <w:sz w:val="28"/>
          <w:szCs w:val="28"/>
        </w:rPr>
      </w:pPr>
      <w:r w:rsidRPr="006C0469">
        <w:rPr>
          <w:rFonts w:ascii="Times New Roman" w:hAnsi="Times New Roman" w:cs="Times New Roman"/>
          <w:b/>
          <w:bCs/>
          <w:i/>
          <w:iCs/>
          <w:sz w:val="28"/>
          <w:szCs w:val="28"/>
        </w:rPr>
        <w:t>Substantive Lies</w:t>
      </w:r>
    </w:p>
    <w:p w14:paraId="46A354B5" w14:textId="77777777" w:rsidR="00B10FA3" w:rsidRPr="005562E6" w:rsidRDefault="00B10FA3" w:rsidP="00574146">
      <w:pPr>
        <w:spacing w:line="480" w:lineRule="auto"/>
        <w:rPr>
          <w:rFonts w:ascii="Times New Roman" w:hAnsi="Times New Roman" w:cs="Times New Roman"/>
        </w:rPr>
      </w:pPr>
      <w:r w:rsidRPr="005562E6">
        <w:rPr>
          <w:rFonts w:ascii="Times New Roman" w:hAnsi="Times New Roman" w:cs="Times New Roman"/>
        </w:rPr>
        <w:t xml:space="preserve">     Members of Congress, one might argue, are at liberty to distort the truth up to the point where actual truth might be laid at their feet. And this is exactly where representative George Santos lived, while a member of Congress. Despite glaring, multiple and outrageously disqualifying misrepresentations about himself, he continued to be supported by the Republican establishment. His lies were unchallenged, unquestioned. Moreover, he obtained, for a time, </w:t>
      </w:r>
      <w:r w:rsidRPr="005562E6">
        <w:rPr>
          <w:rFonts w:ascii="Times New Roman" w:hAnsi="Times New Roman" w:cs="Times New Roman"/>
          <w:i/>
          <w:iCs/>
        </w:rPr>
        <w:t>legitimacy and confirmation</w:t>
      </w:r>
      <w:r w:rsidRPr="005562E6">
        <w:rPr>
          <w:rFonts w:ascii="Times New Roman" w:hAnsi="Times New Roman" w:cs="Times New Roman"/>
        </w:rPr>
        <w:t xml:space="preserve"> from his fellow colleagues in Congress. </w:t>
      </w:r>
    </w:p>
    <w:p w14:paraId="02F584B7" w14:textId="77777777" w:rsidR="00B10FA3" w:rsidRPr="005562E6" w:rsidRDefault="00B10FA3" w:rsidP="00574146">
      <w:pPr>
        <w:spacing w:line="480" w:lineRule="auto"/>
        <w:rPr>
          <w:rFonts w:ascii="Times New Roman" w:hAnsi="Times New Roman" w:cs="Times New Roman"/>
          <w:i/>
          <w:iCs/>
        </w:rPr>
      </w:pPr>
      <w:r w:rsidRPr="005562E6">
        <w:rPr>
          <w:rFonts w:ascii="Times New Roman" w:hAnsi="Times New Roman" w:cs="Times New Roman"/>
        </w:rPr>
        <w:lastRenderedPageBreak/>
        <w:t xml:space="preserve">     The Santos phenomenon goes far beyond the congressman. If such fictitious behavior can prevail in the halls of Congress, then from what well can the intelligence and direction of the government draw? Let’s remember; the lies that Santos spewed are not political fibs; he is not claiming, for example, to have assisted the withdrawal from Afghanistan. Instead, he claimed facts about his </w:t>
      </w:r>
      <w:r w:rsidRPr="005562E6">
        <w:rPr>
          <w:rFonts w:ascii="Times New Roman" w:hAnsi="Times New Roman" w:cs="Times New Roman"/>
          <w:i/>
          <w:iCs/>
        </w:rPr>
        <w:t>life</w:t>
      </w:r>
      <w:r w:rsidRPr="005562E6">
        <w:rPr>
          <w:rFonts w:ascii="Times New Roman" w:hAnsi="Times New Roman" w:cs="Times New Roman"/>
        </w:rPr>
        <w:t xml:space="preserve"> that are not true. And there are many of them, from his education, to his family, to his sexuality, to his work experience. A panoply of misrepresentations. </w:t>
      </w:r>
      <w:r w:rsidRPr="005562E6">
        <w:rPr>
          <w:rFonts w:ascii="Times New Roman" w:hAnsi="Times New Roman" w:cs="Times New Roman"/>
          <w:i/>
          <w:iCs/>
        </w:rPr>
        <w:t>He made our ability to represent and reflect ourselves impossible and unknowable.</w:t>
      </w:r>
    </w:p>
    <w:p w14:paraId="1FF1159B" w14:textId="77777777" w:rsidR="00B10FA3" w:rsidRPr="005562E6" w:rsidRDefault="00B10FA3" w:rsidP="00574146">
      <w:pPr>
        <w:spacing w:line="480" w:lineRule="auto"/>
        <w:rPr>
          <w:rFonts w:ascii="Times New Roman" w:hAnsi="Times New Roman" w:cs="Times New Roman"/>
        </w:rPr>
      </w:pPr>
      <w:r w:rsidRPr="005562E6">
        <w:rPr>
          <w:rFonts w:ascii="Times New Roman" w:hAnsi="Times New Roman" w:cs="Times New Roman"/>
        </w:rPr>
        <w:t xml:space="preserve">      To cite briefly another example of ‘substantive’ lies were the misleading public comments made during the pandemic of 2020-2022, regarding the efficacy of the Covid-19 vaccines. It was one thing to deny or minimize the origins or extent of the pandemic – that was bad enough. But to encourage baseless vaccine skepticism and to question mask wearing (either explicitly or implicitly) was truly a death sentence for tens if not hundreds of thousands. These lies destroyed lives; they had real life consequences. To add insult to injury, these lies continue to corrode the American psyche. (Note that, as of 2023, there is no national memorial for Covid victims within the US.) Clearly, the lies continue to hold influence. </w:t>
      </w:r>
    </w:p>
    <w:p w14:paraId="7ED6ACD4" w14:textId="77777777" w:rsidR="00B10FA3" w:rsidRPr="005562E6" w:rsidRDefault="00B10FA3" w:rsidP="00574146">
      <w:pPr>
        <w:spacing w:line="480" w:lineRule="auto"/>
        <w:rPr>
          <w:rFonts w:ascii="Times New Roman" w:hAnsi="Times New Roman" w:cs="Times New Roman"/>
          <w:b/>
          <w:bCs/>
          <w:sz w:val="32"/>
          <w:szCs w:val="32"/>
        </w:rPr>
      </w:pPr>
    </w:p>
    <w:p w14:paraId="0CB149D7" w14:textId="77777777" w:rsidR="00B10FA3" w:rsidRPr="006C0469" w:rsidRDefault="00B10FA3" w:rsidP="00574146">
      <w:pPr>
        <w:spacing w:line="480" w:lineRule="auto"/>
        <w:rPr>
          <w:rFonts w:ascii="Times New Roman" w:hAnsi="Times New Roman" w:cs="Times New Roman"/>
          <w:i/>
          <w:iCs/>
          <w:sz w:val="28"/>
          <w:szCs w:val="28"/>
        </w:rPr>
      </w:pPr>
      <w:r w:rsidRPr="006C0469">
        <w:rPr>
          <w:rFonts w:ascii="Times New Roman" w:hAnsi="Times New Roman" w:cs="Times New Roman"/>
          <w:b/>
          <w:bCs/>
          <w:i/>
          <w:iCs/>
          <w:sz w:val="28"/>
          <w:szCs w:val="28"/>
        </w:rPr>
        <w:t>White Lies</w:t>
      </w:r>
    </w:p>
    <w:p w14:paraId="086A644C" w14:textId="14327855" w:rsidR="00B10FA3" w:rsidRPr="005562E6" w:rsidRDefault="00B10FA3" w:rsidP="00574146">
      <w:pPr>
        <w:spacing w:line="480" w:lineRule="auto"/>
        <w:rPr>
          <w:rFonts w:ascii="Times New Roman" w:hAnsi="Times New Roman" w:cs="Times New Roman"/>
        </w:rPr>
      </w:pPr>
      <w:r w:rsidRPr="005562E6">
        <w:rPr>
          <w:rFonts w:ascii="Times New Roman" w:hAnsi="Times New Roman" w:cs="Times New Roman"/>
        </w:rPr>
        <w:t xml:space="preserve">     Often seen as “harmless” lies, white lies are, in fact social gestures that allow us to get through the day. They are more common than one might realize. For example, a colleague invites me to a 12:00 lunch at 11:30. I like this colleague, but I am mired in a difficult assignment. Not wanting to offend him, I simply say that I ‘had an early lunch.’ Saying that I was busy might set up a hierarchy of preference that I don’t wish to become involved in. So, I lie. Or, I dodge a coffee clutch with friends because my ‘child has a cold.’ I don’t really like three of the folks at the gathering, so would rather bow out. This also a lie. But these lies, as i</w:t>
      </w:r>
      <w:r w:rsidR="001D1A1E">
        <w:rPr>
          <w:rFonts w:ascii="Times New Roman" w:hAnsi="Times New Roman" w:cs="Times New Roman"/>
        </w:rPr>
        <w:t>t</w:t>
      </w:r>
      <w:r w:rsidRPr="005562E6">
        <w:rPr>
          <w:rFonts w:ascii="Times New Roman" w:hAnsi="Times New Roman" w:cs="Times New Roman"/>
        </w:rPr>
        <w:t xml:space="preserve"> </w:t>
      </w:r>
      <w:r w:rsidRPr="005562E6">
        <w:rPr>
          <w:rFonts w:ascii="Times New Roman" w:hAnsi="Times New Roman" w:cs="Times New Roman"/>
        </w:rPr>
        <w:lastRenderedPageBreak/>
        <w:t>were, have little social, political or economic impact, and so they are tolerated and accepted as a normal part of social behavior.</w:t>
      </w:r>
    </w:p>
    <w:p w14:paraId="74966B02" w14:textId="77777777" w:rsidR="00B10FA3" w:rsidRPr="005562E6" w:rsidRDefault="00B10FA3" w:rsidP="00574146">
      <w:pPr>
        <w:spacing w:line="480" w:lineRule="auto"/>
        <w:rPr>
          <w:rFonts w:ascii="Times New Roman" w:hAnsi="Times New Roman" w:cs="Times New Roman"/>
        </w:rPr>
      </w:pPr>
    </w:p>
    <w:p w14:paraId="689F12B2" w14:textId="77777777" w:rsidR="00B10FA3" w:rsidRPr="006C0469" w:rsidRDefault="00B10FA3" w:rsidP="00574146">
      <w:pPr>
        <w:spacing w:line="480" w:lineRule="auto"/>
        <w:rPr>
          <w:rFonts w:ascii="Times New Roman" w:hAnsi="Times New Roman" w:cs="Times New Roman"/>
          <w:b/>
          <w:bCs/>
          <w:i/>
          <w:iCs/>
          <w:sz w:val="28"/>
          <w:szCs w:val="28"/>
        </w:rPr>
      </w:pPr>
      <w:r w:rsidRPr="006C0469">
        <w:rPr>
          <w:rFonts w:ascii="Times New Roman" w:hAnsi="Times New Roman" w:cs="Times New Roman"/>
          <w:b/>
          <w:bCs/>
          <w:i/>
          <w:iCs/>
          <w:sz w:val="28"/>
          <w:szCs w:val="28"/>
        </w:rPr>
        <w:t>The Lie and the Trickster</w:t>
      </w:r>
    </w:p>
    <w:p w14:paraId="399D282E" w14:textId="77777777" w:rsidR="00B10FA3" w:rsidRPr="005562E6" w:rsidRDefault="00B10FA3" w:rsidP="00574146">
      <w:pPr>
        <w:spacing w:line="480" w:lineRule="auto"/>
        <w:rPr>
          <w:rFonts w:ascii="Times New Roman" w:hAnsi="Times New Roman" w:cs="Times New Roman"/>
        </w:rPr>
      </w:pPr>
      <w:r w:rsidRPr="005562E6">
        <w:rPr>
          <w:rFonts w:ascii="Times New Roman" w:hAnsi="Times New Roman" w:cs="Times New Roman"/>
          <w:b/>
          <w:bCs/>
          <w:sz w:val="32"/>
          <w:szCs w:val="32"/>
        </w:rPr>
        <w:t xml:space="preserve">     </w:t>
      </w:r>
      <w:r w:rsidRPr="005562E6">
        <w:rPr>
          <w:rFonts w:ascii="Times New Roman" w:hAnsi="Times New Roman" w:cs="Times New Roman"/>
        </w:rPr>
        <w:t xml:space="preserve">Within the western world, there is a well-established tradition of the </w:t>
      </w:r>
      <w:r w:rsidRPr="005562E6">
        <w:rPr>
          <w:rFonts w:ascii="Times New Roman" w:hAnsi="Times New Roman" w:cs="Times New Roman"/>
          <w:i/>
          <w:iCs/>
        </w:rPr>
        <w:t>trickster</w:t>
      </w:r>
      <w:r w:rsidRPr="005562E6">
        <w:rPr>
          <w:rFonts w:ascii="Times New Roman" w:hAnsi="Times New Roman" w:cs="Times New Roman"/>
        </w:rPr>
        <w:t xml:space="preserve">, as a kind of con man, but one of a special type. From the classical period, the ‘trickster’ has been many things, both positive and negative. He or she has been a hero, a goat, a loser, a villain – but the character is always disruptive to the social system at hand. The trickster is a disrupter, a pestilence, perhaps a revolutionary, who violates the norms of a given social context. The trickster might be a genius, a seer of visions, but they might also be a fool – or both genius and fool, depending on their goals. Harpo Marx was a trickster, as was Andy Kaufman.  </w:t>
      </w:r>
    </w:p>
    <w:p w14:paraId="5D1B4DAB" w14:textId="77777777" w:rsidR="00B10FA3" w:rsidRPr="005562E6" w:rsidRDefault="00B10FA3" w:rsidP="00574146">
      <w:pPr>
        <w:spacing w:line="480" w:lineRule="auto"/>
        <w:rPr>
          <w:rFonts w:ascii="Times New Roman" w:hAnsi="Times New Roman" w:cs="Times New Roman"/>
        </w:rPr>
      </w:pPr>
      <w:r w:rsidRPr="005562E6">
        <w:rPr>
          <w:rFonts w:ascii="Times New Roman" w:hAnsi="Times New Roman" w:cs="Times New Roman"/>
        </w:rPr>
        <w:t xml:space="preserve">     The trickster challenges norms, acts in ways opposed to them, and then tries to re-establish their version of the norm on their own terms. The trickster can be a hero or a manipulator; in a sense, there is an amoral quality to trickster behavior. It tends towards the anarchic, to swimming upstream against cultural norms, but also sometimes offering a window of perspective to that very culture that they are seemingly subverting. </w:t>
      </w:r>
    </w:p>
    <w:p w14:paraId="7B7F749B" w14:textId="4A60E7C3" w:rsidR="00B10FA3" w:rsidRPr="005562E6" w:rsidRDefault="00B10FA3" w:rsidP="00574146">
      <w:pPr>
        <w:spacing w:line="480" w:lineRule="auto"/>
        <w:rPr>
          <w:rFonts w:ascii="Times New Roman" w:hAnsi="Times New Roman" w:cs="Times New Roman"/>
        </w:rPr>
      </w:pPr>
      <w:r w:rsidRPr="005562E6">
        <w:rPr>
          <w:rFonts w:ascii="Times New Roman" w:hAnsi="Times New Roman" w:cs="Times New Roman"/>
        </w:rPr>
        <w:t xml:space="preserve">     As odd as it may sound, following the traditional folklore tropes of trickster</w:t>
      </w:r>
      <w:r w:rsidR="005841F0">
        <w:rPr>
          <w:rFonts w:ascii="Times New Roman" w:hAnsi="Times New Roman" w:cs="Times New Roman"/>
        </w:rPr>
        <w:t>-</w:t>
      </w:r>
      <w:r w:rsidRPr="005562E6">
        <w:rPr>
          <w:rFonts w:ascii="Times New Roman" w:hAnsi="Times New Roman" w:cs="Times New Roman"/>
        </w:rPr>
        <w:t>ism, one might consider</w:t>
      </w:r>
      <w:r w:rsidRPr="005562E6">
        <w:rPr>
          <w:rFonts w:ascii="Times New Roman" w:hAnsi="Times New Roman" w:cs="Times New Roman"/>
          <w:i/>
          <w:iCs/>
        </w:rPr>
        <w:t xml:space="preserve"> Borat</w:t>
      </w:r>
      <w:r w:rsidRPr="005562E6">
        <w:rPr>
          <w:rFonts w:ascii="Times New Roman" w:hAnsi="Times New Roman" w:cs="Times New Roman"/>
        </w:rPr>
        <w:t xml:space="preserve"> a significant modern example.  Why? Well, for one, tricksters often assume animal form, with a focus on bodily movement and behavior. Harpo Marx knew this role well, often playing a wolf or other animal. The trickster can also appear as the clever fool, one who </w:t>
      </w:r>
      <w:r w:rsidRPr="005562E6">
        <w:rPr>
          <w:rFonts w:ascii="Times New Roman" w:hAnsi="Times New Roman" w:cs="Times New Roman"/>
        </w:rPr>
        <w:lastRenderedPageBreak/>
        <w:t>seems to misunderstand his or her universe, but who plays games within this imperfect universe, and often wins.</w:t>
      </w:r>
      <w:r w:rsidRPr="005562E6">
        <w:rPr>
          <w:rStyle w:val="FootnoteReference"/>
          <w:rFonts w:ascii="Times New Roman" w:hAnsi="Times New Roman" w:cs="Times New Roman"/>
        </w:rPr>
        <w:footnoteReference w:id="213"/>
      </w:r>
      <w:r w:rsidRPr="005562E6">
        <w:rPr>
          <w:rFonts w:ascii="Times New Roman" w:hAnsi="Times New Roman" w:cs="Times New Roman"/>
        </w:rPr>
        <w:t xml:space="preserve"> </w:t>
      </w:r>
    </w:p>
    <w:p w14:paraId="63A95631" w14:textId="0622D46C" w:rsidR="00B10FA3" w:rsidRPr="005562E6" w:rsidRDefault="00B10FA3" w:rsidP="00574146">
      <w:pPr>
        <w:spacing w:line="480" w:lineRule="auto"/>
        <w:rPr>
          <w:rFonts w:ascii="Times New Roman" w:hAnsi="Times New Roman" w:cs="Times New Roman"/>
        </w:rPr>
      </w:pPr>
      <w:r w:rsidRPr="005562E6">
        <w:rPr>
          <w:rFonts w:ascii="Times New Roman" w:hAnsi="Times New Roman" w:cs="Times New Roman"/>
        </w:rPr>
        <w:t xml:space="preserve">     Sasha Cohen Barens </w:t>
      </w:r>
      <w:r w:rsidRPr="005562E6">
        <w:rPr>
          <w:rFonts w:ascii="Times New Roman" w:hAnsi="Times New Roman" w:cs="Times New Roman"/>
          <w:i/>
          <w:iCs/>
        </w:rPr>
        <w:t>Borat</w:t>
      </w:r>
      <w:r w:rsidRPr="005562E6">
        <w:rPr>
          <w:rFonts w:ascii="Times New Roman" w:hAnsi="Times New Roman" w:cs="Times New Roman"/>
        </w:rPr>
        <w:t xml:space="preserve"> character follows a classic path of the mythological trickster; he is separated from his circumstances (having left foreign and unknown Kazakhstan), is initiated into a new reality, which becomes his journey (The US), and returns from the experience wiser and stronger (having realized that true beauty is found in the spirit of a relationship with his new girlfriend, rather than in a corporeal and criminal act of kidnapping Pamela Anderson). Throughout his journey, he subverts the culture through which he moves. Typical moral rules don’t apply, and Borat takes full advantage of every opportunity that he is given to turn conventionality upside down. Borat’s bathroom etiquette (both indoor and outdoor) is an expression of innocence experienced as ugliness. His association and love affair with a black prostitute takes a sordid image and changes it to one of innocence and tenderness. </w:t>
      </w:r>
    </w:p>
    <w:p w14:paraId="725C879D" w14:textId="3CC78AC3" w:rsidR="00B10FA3" w:rsidRPr="005562E6" w:rsidRDefault="00B10FA3" w:rsidP="00574146">
      <w:pPr>
        <w:spacing w:line="480" w:lineRule="auto"/>
        <w:rPr>
          <w:rFonts w:ascii="Times New Roman" w:hAnsi="Times New Roman" w:cs="Times New Roman"/>
        </w:rPr>
      </w:pPr>
      <w:r w:rsidRPr="005562E6">
        <w:rPr>
          <w:rFonts w:ascii="Times New Roman" w:hAnsi="Times New Roman" w:cs="Times New Roman"/>
        </w:rPr>
        <w:t xml:space="preserve">     The trickster confuses us and uses contradiction to turn our moral universe against us. Sacred things are made profane – such as the corruption of the national anthem at the ‘</w:t>
      </w:r>
      <w:r w:rsidR="008A7B6A">
        <w:rPr>
          <w:rFonts w:ascii="Times New Roman" w:hAnsi="Times New Roman" w:cs="Times New Roman"/>
        </w:rPr>
        <w:t>rever</w:t>
      </w:r>
      <w:r w:rsidR="000E3636">
        <w:rPr>
          <w:rFonts w:ascii="Times New Roman" w:hAnsi="Times New Roman" w:cs="Times New Roman"/>
        </w:rPr>
        <w:t>ed</w:t>
      </w:r>
      <w:r w:rsidRPr="005562E6">
        <w:rPr>
          <w:rFonts w:ascii="Times New Roman" w:hAnsi="Times New Roman" w:cs="Times New Roman"/>
        </w:rPr>
        <w:t>’ American tradition of the rodeo. The trickster is always hungry; for sex, for conquest, for manipulation, for food. He is amoral, with the mentality of an infant. In a Jungian sense, the trickster is the “summation of the inferior traits of character” feeling no remorse for his behavior and deceptions, while, paradoxically, allowing those around him to maintain a sense of superiority.</w:t>
      </w:r>
      <w:r w:rsidRPr="005562E6">
        <w:rPr>
          <w:rStyle w:val="FootnoteReference"/>
          <w:rFonts w:ascii="Times New Roman" w:hAnsi="Times New Roman" w:cs="Times New Roman"/>
        </w:rPr>
        <w:footnoteReference w:id="214"/>
      </w:r>
      <w:r w:rsidRPr="005562E6">
        <w:rPr>
          <w:rFonts w:ascii="Times New Roman" w:hAnsi="Times New Roman" w:cs="Times New Roman"/>
        </w:rPr>
        <w:t xml:space="preserve"> </w:t>
      </w:r>
      <w:r w:rsidRPr="005562E6">
        <w:rPr>
          <w:rFonts w:ascii="Times New Roman" w:hAnsi="Times New Roman" w:cs="Times New Roman"/>
          <w:b/>
          <w:bCs/>
          <w:sz w:val="32"/>
          <w:szCs w:val="32"/>
        </w:rPr>
        <w:t xml:space="preserve"> </w:t>
      </w:r>
      <w:r w:rsidRPr="005562E6">
        <w:rPr>
          <w:rFonts w:ascii="Times New Roman" w:hAnsi="Times New Roman" w:cs="Times New Roman"/>
        </w:rPr>
        <w:t>Make no doubt; trickster</w:t>
      </w:r>
      <w:r w:rsidR="000E3636">
        <w:rPr>
          <w:rFonts w:ascii="Times New Roman" w:hAnsi="Times New Roman" w:cs="Times New Roman"/>
        </w:rPr>
        <w:t>-</w:t>
      </w:r>
      <w:r w:rsidRPr="005562E6">
        <w:rPr>
          <w:rFonts w:ascii="Times New Roman" w:hAnsi="Times New Roman" w:cs="Times New Roman"/>
        </w:rPr>
        <w:t xml:space="preserve">ism is alive and well </w:t>
      </w:r>
      <w:r w:rsidR="005562E6" w:rsidRPr="005562E6">
        <w:rPr>
          <w:rFonts w:ascii="Times New Roman" w:hAnsi="Times New Roman" w:cs="Times New Roman"/>
        </w:rPr>
        <w:t xml:space="preserve">beyond the </w:t>
      </w:r>
      <w:r w:rsidRPr="005562E6">
        <w:rPr>
          <w:rFonts w:ascii="Times New Roman" w:hAnsi="Times New Roman" w:cs="Times New Roman"/>
        </w:rPr>
        <w:t>2024 American political realm</w:t>
      </w:r>
      <w:r w:rsidR="005562E6" w:rsidRPr="005562E6">
        <w:rPr>
          <w:rFonts w:ascii="Times New Roman" w:hAnsi="Times New Roman" w:cs="Times New Roman"/>
        </w:rPr>
        <w:t>…</w:t>
      </w:r>
    </w:p>
    <w:p w14:paraId="7AD07972" w14:textId="77777777" w:rsidR="00B10FA3" w:rsidRPr="000E3636" w:rsidRDefault="00B10FA3" w:rsidP="00574146">
      <w:pPr>
        <w:spacing w:line="480" w:lineRule="auto"/>
        <w:rPr>
          <w:rFonts w:ascii="Times New Roman" w:hAnsi="Times New Roman" w:cs="Times New Roman"/>
          <w:b/>
          <w:bCs/>
          <w:sz w:val="32"/>
          <w:szCs w:val="32"/>
        </w:rPr>
      </w:pPr>
    </w:p>
    <w:p w14:paraId="2AD0024D" w14:textId="77777777" w:rsidR="00B10FA3" w:rsidRPr="006C0469" w:rsidRDefault="00B10FA3" w:rsidP="00574146">
      <w:pPr>
        <w:spacing w:line="480" w:lineRule="auto"/>
        <w:rPr>
          <w:rFonts w:ascii="Times New Roman" w:hAnsi="Times New Roman" w:cs="Times New Roman"/>
          <w:i/>
          <w:iCs/>
          <w:sz w:val="28"/>
          <w:szCs w:val="28"/>
        </w:rPr>
      </w:pPr>
      <w:r w:rsidRPr="006C0469">
        <w:rPr>
          <w:rFonts w:ascii="Times New Roman" w:hAnsi="Times New Roman" w:cs="Times New Roman"/>
          <w:b/>
          <w:bCs/>
          <w:i/>
          <w:iCs/>
          <w:sz w:val="28"/>
          <w:szCs w:val="28"/>
        </w:rPr>
        <w:t>Damaging Lies</w:t>
      </w:r>
    </w:p>
    <w:p w14:paraId="08F50F6E" w14:textId="77777777" w:rsidR="00B10FA3" w:rsidRPr="000E3636" w:rsidRDefault="00B10FA3" w:rsidP="00574146">
      <w:pPr>
        <w:spacing w:line="480" w:lineRule="auto"/>
        <w:rPr>
          <w:rFonts w:ascii="Times New Roman" w:hAnsi="Times New Roman" w:cs="Times New Roman"/>
        </w:rPr>
      </w:pPr>
      <w:r w:rsidRPr="000E3636">
        <w:rPr>
          <w:rFonts w:ascii="Times New Roman" w:hAnsi="Times New Roman" w:cs="Times New Roman"/>
        </w:rPr>
        <w:t xml:space="preserve">     Some lies affect only the one lying and the lied to. Others affect the community around them. Sometimes it might be the family or the immediate neighborhood. “Uncle Joe never laid a hand on his niece” could be a lie that hides a family secret, provides cover for a serial abuser to the community, or brings a family to its knees when the truth is discovered. If true, this type of lie will undoubtedly damage the wronged party, and could extend to the whole family, if they are implicated in the coverup. Covering for bad behavior (especially when criminal) in the context of the family or community can lead to profound damage. Most recently, we have witnessed the crimes of Jeffrey Epstein and Harvey Weinstein, which fit this category of lying. A community of denial or passivity (acts of omission) can facilitate such a lie, as can threats, physical, professional, economic or otherwise. </w:t>
      </w:r>
    </w:p>
    <w:p w14:paraId="1D53FE0F" w14:textId="77777777" w:rsidR="009170BD" w:rsidRDefault="009170BD" w:rsidP="00574146">
      <w:pPr>
        <w:spacing w:line="480" w:lineRule="auto"/>
        <w:ind w:right="510"/>
        <w:rPr>
          <w:rStyle w:val="d2edcug0"/>
          <w:rFonts w:ascii="Times New Roman" w:hAnsi="Times New Roman" w:cs="Times New Roman"/>
          <w:b/>
          <w:bCs/>
          <w:i/>
          <w:iCs/>
          <w:sz w:val="32"/>
          <w:szCs w:val="32"/>
          <w:lang w:val="en"/>
        </w:rPr>
      </w:pPr>
    </w:p>
    <w:p w14:paraId="3C5D9F11" w14:textId="647CA85E" w:rsidR="00B10FA3" w:rsidRPr="006C0469" w:rsidRDefault="00B10FA3" w:rsidP="00574146">
      <w:pPr>
        <w:spacing w:line="480" w:lineRule="auto"/>
        <w:ind w:right="510"/>
        <w:rPr>
          <w:rStyle w:val="d2edcug0"/>
          <w:rFonts w:ascii="Times New Roman" w:hAnsi="Times New Roman" w:cs="Times New Roman"/>
          <w:b/>
          <w:bCs/>
          <w:i/>
          <w:iCs/>
          <w:sz w:val="28"/>
          <w:szCs w:val="28"/>
          <w:lang w:val="en"/>
        </w:rPr>
      </w:pPr>
      <w:r w:rsidRPr="006C0469">
        <w:rPr>
          <w:rStyle w:val="d2edcug0"/>
          <w:rFonts w:ascii="Times New Roman" w:hAnsi="Times New Roman" w:cs="Times New Roman"/>
          <w:b/>
          <w:bCs/>
          <w:i/>
          <w:iCs/>
          <w:sz w:val="28"/>
          <w:szCs w:val="28"/>
          <w:lang w:val="en"/>
        </w:rPr>
        <w:t>Contemporary Political Lying</w:t>
      </w:r>
    </w:p>
    <w:p w14:paraId="6EAC1A2D" w14:textId="77777777" w:rsidR="00B10FA3" w:rsidRPr="000E3636" w:rsidRDefault="00B10FA3" w:rsidP="00574146">
      <w:pPr>
        <w:spacing w:line="480" w:lineRule="auto"/>
        <w:rPr>
          <w:rStyle w:val="d2edcug0"/>
          <w:rFonts w:ascii="Times New Roman" w:hAnsi="Times New Roman" w:cs="Times New Roman"/>
        </w:rPr>
      </w:pPr>
      <w:r w:rsidRPr="000E3636">
        <w:rPr>
          <w:rStyle w:val="d2edcug0"/>
          <w:rFonts w:ascii="Times New Roman" w:hAnsi="Times New Roman" w:cs="Times New Roman"/>
        </w:rPr>
        <w:t xml:space="preserve">     The trademark of the Trump Era is the </w:t>
      </w:r>
      <w:r w:rsidRPr="000E3636">
        <w:rPr>
          <w:rStyle w:val="d2edcug0"/>
          <w:rFonts w:ascii="Times New Roman" w:hAnsi="Times New Roman" w:cs="Times New Roman"/>
          <w:i/>
          <w:iCs/>
        </w:rPr>
        <w:t>defiling of American political norms;</w:t>
      </w:r>
      <w:r w:rsidRPr="000E3636">
        <w:rPr>
          <w:rStyle w:val="d2edcug0"/>
          <w:rFonts w:ascii="Times New Roman" w:hAnsi="Times New Roman" w:cs="Times New Roman"/>
        </w:rPr>
        <w:t xml:space="preserve"> practices that are not written into law, but simply practiced routinely and historically by both the victor and the loyal opposition. The blatant disregard for such practices, often referred to in Congress as </w:t>
      </w:r>
      <w:r w:rsidRPr="000E3636">
        <w:rPr>
          <w:rStyle w:val="d2edcug0"/>
          <w:rFonts w:ascii="Times New Roman" w:hAnsi="Times New Roman" w:cs="Times New Roman"/>
          <w:i/>
          <w:iCs/>
        </w:rPr>
        <w:t>comity</w:t>
      </w:r>
      <w:r w:rsidRPr="000E3636">
        <w:rPr>
          <w:rStyle w:val="d2edcug0"/>
          <w:rFonts w:ascii="Times New Roman" w:hAnsi="Times New Roman" w:cs="Times New Roman"/>
        </w:rPr>
        <w:t xml:space="preserve">, whether they be the lack of attendance by a defeated President at the inauguration of the newly elected one, the refusal to hold press conferences, the use of rough language in a public setting, the use of the Attorney General as a personal legal representative, and </w:t>
      </w:r>
      <w:r w:rsidRPr="000E3636">
        <w:rPr>
          <w:rStyle w:val="d2edcug0"/>
          <w:rFonts w:ascii="Times New Roman" w:hAnsi="Times New Roman" w:cs="Times New Roman"/>
        </w:rPr>
        <w:lastRenderedPageBreak/>
        <w:t xml:space="preserve">seemingly countless other transgressions leaves many with a sense that the foundations of our system of government are not as solid as we may have thought. </w:t>
      </w:r>
      <w:r w:rsidRPr="000E3636">
        <w:rPr>
          <w:rStyle w:val="FootnoteReference"/>
          <w:rFonts w:ascii="Times New Roman" w:hAnsi="Times New Roman" w:cs="Times New Roman"/>
        </w:rPr>
        <w:footnoteReference w:id="215"/>
      </w:r>
    </w:p>
    <w:p w14:paraId="5B7529BB" w14:textId="77777777" w:rsidR="00B10FA3" w:rsidRPr="003901A3" w:rsidRDefault="00B10FA3" w:rsidP="00574146">
      <w:pPr>
        <w:spacing w:line="480" w:lineRule="auto"/>
        <w:rPr>
          <w:rStyle w:val="d2edcug0"/>
          <w:rFonts w:ascii="Times New Roman" w:hAnsi="Times New Roman" w:cs="Times New Roman"/>
        </w:rPr>
      </w:pPr>
      <w:r w:rsidRPr="6375CABF">
        <w:rPr>
          <w:rStyle w:val="d2edcug0"/>
        </w:rPr>
        <w:lastRenderedPageBreak/>
        <w:t xml:space="preserve">     </w:t>
      </w:r>
      <w:r w:rsidRPr="003901A3">
        <w:rPr>
          <w:rStyle w:val="d2edcug0"/>
          <w:rFonts w:ascii="Times New Roman" w:hAnsi="Times New Roman" w:cs="Times New Roman"/>
        </w:rPr>
        <w:t xml:space="preserve">Further, the ability of over 100 members of the House to oppose the legitimate count of electoral votes in the 2020 election was not illegal, though it indicated a complete betrayal of the electoral process. Insurgents at the Capitol have been treated as ‘trespassers,’ even ‘hostages,’ when far more nefarious goals were clearly evident. </w:t>
      </w:r>
    </w:p>
    <w:p w14:paraId="38CECEAA" w14:textId="77777777" w:rsidR="00B10FA3" w:rsidRPr="003901A3" w:rsidRDefault="00B10FA3" w:rsidP="00574146">
      <w:pPr>
        <w:spacing w:line="480" w:lineRule="auto"/>
        <w:rPr>
          <w:rStyle w:val="d2edcug0"/>
          <w:rFonts w:ascii="Times New Roman" w:hAnsi="Times New Roman" w:cs="Times New Roman"/>
        </w:rPr>
      </w:pPr>
      <w:r w:rsidRPr="003901A3">
        <w:rPr>
          <w:rStyle w:val="d2edcug0"/>
          <w:rFonts w:ascii="Times New Roman" w:hAnsi="Times New Roman" w:cs="Times New Roman"/>
        </w:rPr>
        <w:t xml:space="preserve">     The Big Lie has been driven home - often casually – regarding the Mueller Report, the shameless actions of the likes of quirky, cynical political outliers such Steve Bannon, Michael Flynn, and Roger Stone, and principally regarding the events of the 2020 election and the </w:t>
      </w:r>
      <w:r w:rsidRPr="003901A3">
        <w:rPr>
          <w:rStyle w:val="d2edcug0"/>
          <w:rFonts w:ascii="Times New Roman" w:hAnsi="Times New Roman" w:cs="Times New Roman"/>
        </w:rPr>
        <w:lastRenderedPageBreak/>
        <w:t>January 6 insurrection. We are told that lying carries no penalty, as long as it is done outside of the court room, as renegade oddballs Rudy Giuliani and Sidney Powell demonstrated in their bizarre and contradictory public denials of election irregularities in court, while later the same day ginning up the conspiracies on Fox and other public forums.</w:t>
      </w:r>
    </w:p>
    <w:p w14:paraId="70DB2087" w14:textId="77777777" w:rsidR="00B10FA3" w:rsidRPr="003901A3" w:rsidRDefault="00B10FA3" w:rsidP="00574146">
      <w:pPr>
        <w:spacing w:line="480" w:lineRule="auto"/>
        <w:rPr>
          <w:rStyle w:val="d2edcug0"/>
          <w:rFonts w:ascii="Times New Roman" w:hAnsi="Times New Roman" w:cs="Times New Roman"/>
          <w:lang w:val="en"/>
        </w:rPr>
      </w:pPr>
      <w:r w:rsidRPr="003901A3">
        <w:rPr>
          <w:rStyle w:val="d2edcug0"/>
          <w:rFonts w:ascii="Times New Roman" w:hAnsi="Times New Roman" w:cs="Times New Roman"/>
          <w:lang w:val="en"/>
        </w:rPr>
        <w:t xml:space="preserve">     What does it mean when government officials lie casually to the public? Certainly, the very act of public political speech and sophisticated politics invariably involves subtle chicanery and misdirection; the careful inclusion or exclusion of material, along with appeals to an audiences baser or more vulnerable sensibilities. This is the traditional gilding of the lily, or what many would call skillful political rhetoric. </w:t>
      </w:r>
    </w:p>
    <w:p w14:paraId="217BD3E8" w14:textId="77777777" w:rsidR="00B10FA3" w:rsidRPr="003901A3" w:rsidRDefault="00B10FA3" w:rsidP="00574146">
      <w:pPr>
        <w:spacing w:line="480" w:lineRule="auto"/>
        <w:rPr>
          <w:rStyle w:val="d2edcug0"/>
          <w:rFonts w:ascii="Times New Roman" w:hAnsi="Times New Roman" w:cs="Times New Roman"/>
        </w:rPr>
      </w:pPr>
      <w:r w:rsidRPr="003901A3">
        <w:rPr>
          <w:rStyle w:val="d2edcug0"/>
          <w:rFonts w:ascii="Times New Roman" w:hAnsi="Times New Roman" w:cs="Times New Roman"/>
        </w:rPr>
        <w:t xml:space="preserve">     </w:t>
      </w:r>
      <w:r w:rsidRPr="003901A3">
        <w:rPr>
          <w:rStyle w:val="d2edcug0"/>
          <w:rFonts w:ascii="Times New Roman" w:hAnsi="Times New Roman" w:cs="Times New Roman"/>
          <w:i/>
          <w:iCs/>
        </w:rPr>
        <w:t>Systematic lying</w:t>
      </w:r>
      <w:r w:rsidRPr="003901A3">
        <w:rPr>
          <w:rStyle w:val="d2edcug0"/>
          <w:rFonts w:ascii="Times New Roman" w:hAnsi="Times New Roman" w:cs="Times New Roman"/>
        </w:rPr>
        <w:t xml:space="preserve"> is more sinister, more conspiratorial, involving a narrative that may bear no enduring</w:t>
      </w:r>
      <w:r w:rsidRPr="003901A3">
        <w:rPr>
          <w:rStyle w:val="d2edcug0"/>
          <w:rFonts w:ascii="Times New Roman" w:hAnsi="Times New Roman" w:cs="Times New Roman"/>
          <w:i/>
          <w:iCs/>
        </w:rPr>
        <w:t xml:space="preserve"> </w:t>
      </w:r>
      <w:r w:rsidRPr="003901A3">
        <w:rPr>
          <w:rStyle w:val="d2edcug0"/>
          <w:rFonts w:ascii="Times New Roman" w:hAnsi="Times New Roman" w:cs="Times New Roman"/>
        </w:rPr>
        <w:t xml:space="preserve">semblance to reality. To cite several historical examples: In 1970s revolutionary Cambodia, the </w:t>
      </w:r>
      <w:proofErr w:type="spellStart"/>
      <w:r w:rsidRPr="003901A3">
        <w:rPr>
          <w:rStyle w:val="d2edcug0"/>
          <w:rFonts w:ascii="Times New Roman" w:hAnsi="Times New Roman" w:cs="Times New Roman"/>
        </w:rPr>
        <w:t>Khymr</w:t>
      </w:r>
      <w:proofErr w:type="spellEnd"/>
      <w:r w:rsidRPr="003901A3">
        <w:rPr>
          <w:rStyle w:val="d2edcug0"/>
          <w:rFonts w:ascii="Times New Roman" w:hAnsi="Times New Roman" w:cs="Times New Roman"/>
        </w:rPr>
        <w:t xml:space="preserve"> Rouge utilized both language</w:t>
      </w:r>
      <w:r w:rsidRPr="003901A3">
        <w:rPr>
          <w:rStyle w:val="d2edcug0"/>
          <w:rFonts w:ascii="Times New Roman" w:hAnsi="Times New Roman" w:cs="Times New Roman"/>
          <w:i/>
          <w:iCs/>
        </w:rPr>
        <w:t xml:space="preserve"> and music</w:t>
      </w:r>
      <w:r w:rsidRPr="003901A3">
        <w:rPr>
          <w:rStyle w:val="d2edcug0"/>
          <w:rFonts w:ascii="Times New Roman" w:hAnsi="Times New Roman" w:cs="Times New Roman"/>
        </w:rPr>
        <w:t xml:space="preserve"> (another form of speech) as a means of inculcating preferred thinking, appropriating traditional forms to the purposes of the regime, while banning other media. Urban dwellers were demonized, as was education and social standing, resulting in the near total elimination of the Cambodian professional class. It was said that literacy, even the wearing of glasses, could be a death sentence.</w:t>
      </w:r>
    </w:p>
    <w:p w14:paraId="267D1E4F" w14:textId="77777777" w:rsidR="00B10FA3" w:rsidRPr="003901A3" w:rsidRDefault="00B10FA3" w:rsidP="00574146">
      <w:pPr>
        <w:spacing w:line="480" w:lineRule="auto"/>
        <w:rPr>
          <w:rStyle w:val="d2edcug0"/>
          <w:rFonts w:ascii="Times New Roman" w:hAnsi="Times New Roman" w:cs="Times New Roman"/>
          <w:lang w:val="en"/>
        </w:rPr>
      </w:pPr>
      <w:r w:rsidRPr="003901A3">
        <w:rPr>
          <w:rStyle w:val="d2edcug0"/>
          <w:rFonts w:ascii="Times New Roman" w:hAnsi="Times New Roman" w:cs="Times New Roman"/>
          <w:lang w:val="en"/>
        </w:rPr>
        <w:t xml:space="preserve">     The Third Reich used </w:t>
      </w:r>
      <w:r w:rsidRPr="003901A3">
        <w:rPr>
          <w:rStyle w:val="d2edcug0"/>
          <w:rFonts w:ascii="Times New Roman" w:hAnsi="Times New Roman" w:cs="Times New Roman"/>
          <w:i/>
          <w:iCs/>
          <w:lang w:val="en"/>
        </w:rPr>
        <w:t>fear of invasion from without</w:t>
      </w:r>
      <w:r w:rsidRPr="003901A3">
        <w:rPr>
          <w:rStyle w:val="d2edcug0"/>
          <w:rFonts w:ascii="Times New Roman" w:hAnsi="Times New Roman" w:cs="Times New Roman"/>
          <w:lang w:val="en"/>
        </w:rPr>
        <w:t xml:space="preserve"> and </w:t>
      </w:r>
      <w:r w:rsidRPr="003901A3">
        <w:rPr>
          <w:rStyle w:val="d2edcug0"/>
          <w:rFonts w:ascii="Times New Roman" w:hAnsi="Times New Roman" w:cs="Times New Roman"/>
          <w:i/>
          <w:iCs/>
          <w:lang w:val="en"/>
        </w:rPr>
        <w:t>subversion from within</w:t>
      </w:r>
      <w:r w:rsidRPr="003901A3">
        <w:rPr>
          <w:rStyle w:val="d2edcug0"/>
          <w:rFonts w:ascii="Times New Roman" w:hAnsi="Times New Roman" w:cs="Times New Roman"/>
          <w:lang w:val="en"/>
        </w:rPr>
        <w:t xml:space="preserve"> as a dual narrative of propaganda. The Jews were a form of</w:t>
      </w:r>
      <w:r w:rsidRPr="003901A3">
        <w:rPr>
          <w:rStyle w:val="d2edcug0"/>
          <w:rFonts w:ascii="Times New Roman" w:hAnsi="Times New Roman" w:cs="Times New Roman"/>
          <w:i/>
          <w:iCs/>
          <w:lang w:val="en"/>
        </w:rPr>
        <w:t xml:space="preserve"> internal</w:t>
      </w:r>
      <w:r w:rsidRPr="003901A3">
        <w:rPr>
          <w:rStyle w:val="d2edcug0"/>
          <w:rFonts w:ascii="Times New Roman" w:hAnsi="Times New Roman" w:cs="Times New Roman"/>
          <w:lang w:val="en"/>
        </w:rPr>
        <w:t xml:space="preserve"> corruption to the German spirit, while Bolshevism posed an existential </w:t>
      </w:r>
      <w:r w:rsidRPr="003901A3">
        <w:rPr>
          <w:rStyle w:val="d2edcug0"/>
          <w:rFonts w:ascii="Times New Roman" w:hAnsi="Times New Roman" w:cs="Times New Roman"/>
          <w:i/>
          <w:iCs/>
          <w:lang w:val="en"/>
        </w:rPr>
        <w:t>external</w:t>
      </w:r>
      <w:r w:rsidRPr="003901A3">
        <w:rPr>
          <w:rStyle w:val="d2edcug0"/>
          <w:rFonts w:ascii="Times New Roman" w:hAnsi="Times New Roman" w:cs="Times New Roman"/>
          <w:lang w:val="en"/>
        </w:rPr>
        <w:t xml:space="preserve"> threat to the German Volk. Eventually, the two themes were combined as “Jewish Bolshevism.” </w:t>
      </w:r>
    </w:p>
    <w:p w14:paraId="29008AED" w14:textId="77777777" w:rsidR="00B10FA3" w:rsidRPr="003901A3" w:rsidRDefault="00B10FA3" w:rsidP="00574146">
      <w:pPr>
        <w:spacing w:line="480" w:lineRule="auto"/>
        <w:rPr>
          <w:rStyle w:val="d2edcug0"/>
          <w:rFonts w:ascii="Times New Roman" w:hAnsi="Times New Roman" w:cs="Times New Roman"/>
        </w:rPr>
      </w:pPr>
      <w:r w:rsidRPr="003901A3">
        <w:rPr>
          <w:rStyle w:val="d2edcug0"/>
          <w:rFonts w:ascii="Times New Roman" w:hAnsi="Times New Roman" w:cs="Times New Roman"/>
        </w:rPr>
        <w:t xml:space="preserve">     In the pre-WWI Stalinist Soviet Union, Joseph Stalin was often regarded as the “father of nations,” or the “gardener of human happiness,” while literally a million people were disappeared in a two-year period from 1937-39. George Orwell’s </w:t>
      </w:r>
      <w:r w:rsidRPr="003901A3">
        <w:rPr>
          <w:rStyle w:val="d2edcug0"/>
          <w:rFonts w:ascii="Times New Roman" w:hAnsi="Times New Roman" w:cs="Times New Roman"/>
          <w:i/>
          <w:iCs/>
        </w:rPr>
        <w:t xml:space="preserve">1984, </w:t>
      </w:r>
      <w:r w:rsidRPr="003901A3">
        <w:rPr>
          <w:rStyle w:val="d2edcug0"/>
          <w:rFonts w:ascii="Times New Roman" w:hAnsi="Times New Roman" w:cs="Times New Roman"/>
        </w:rPr>
        <w:t xml:space="preserve">inspired by Soviet totalitarianism, describes various state ministries in his dystopian novel: The Ministry of War </w:t>
      </w:r>
      <w:r w:rsidRPr="003901A3">
        <w:rPr>
          <w:rStyle w:val="d2edcug0"/>
          <w:rFonts w:ascii="Times New Roman" w:hAnsi="Times New Roman" w:cs="Times New Roman"/>
        </w:rPr>
        <w:lastRenderedPageBreak/>
        <w:t xml:space="preserve">was called the Ministry of Peace, The Ministry of Torture was called the Ministry of Love, and the Ministry of Truth was used for official lying.  </w:t>
      </w:r>
    </w:p>
    <w:p w14:paraId="14DE71DA" w14:textId="77777777" w:rsidR="00B10FA3" w:rsidRPr="003901A3" w:rsidRDefault="00B10FA3" w:rsidP="00574146">
      <w:pPr>
        <w:spacing w:line="480" w:lineRule="auto"/>
        <w:rPr>
          <w:rStyle w:val="d2edcug0"/>
          <w:rFonts w:ascii="Times New Roman" w:hAnsi="Times New Roman" w:cs="Times New Roman"/>
        </w:rPr>
      </w:pPr>
      <w:r w:rsidRPr="003901A3">
        <w:rPr>
          <w:rStyle w:val="d2edcug0"/>
          <w:rFonts w:ascii="Times New Roman" w:hAnsi="Times New Roman" w:cs="Times New Roman"/>
        </w:rPr>
        <w:t xml:space="preserve">     Which brings us to the shortly dispersed Trump regime. We live today in our own dystopia; a country in which a sizeable portion of citizens believe (or at least claim to believe) a series of blatant and provable lies about the 2020 election, the Democratic Party and the January 6, Capitol insurrection. Are these lies untouchable legally? I am beginning to believe not. It is my contention that systematic, cynical, organized and propagandistic lying may not constitute protected first amendment speech, on the grounds of </w:t>
      </w:r>
      <w:r w:rsidRPr="003901A3">
        <w:rPr>
          <w:rStyle w:val="d2edcug0"/>
          <w:rFonts w:ascii="Times New Roman" w:hAnsi="Times New Roman" w:cs="Times New Roman"/>
          <w:i/>
          <w:iCs/>
        </w:rPr>
        <w:t>obscenity.</w:t>
      </w:r>
    </w:p>
    <w:p w14:paraId="34C2842C" w14:textId="77777777" w:rsidR="00B10FA3" w:rsidRPr="003901A3" w:rsidRDefault="00B10FA3" w:rsidP="00574146">
      <w:pPr>
        <w:spacing w:line="480" w:lineRule="auto"/>
        <w:rPr>
          <w:rStyle w:val="d2edcug0"/>
          <w:rFonts w:ascii="Times New Roman" w:hAnsi="Times New Roman" w:cs="Times New Roman"/>
          <w:b/>
          <w:bCs/>
          <w:sz w:val="28"/>
          <w:szCs w:val="28"/>
          <w:lang w:val="en"/>
        </w:rPr>
      </w:pPr>
    </w:p>
    <w:p w14:paraId="25556CDE" w14:textId="77777777" w:rsidR="00B10FA3" w:rsidRPr="006C0469" w:rsidRDefault="00B10FA3" w:rsidP="00574146">
      <w:pPr>
        <w:spacing w:line="480" w:lineRule="auto"/>
        <w:rPr>
          <w:rStyle w:val="d2edcug0"/>
          <w:rFonts w:ascii="Times New Roman" w:hAnsi="Times New Roman" w:cs="Times New Roman"/>
          <w:sz w:val="28"/>
          <w:szCs w:val="28"/>
          <w:lang w:val="en"/>
        </w:rPr>
      </w:pPr>
      <w:r w:rsidRPr="006C0469">
        <w:rPr>
          <w:rStyle w:val="d2edcug0"/>
          <w:rFonts w:ascii="Times New Roman" w:hAnsi="Times New Roman" w:cs="Times New Roman"/>
          <w:b/>
          <w:bCs/>
          <w:sz w:val="28"/>
          <w:szCs w:val="28"/>
          <w:lang w:val="en"/>
        </w:rPr>
        <w:t>Lying as Obscene Language</w:t>
      </w:r>
      <w:r w:rsidRPr="006C0469">
        <w:rPr>
          <w:rStyle w:val="d2edcug0"/>
          <w:rFonts w:ascii="Times New Roman" w:hAnsi="Times New Roman" w:cs="Times New Roman"/>
          <w:sz w:val="28"/>
          <w:szCs w:val="28"/>
          <w:lang w:val="en"/>
        </w:rPr>
        <w:t xml:space="preserve">     </w:t>
      </w:r>
    </w:p>
    <w:p w14:paraId="593E552B" w14:textId="77777777" w:rsidR="00B10FA3" w:rsidRPr="003901A3" w:rsidRDefault="00B10FA3" w:rsidP="00574146">
      <w:pPr>
        <w:spacing w:line="480" w:lineRule="auto"/>
        <w:rPr>
          <w:rStyle w:val="d2edcug0"/>
          <w:rFonts w:ascii="Times New Roman" w:hAnsi="Times New Roman" w:cs="Times New Roman"/>
        </w:rPr>
      </w:pPr>
      <w:r w:rsidRPr="003901A3">
        <w:rPr>
          <w:rStyle w:val="d2edcug0"/>
          <w:rFonts w:ascii="Times New Roman" w:hAnsi="Times New Roman" w:cs="Times New Roman"/>
        </w:rPr>
        <w:t xml:space="preserve">     Clearly, obscenity legislation, at least in my lifetime, has been devoted to issues involving moral and sexual turpitude and perversity. But obscenity needn’t be confined to these matters. In the twentieth century, American law has addressed obscenity on issues ranging from foul and non-sexualized words to pacifism and anti-war sentiment. More recently, two Supreme Court cases, </w:t>
      </w:r>
      <w:r w:rsidRPr="003901A3">
        <w:rPr>
          <w:rStyle w:val="d2edcug0"/>
          <w:rFonts w:ascii="Times New Roman" w:hAnsi="Times New Roman" w:cs="Times New Roman"/>
          <w:i/>
          <w:iCs/>
        </w:rPr>
        <w:t>Roth</w:t>
      </w:r>
      <w:r w:rsidRPr="003901A3">
        <w:rPr>
          <w:rStyle w:val="d2edcug0"/>
          <w:rFonts w:ascii="Times New Roman" w:hAnsi="Times New Roman" w:cs="Times New Roman"/>
        </w:rPr>
        <w:t xml:space="preserve"> (1957)</w:t>
      </w:r>
      <w:r w:rsidRPr="003901A3">
        <w:rPr>
          <w:rStyle w:val="FootnoteReference"/>
          <w:rFonts w:ascii="Times New Roman" w:hAnsi="Times New Roman" w:cs="Times New Roman"/>
        </w:rPr>
        <w:footnoteReference w:id="216"/>
      </w:r>
      <w:r w:rsidRPr="003901A3">
        <w:rPr>
          <w:rStyle w:val="d2edcug0"/>
          <w:rFonts w:ascii="Times New Roman" w:hAnsi="Times New Roman" w:cs="Times New Roman"/>
        </w:rPr>
        <w:t xml:space="preserve"> and </w:t>
      </w:r>
      <w:r w:rsidRPr="003901A3">
        <w:rPr>
          <w:rStyle w:val="d2edcug0"/>
          <w:rFonts w:ascii="Times New Roman" w:hAnsi="Times New Roman" w:cs="Times New Roman"/>
          <w:i/>
          <w:iCs/>
        </w:rPr>
        <w:t xml:space="preserve">Miller </w:t>
      </w:r>
      <w:r w:rsidRPr="003901A3">
        <w:rPr>
          <w:rStyle w:val="d2edcug0"/>
          <w:rFonts w:ascii="Times New Roman" w:hAnsi="Times New Roman" w:cs="Times New Roman"/>
        </w:rPr>
        <w:t>(1972)</w:t>
      </w:r>
      <w:r w:rsidRPr="003901A3">
        <w:rPr>
          <w:rStyle w:val="FootnoteReference"/>
          <w:rFonts w:ascii="Times New Roman" w:hAnsi="Times New Roman" w:cs="Times New Roman"/>
        </w:rPr>
        <w:footnoteReference w:id="217"/>
      </w:r>
      <w:r w:rsidRPr="003901A3">
        <w:rPr>
          <w:rStyle w:val="d2edcug0"/>
          <w:rFonts w:ascii="Times New Roman" w:hAnsi="Times New Roman" w:cs="Times New Roman"/>
        </w:rPr>
        <w:t xml:space="preserve">, </w:t>
      </w:r>
      <w:r w:rsidRPr="003901A3">
        <w:rPr>
          <w:rStyle w:val="d2edcug0"/>
          <w:rFonts w:ascii="Times New Roman" w:hAnsi="Times New Roman" w:cs="Times New Roman"/>
          <w:color w:val="FF0000"/>
        </w:rPr>
        <w:t xml:space="preserve"> </w:t>
      </w:r>
      <w:r w:rsidRPr="003901A3">
        <w:rPr>
          <w:rStyle w:val="d2edcug0"/>
          <w:rFonts w:ascii="Times New Roman" w:hAnsi="Times New Roman" w:cs="Times New Roman"/>
        </w:rPr>
        <w:t>tried to lay out an obscenity formula for determining what one court member famously said he could only “identify when he saw it.”</w:t>
      </w:r>
    </w:p>
    <w:p w14:paraId="47562844" w14:textId="77777777" w:rsidR="00B10FA3" w:rsidRPr="003901A3" w:rsidRDefault="00B10FA3" w:rsidP="00574146">
      <w:pPr>
        <w:spacing w:line="480" w:lineRule="auto"/>
        <w:rPr>
          <w:rStyle w:val="d2edcug0"/>
          <w:rFonts w:ascii="Times New Roman" w:hAnsi="Times New Roman" w:cs="Times New Roman"/>
        </w:rPr>
      </w:pPr>
      <w:r w:rsidRPr="003901A3">
        <w:rPr>
          <w:rStyle w:val="d2edcug0"/>
          <w:rFonts w:ascii="Times New Roman" w:hAnsi="Times New Roman" w:cs="Times New Roman"/>
        </w:rPr>
        <w:t xml:space="preserve">     One can trace the word </w:t>
      </w:r>
      <w:r w:rsidRPr="003901A3">
        <w:rPr>
          <w:rStyle w:val="d2edcug0"/>
          <w:rFonts w:ascii="Times New Roman" w:hAnsi="Times New Roman" w:cs="Times New Roman"/>
          <w:i/>
          <w:iCs/>
        </w:rPr>
        <w:t>obscene</w:t>
      </w:r>
      <w:r w:rsidRPr="003901A3">
        <w:rPr>
          <w:rStyle w:val="d2edcug0"/>
          <w:rFonts w:ascii="Times New Roman" w:hAnsi="Times New Roman" w:cs="Times New Roman"/>
        </w:rPr>
        <w:t xml:space="preserve"> to the mid to late 16</w:t>
      </w:r>
      <w:r w:rsidRPr="003901A3">
        <w:rPr>
          <w:rStyle w:val="d2edcug0"/>
          <w:rFonts w:ascii="Times New Roman" w:hAnsi="Times New Roman" w:cs="Times New Roman"/>
          <w:vertAlign w:val="superscript"/>
        </w:rPr>
        <w:t>th</w:t>
      </w:r>
      <w:r w:rsidRPr="003901A3">
        <w:rPr>
          <w:rStyle w:val="d2edcug0"/>
          <w:rFonts w:ascii="Times New Roman" w:hAnsi="Times New Roman" w:cs="Times New Roman"/>
        </w:rPr>
        <w:t xml:space="preserve"> century; there, it is described as depicting lasciviousness, to be sure. But there is also the indication that the obscene refers to a </w:t>
      </w:r>
      <w:r w:rsidRPr="003901A3">
        <w:rPr>
          <w:rStyle w:val="d2edcug0"/>
          <w:rFonts w:ascii="Times New Roman" w:hAnsi="Times New Roman" w:cs="Times New Roman"/>
          <w:i/>
          <w:iCs/>
        </w:rPr>
        <w:t>rupture of the social order</w:t>
      </w:r>
      <w:r w:rsidRPr="003901A3">
        <w:rPr>
          <w:rStyle w:val="d2edcug0"/>
          <w:rFonts w:ascii="Times New Roman" w:hAnsi="Times New Roman" w:cs="Times New Roman"/>
        </w:rPr>
        <w:t xml:space="preserve"> through the violation of community norms and standards. Obscenity is described a societal poison, a cancer to the shared social order of a community. (Perhaps we could draw a cross-cultural parallel with the Muslim ban on images of Allah as a </w:t>
      </w:r>
      <w:r w:rsidRPr="003901A3">
        <w:rPr>
          <w:rStyle w:val="d2edcug0"/>
          <w:rFonts w:ascii="Times New Roman" w:hAnsi="Times New Roman" w:cs="Times New Roman"/>
        </w:rPr>
        <w:lastRenderedPageBreak/>
        <w:t>tightly held cultural norm that renders “obscene” any actions to depict his image.) This is, of course, adheres to community norms and morals. It refers to that speech that harms the social order; that which appears to undermine the public good. It needn’t be sexually oriented, as is commonly supposed in obscenity cases.</w:t>
      </w:r>
    </w:p>
    <w:p w14:paraId="4F5383C8" w14:textId="77777777" w:rsidR="00B10FA3" w:rsidRPr="003901A3" w:rsidRDefault="00B10FA3" w:rsidP="00574146">
      <w:pPr>
        <w:spacing w:line="480" w:lineRule="auto"/>
        <w:rPr>
          <w:rStyle w:val="d2edcug0"/>
          <w:rFonts w:ascii="Times New Roman" w:hAnsi="Times New Roman" w:cs="Times New Roman"/>
        </w:rPr>
      </w:pPr>
      <w:r w:rsidRPr="003901A3">
        <w:rPr>
          <w:rStyle w:val="d2edcug0"/>
          <w:rFonts w:ascii="Times New Roman" w:hAnsi="Times New Roman" w:cs="Times New Roman"/>
        </w:rPr>
        <w:t xml:space="preserve">     Early on, the American courts relied in obscenity cases on the so-called </w:t>
      </w:r>
      <w:r w:rsidRPr="003901A3">
        <w:rPr>
          <w:rStyle w:val="d2edcug0"/>
          <w:rFonts w:ascii="Times New Roman" w:hAnsi="Times New Roman" w:cs="Times New Roman"/>
          <w:i/>
          <w:iCs/>
        </w:rPr>
        <w:t>Hicklin Rule</w:t>
      </w:r>
      <w:r w:rsidRPr="003901A3">
        <w:rPr>
          <w:rStyle w:val="d2edcug0"/>
          <w:rFonts w:ascii="Times New Roman" w:hAnsi="Times New Roman" w:cs="Times New Roman"/>
        </w:rPr>
        <w:t xml:space="preserve">, which stemmed from a British case in 1868. Obscenity was defined as that which “corrupts the minds of those who are open to such immoral influences.” This interpretation was expanded upon and refined in the U.S. Supreme Court </w:t>
      </w:r>
      <w:r w:rsidRPr="003901A3">
        <w:rPr>
          <w:rStyle w:val="d2edcug0"/>
          <w:rFonts w:ascii="Times New Roman" w:hAnsi="Times New Roman" w:cs="Times New Roman"/>
          <w:i/>
          <w:iCs/>
        </w:rPr>
        <w:t xml:space="preserve">Roth </w:t>
      </w:r>
      <w:r w:rsidRPr="003901A3">
        <w:rPr>
          <w:rStyle w:val="d2edcug0"/>
          <w:rFonts w:ascii="Times New Roman" w:hAnsi="Times New Roman" w:cs="Times New Roman"/>
        </w:rPr>
        <w:t>case of 1957, a split decision, penned by William Brennen, that attempted to formulate a set of criteria for distinguishing obscenity from other speech. Some general guidelines were applied about the ‘prurient interest’ provoked by and the redeeming social value provided by such works. Community standards came into play, and a standard was set that cases should be settled on a case-by-case basis.</w:t>
      </w:r>
    </w:p>
    <w:p w14:paraId="51F369A5" w14:textId="77777777" w:rsidR="00B10FA3" w:rsidRPr="003901A3" w:rsidRDefault="00B10FA3" w:rsidP="00574146">
      <w:pPr>
        <w:spacing w:after="100" w:line="480" w:lineRule="auto"/>
        <w:rPr>
          <w:rFonts w:ascii="Times New Roman" w:eastAsia="Times New Roman" w:hAnsi="Times New Roman" w:cs="Times New Roman"/>
          <w:lang w:eastAsia="en-CA"/>
        </w:rPr>
      </w:pPr>
      <w:r w:rsidRPr="003901A3">
        <w:rPr>
          <w:rStyle w:val="d2edcug0"/>
          <w:rFonts w:ascii="Times New Roman" w:hAnsi="Times New Roman" w:cs="Times New Roman"/>
          <w:lang w:val="en"/>
        </w:rPr>
        <w:t xml:space="preserve">    The </w:t>
      </w:r>
      <w:r w:rsidRPr="003901A3">
        <w:rPr>
          <w:rStyle w:val="d2edcug0"/>
          <w:rFonts w:ascii="Times New Roman" w:hAnsi="Times New Roman" w:cs="Times New Roman"/>
          <w:i/>
          <w:iCs/>
          <w:lang w:val="en"/>
        </w:rPr>
        <w:t xml:space="preserve">Miller </w:t>
      </w:r>
      <w:r w:rsidRPr="003901A3">
        <w:rPr>
          <w:rStyle w:val="d2edcug0"/>
          <w:rFonts w:ascii="Times New Roman" w:hAnsi="Times New Roman" w:cs="Times New Roman"/>
          <w:lang w:val="en"/>
        </w:rPr>
        <w:t xml:space="preserve">case in 1972 provided a more established framework for determining what constituted a work of obscenity, particularly in clarifying that ‘community standards’ could refer to local groups, rather than national ones. Second, </w:t>
      </w:r>
      <w:r w:rsidRPr="003901A3">
        <w:rPr>
          <w:rStyle w:val="d2edcug0"/>
          <w:rFonts w:ascii="Times New Roman" w:hAnsi="Times New Roman" w:cs="Times New Roman"/>
          <w:i/>
          <w:iCs/>
          <w:lang w:val="en"/>
        </w:rPr>
        <w:t>social value</w:t>
      </w:r>
      <w:r w:rsidRPr="003901A3">
        <w:rPr>
          <w:rStyle w:val="d2edcug0"/>
          <w:rFonts w:ascii="Times New Roman" w:hAnsi="Times New Roman" w:cs="Times New Roman"/>
          <w:lang w:val="en"/>
        </w:rPr>
        <w:t xml:space="preserve"> of works was more specifically held to a </w:t>
      </w:r>
      <w:r w:rsidRPr="003901A3">
        <w:rPr>
          <w:rStyle w:val="d2edcug0"/>
          <w:rFonts w:ascii="Times New Roman" w:hAnsi="Times New Roman" w:cs="Times New Roman"/>
          <w:i/>
          <w:iCs/>
          <w:lang w:val="en"/>
        </w:rPr>
        <w:t>serious</w:t>
      </w:r>
      <w:r w:rsidRPr="003901A3">
        <w:rPr>
          <w:rStyle w:val="d2edcug0"/>
          <w:rFonts w:ascii="Times New Roman" w:hAnsi="Times New Roman" w:cs="Times New Roman"/>
          <w:lang w:val="en"/>
        </w:rPr>
        <w:t xml:space="preserve"> literary cultural, political, artistic or scientific standard. </w:t>
      </w:r>
      <w:r w:rsidRPr="003901A3">
        <w:rPr>
          <w:rStyle w:val="d2edcug0"/>
          <w:rFonts w:ascii="Times New Roman" w:hAnsi="Times New Roman" w:cs="Times New Roman"/>
          <w:i/>
          <w:iCs/>
          <w:lang w:val="en"/>
        </w:rPr>
        <w:t xml:space="preserve">Miller </w:t>
      </w:r>
      <w:r w:rsidRPr="003901A3">
        <w:rPr>
          <w:rStyle w:val="d2edcug0"/>
          <w:rFonts w:ascii="Times New Roman" w:hAnsi="Times New Roman" w:cs="Times New Roman"/>
          <w:lang w:val="en"/>
        </w:rPr>
        <w:t xml:space="preserve">set a </w:t>
      </w:r>
      <w:r w:rsidRPr="003901A3">
        <w:rPr>
          <w:rStyle w:val="d2edcug0"/>
          <w:rFonts w:ascii="Times New Roman" w:hAnsi="Times New Roman" w:cs="Times New Roman"/>
          <w:i/>
          <w:iCs/>
          <w:lang w:val="en"/>
        </w:rPr>
        <w:t>three part standard</w:t>
      </w:r>
      <w:r w:rsidRPr="003901A3">
        <w:rPr>
          <w:rStyle w:val="d2edcug0"/>
          <w:rFonts w:ascii="Times New Roman" w:hAnsi="Times New Roman" w:cs="Times New Roman"/>
          <w:lang w:val="en"/>
        </w:rPr>
        <w:t xml:space="preserve"> for the definition of obscene work: </w:t>
      </w:r>
      <w:r w:rsidRPr="003901A3">
        <w:rPr>
          <w:rFonts w:ascii="Times New Roman" w:eastAsia="Times New Roman" w:hAnsi="Times New Roman" w:cs="Times New Roman"/>
          <w:lang w:eastAsia="en-CA"/>
        </w:rPr>
        <w:t>The basic guidelines for the establishment of fact must be: (a) whether 'the average person, applying contemporary community standards' would find that the work, taken as a whole, appeals to the prurient interest, (b) whether the work depicts or describes, in a patently offensive way, sexual conduct specifically defined by the applicable state law; and (c) whether the work, taken as a whole, lacks serious literary, artistic, political, or scientific value.</w:t>
      </w:r>
    </w:p>
    <w:p w14:paraId="0228BE8E" w14:textId="77777777" w:rsidR="00B10FA3" w:rsidRPr="003901A3" w:rsidRDefault="00B10FA3" w:rsidP="00574146">
      <w:pPr>
        <w:spacing w:after="100" w:line="480" w:lineRule="auto"/>
        <w:rPr>
          <w:rFonts w:ascii="Times New Roman" w:eastAsia="Times New Roman" w:hAnsi="Times New Roman" w:cs="Times New Roman"/>
          <w:lang w:eastAsia="en-CA"/>
        </w:rPr>
      </w:pPr>
      <w:r w:rsidRPr="003901A3">
        <w:rPr>
          <w:rFonts w:ascii="Times New Roman" w:eastAsia="Times New Roman" w:hAnsi="Times New Roman" w:cs="Times New Roman"/>
          <w:lang w:eastAsia="en-CA"/>
        </w:rPr>
        <w:t xml:space="preserve">     Must obscene language be of a sexual nature? I would argue that such a view considers harmful speech too narrowly. If obscene speech is defined as foul, vulgar or boding ill; if it is </w:t>
      </w:r>
      <w:r w:rsidRPr="003901A3">
        <w:rPr>
          <w:rFonts w:ascii="Times New Roman" w:eastAsia="Times New Roman" w:hAnsi="Times New Roman" w:cs="Times New Roman"/>
          <w:lang w:eastAsia="en-CA"/>
        </w:rPr>
        <w:lastRenderedPageBreak/>
        <w:t xml:space="preserve">depicted as destabilizing to the body politic or community; if it is characterized as indecent and corrupting to the mind, then why need it be constricted to the realm of the sexual? (The famous “7 words” that landed George Carlin in court were certainly provocative and crude, but hardly </w:t>
      </w:r>
      <w:r w:rsidRPr="003901A3">
        <w:rPr>
          <w:rFonts w:ascii="Times New Roman" w:eastAsia="Times New Roman" w:hAnsi="Times New Roman" w:cs="Times New Roman"/>
          <w:i/>
          <w:iCs/>
          <w:lang w:eastAsia="en-CA"/>
        </w:rPr>
        <w:t>sexualized</w:t>
      </w:r>
      <w:r w:rsidRPr="003901A3">
        <w:rPr>
          <w:rFonts w:ascii="Times New Roman" w:eastAsia="Times New Roman" w:hAnsi="Times New Roman" w:cs="Times New Roman"/>
          <w:lang w:eastAsia="en-CA"/>
        </w:rPr>
        <w:t xml:space="preserve"> in any meaningful way, for the most part. By and large, they referred to mundane representations of bodily parts and functions.)  </w:t>
      </w:r>
    </w:p>
    <w:p w14:paraId="7022F85E" w14:textId="77777777" w:rsidR="00B10FA3" w:rsidRPr="003901A3" w:rsidRDefault="00B10FA3" w:rsidP="00574146">
      <w:pPr>
        <w:spacing w:after="100" w:line="480" w:lineRule="auto"/>
        <w:rPr>
          <w:rFonts w:ascii="Times New Roman" w:eastAsia="Times New Roman" w:hAnsi="Times New Roman" w:cs="Times New Roman"/>
          <w:lang w:eastAsia="en-CA"/>
        </w:rPr>
      </w:pPr>
      <w:r w:rsidRPr="003901A3">
        <w:rPr>
          <w:rFonts w:ascii="Times New Roman" w:eastAsia="Times New Roman" w:hAnsi="Times New Roman" w:cs="Times New Roman"/>
          <w:lang w:eastAsia="en-CA"/>
        </w:rPr>
        <w:t xml:space="preserve">     Conversely, speech that advocates violence or violent change of government is patently dangerous and corrosive. Speech that purports to confuse the populace, that lies in ways that cause domestic strife, conflict and death is certainly not protected speech. Language that prevents the healthy process of government is suspect; that which, over time, seeks, through foul speech, to subvert and undermine that very government with misdirection, deception and cynicism, may well forfeit its speech freedoms. A healthy democracy thrives on the participation of its members. When distorted and distended forms of speech inhibit the ability to practice free speech, there is a systemic problem, and one that might be attributed to the corruption of the social order, that is, </w:t>
      </w:r>
      <w:r w:rsidRPr="003901A3">
        <w:rPr>
          <w:rFonts w:ascii="Times New Roman" w:eastAsia="Times New Roman" w:hAnsi="Times New Roman" w:cs="Times New Roman"/>
          <w:i/>
          <w:iCs/>
          <w:lang w:eastAsia="en-CA"/>
        </w:rPr>
        <w:t>obscenity</w:t>
      </w:r>
      <w:r w:rsidRPr="003901A3">
        <w:rPr>
          <w:rFonts w:ascii="Times New Roman" w:eastAsia="Times New Roman" w:hAnsi="Times New Roman" w:cs="Times New Roman"/>
          <w:lang w:eastAsia="en-CA"/>
        </w:rPr>
        <w:t>.</w:t>
      </w:r>
    </w:p>
    <w:p w14:paraId="089F237E" w14:textId="77777777" w:rsidR="00B10FA3" w:rsidRPr="003901A3" w:rsidRDefault="00B10FA3" w:rsidP="00574146">
      <w:pPr>
        <w:spacing w:after="100" w:line="480" w:lineRule="auto"/>
        <w:rPr>
          <w:rFonts w:ascii="Times New Roman" w:eastAsia="Times New Roman" w:hAnsi="Times New Roman" w:cs="Times New Roman"/>
          <w:lang w:eastAsia="en-CA"/>
        </w:rPr>
      </w:pPr>
    </w:p>
    <w:p w14:paraId="5C214E32" w14:textId="77777777" w:rsidR="00B10FA3" w:rsidRPr="003901A3" w:rsidRDefault="00B10FA3" w:rsidP="00574146">
      <w:pPr>
        <w:spacing w:after="100" w:line="480" w:lineRule="auto"/>
        <w:rPr>
          <w:rFonts w:ascii="Times New Roman" w:eastAsia="Times New Roman" w:hAnsi="Times New Roman" w:cs="Times New Roman"/>
          <w:b/>
          <w:bCs/>
          <w:sz w:val="28"/>
          <w:szCs w:val="28"/>
          <w:lang w:eastAsia="en-CA"/>
        </w:rPr>
      </w:pPr>
      <w:r w:rsidRPr="003901A3">
        <w:rPr>
          <w:rFonts w:ascii="Times New Roman" w:eastAsia="Times New Roman" w:hAnsi="Times New Roman" w:cs="Times New Roman"/>
          <w:b/>
          <w:bCs/>
          <w:sz w:val="28"/>
          <w:szCs w:val="28"/>
          <w:lang w:eastAsia="en-CA"/>
        </w:rPr>
        <w:t>Systematic Lying as Strategy</w:t>
      </w:r>
    </w:p>
    <w:p w14:paraId="04C1C190" w14:textId="77777777" w:rsidR="00B10FA3" w:rsidRPr="003901A3" w:rsidRDefault="00B10FA3" w:rsidP="00574146">
      <w:pPr>
        <w:spacing w:after="100" w:line="480" w:lineRule="auto"/>
        <w:rPr>
          <w:rFonts w:ascii="Times New Roman" w:eastAsia="Times New Roman" w:hAnsi="Times New Roman" w:cs="Times New Roman"/>
          <w:lang w:eastAsia="en-CA"/>
        </w:rPr>
      </w:pPr>
      <w:r w:rsidRPr="003901A3">
        <w:rPr>
          <w:rFonts w:ascii="Times New Roman" w:eastAsia="Times New Roman" w:hAnsi="Times New Roman" w:cs="Times New Roman"/>
          <w:lang w:eastAsia="en-CA"/>
        </w:rPr>
        <w:t xml:space="preserve">     As previously mentioned, Steve Bannon once infamously said that one useful tactic of propaganda was to “overwhelm and confuse” the public by “throwing as much </w:t>
      </w:r>
      <w:proofErr w:type="spellStart"/>
      <w:r w:rsidRPr="003901A3">
        <w:rPr>
          <w:rFonts w:ascii="Times New Roman" w:eastAsia="Times New Roman" w:hAnsi="Times New Roman" w:cs="Times New Roman"/>
          <w:lang w:eastAsia="en-CA"/>
        </w:rPr>
        <w:t>sh</w:t>
      </w:r>
      <w:proofErr w:type="spellEnd"/>
      <w:r w:rsidRPr="003901A3">
        <w:rPr>
          <w:rFonts w:ascii="Times New Roman" w:eastAsia="Times New Roman" w:hAnsi="Times New Roman" w:cs="Times New Roman"/>
          <w:lang w:eastAsia="en-CA"/>
        </w:rPr>
        <w:t xml:space="preserve">*t at the wall as possible.” Such a strategy has, at its base, the goal of destabilizing reasoned speech and discussion. Such sentiment opposes empirical inquiry. It is the political equivalent of a 4 year old yelling “I know you are but what am I.” It is, in the end, the cynical </w:t>
      </w:r>
      <w:r w:rsidRPr="003901A3">
        <w:rPr>
          <w:rFonts w:ascii="Times New Roman" w:eastAsia="Times New Roman" w:hAnsi="Times New Roman" w:cs="Times New Roman"/>
          <w:i/>
          <w:iCs/>
          <w:lang w:eastAsia="en-CA"/>
        </w:rPr>
        <w:t>utilization of our first amendment against our first amendment</w:t>
      </w:r>
      <w:r w:rsidRPr="003901A3">
        <w:rPr>
          <w:rFonts w:ascii="Times New Roman" w:eastAsia="Times New Roman" w:hAnsi="Times New Roman" w:cs="Times New Roman"/>
          <w:lang w:eastAsia="en-CA"/>
        </w:rPr>
        <w:t xml:space="preserve">, to pervert and stymie free speech through the utilization of free speech. At some point, the law needs to take into account the cause - effect relationship of this strategy. </w:t>
      </w:r>
    </w:p>
    <w:p w14:paraId="182B6C49" w14:textId="77777777" w:rsidR="00B10FA3" w:rsidRPr="003901A3" w:rsidRDefault="00B10FA3" w:rsidP="00574146">
      <w:pPr>
        <w:spacing w:after="100" w:line="480" w:lineRule="auto"/>
        <w:rPr>
          <w:rFonts w:ascii="Times New Roman" w:eastAsia="Times New Roman" w:hAnsi="Times New Roman" w:cs="Times New Roman"/>
          <w:lang w:eastAsia="en-CA"/>
        </w:rPr>
      </w:pPr>
      <w:r w:rsidRPr="003901A3">
        <w:rPr>
          <w:rFonts w:ascii="Times New Roman" w:eastAsia="Times New Roman" w:hAnsi="Times New Roman" w:cs="Times New Roman"/>
          <w:lang w:eastAsia="en-CA"/>
        </w:rPr>
        <w:lastRenderedPageBreak/>
        <w:t xml:space="preserve">     Previous attempts to seemingly protect the state against dangerous speech were often heavy handed, such as the </w:t>
      </w:r>
      <w:r w:rsidRPr="003901A3">
        <w:rPr>
          <w:rFonts w:ascii="Times New Roman" w:eastAsia="Times New Roman" w:hAnsi="Times New Roman" w:cs="Times New Roman"/>
          <w:i/>
          <w:iCs/>
          <w:lang w:eastAsia="en-CA"/>
        </w:rPr>
        <w:t>Alien and Sedition Acts</w:t>
      </w:r>
      <w:r w:rsidRPr="003901A3">
        <w:rPr>
          <w:rFonts w:ascii="Times New Roman" w:eastAsia="Times New Roman" w:hAnsi="Times New Roman" w:cs="Times New Roman"/>
          <w:lang w:eastAsia="en-CA"/>
        </w:rPr>
        <w:t xml:space="preserve">, under the administration of President John Adams. More recently, the </w:t>
      </w:r>
      <w:r w:rsidRPr="003901A3">
        <w:rPr>
          <w:rFonts w:ascii="Times New Roman" w:eastAsia="Times New Roman" w:hAnsi="Times New Roman" w:cs="Times New Roman"/>
          <w:i/>
          <w:iCs/>
          <w:lang w:eastAsia="en-CA"/>
        </w:rPr>
        <w:t>Smith and McCarren Acts</w:t>
      </w:r>
      <w:r w:rsidRPr="003901A3">
        <w:rPr>
          <w:rFonts w:ascii="Times New Roman" w:eastAsia="Times New Roman" w:hAnsi="Times New Roman" w:cs="Times New Roman"/>
          <w:lang w:eastAsia="en-CA"/>
        </w:rPr>
        <w:t xml:space="preserve"> attempted to limit certain forms of political speech, using the threat of international Communism as a pretext. Whether as buttresses against the malign influences of the French Revolution or Stalinism, historic efforts to suppress speech have not stood the test of time.  </w:t>
      </w:r>
    </w:p>
    <w:p w14:paraId="54E5DE1F" w14:textId="77777777" w:rsidR="00B10FA3" w:rsidRPr="003901A3" w:rsidRDefault="00B10FA3" w:rsidP="00574146">
      <w:pPr>
        <w:spacing w:after="100" w:line="480" w:lineRule="auto"/>
        <w:rPr>
          <w:rFonts w:ascii="Times New Roman" w:eastAsia="Times New Roman" w:hAnsi="Times New Roman" w:cs="Times New Roman"/>
          <w:lang w:eastAsia="en-CA"/>
        </w:rPr>
      </w:pPr>
      <w:r w:rsidRPr="003901A3">
        <w:rPr>
          <w:rFonts w:ascii="Times New Roman" w:eastAsia="Times New Roman" w:hAnsi="Times New Roman" w:cs="Times New Roman"/>
          <w:lang w:eastAsia="en-CA"/>
        </w:rPr>
        <w:t xml:space="preserve">      But we live in peculiar time today. Political cynicism in the US resembles that of 1950s Czechoslovakia or East Germany; </w:t>
      </w:r>
      <w:r w:rsidRPr="003901A3">
        <w:rPr>
          <w:rFonts w:ascii="Times New Roman" w:eastAsia="Times New Roman" w:hAnsi="Times New Roman" w:cs="Times New Roman"/>
          <w:i/>
          <w:iCs/>
          <w:lang w:eastAsia="en-CA"/>
        </w:rPr>
        <w:t>lying</w:t>
      </w:r>
      <w:r w:rsidRPr="003901A3">
        <w:rPr>
          <w:rFonts w:ascii="Times New Roman" w:eastAsia="Times New Roman" w:hAnsi="Times New Roman" w:cs="Times New Roman"/>
          <w:lang w:eastAsia="en-CA"/>
        </w:rPr>
        <w:t xml:space="preserve"> has become (again) </w:t>
      </w:r>
      <w:r w:rsidRPr="003901A3">
        <w:rPr>
          <w:rFonts w:ascii="Times New Roman" w:eastAsia="Times New Roman" w:hAnsi="Times New Roman" w:cs="Times New Roman"/>
          <w:i/>
          <w:iCs/>
          <w:lang w:eastAsia="en-CA"/>
        </w:rPr>
        <w:t>Kafkaesque</w:t>
      </w:r>
      <w:r w:rsidRPr="003901A3">
        <w:rPr>
          <w:rFonts w:ascii="Times New Roman" w:eastAsia="Times New Roman" w:hAnsi="Times New Roman" w:cs="Times New Roman"/>
          <w:lang w:eastAsia="en-CA"/>
        </w:rPr>
        <w:t xml:space="preserve">; a tool not only to be utilized tactically, but as a self-supporting strategy itself. The truth itself is on trial. I would submit that, when community morality — dare I say community survival </w:t>
      </w:r>
      <w:r w:rsidRPr="003901A3">
        <w:rPr>
          <w:rFonts w:ascii="Times New Roman" w:eastAsia="Times New Roman" w:hAnsi="Times New Roman" w:cs="Times New Roman"/>
          <w:lang w:eastAsia="en-CA"/>
        </w:rPr>
        <w:softHyphen/>
      </w:r>
      <w:r w:rsidRPr="003901A3">
        <w:rPr>
          <w:rFonts w:ascii="Times New Roman" w:eastAsia="Times New Roman" w:hAnsi="Times New Roman" w:cs="Times New Roman"/>
          <w:lang w:eastAsia="en-CA"/>
        </w:rPr>
        <w:softHyphen/>
        <w:t>— is linked to clear channels of communication through intelligible language, that which is obscene assumes the place of the worm, the virus, the unaccountable unknown that sows division, discontent and strikes a stake through the heart of democracy.</w:t>
      </w:r>
    </w:p>
    <w:p w14:paraId="11872E8B" w14:textId="77777777" w:rsidR="00B10FA3" w:rsidRPr="003901A3" w:rsidRDefault="00B10FA3" w:rsidP="00574146">
      <w:pPr>
        <w:spacing w:after="100" w:line="480" w:lineRule="auto"/>
        <w:rPr>
          <w:rFonts w:ascii="Times New Roman" w:eastAsia="Times New Roman" w:hAnsi="Times New Roman" w:cs="Times New Roman"/>
          <w:lang w:eastAsia="en-CA"/>
        </w:rPr>
      </w:pPr>
    </w:p>
    <w:p w14:paraId="33010F6B" w14:textId="77777777" w:rsidR="00B10FA3" w:rsidRPr="006C0469" w:rsidRDefault="00B10FA3" w:rsidP="00574146">
      <w:pPr>
        <w:spacing w:line="480" w:lineRule="auto"/>
        <w:rPr>
          <w:rFonts w:ascii="Times New Roman" w:hAnsi="Times New Roman" w:cs="Times New Roman"/>
          <w:i/>
          <w:iCs/>
          <w:sz w:val="28"/>
          <w:szCs w:val="28"/>
        </w:rPr>
      </w:pPr>
      <w:r w:rsidRPr="006C0469">
        <w:rPr>
          <w:rFonts w:ascii="Times New Roman" w:hAnsi="Times New Roman" w:cs="Times New Roman"/>
          <w:b/>
          <w:bCs/>
          <w:i/>
          <w:iCs/>
          <w:sz w:val="28"/>
          <w:szCs w:val="28"/>
        </w:rPr>
        <w:t>What – fundamentally - is a Lie?</w:t>
      </w:r>
    </w:p>
    <w:p w14:paraId="4AB95449" w14:textId="1E9DE4A6" w:rsidR="00B10FA3" w:rsidRPr="003901A3" w:rsidRDefault="00B10FA3" w:rsidP="00574146">
      <w:pPr>
        <w:spacing w:line="480" w:lineRule="auto"/>
        <w:rPr>
          <w:rFonts w:ascii="Times New Roman" w:hAnsi="Times New Roman" w:cs="Times New Roman"/>
        </w:rPr>
      </w:pPr>
      <w:r w:rsidRPr="003901A3">
        <w:rPr>
          <w:rFonts w:ascii="Times New Roman" w:hAnsi="Times New Roman" w:cs="Times New Roman"/>
        </w:rPr>
        <w:t xml:space="preserve">      So – what is a lie? Try this: </w:t>
      </w:r>
      <w:r w:rsidRPr="003901A3">
        <w:rPr>
          <w:rFonts w:ascii="Times New Roman" w:hAnsi="Times New Roman" w:cs="Times New Roman"/>
          <w:i/>
          <w:iCs/>
        </w:rPr>
        <w:t>“A lie is a statement made by one who does not believe it with the intention that someone else should be led to believe it.”</w:t>
      </w:r>
      <w:r w:rsidRPr="003901A3">
        <w:rPr>
          <w:rStyle w:val="FootnoteReference"/>
          <w:rFonts w:ascii="Times New Roman" w:hAnsi="Times New Roman" w:cs="Times New Roman"/>
          <w:i/>
          <w:iCs/>
        </w:rPr>
        <w:footnoteReference w:id="218"/>
      </w:r>
      <w:r w:rsidRPr="003901A3">
        <w:rPr>
          <w:rFonts w:ascii="Times New Roman" w:hAnsi="Times New Roman" w:cs="Times New Roman"/>
        </w:rPr>
        <w:t xml:space="preserve"> So, clearly, a lie, at least in a serious, societal sense, carries weight. Augustine and Aquinas considered lies as </w:t>
      </w:r>
      <w:r w:rsidRPr="003901A3">
        <w:rPr>
          <w:rFonts w:ascii="Times New Roman" w:hAnsi="Times New Roman" w:cs="Times New Roman"/>
          <w:i/>
          <w:iCs/>
        </w:rPr>
        <w:t>defying the laws of nature</w:t>
      </w:r>
      <w:r w:rsidRPr="003901A3">
        <w:rPr>
          <w:rFonts w:ascii="Times New Roman" w:hAnsi="Times New Roman" w:cs="Times New Roman"/>
        </w:rPr>
        <w:t xml:space="preserve">. Kant complained that the lie was a “false assertion” - an absolute wrong – that denied the dignity of people. In the end, Kant saw lies and misrepresentations as </w:t>
      </w:r>
      <w:r w:rsidRPr="003901A3">
        <w:rPr>
          <w:rFonts w:ascii="Times New Roman" w:hAnsi="Times New Roman" w:cs="Times New Roman"/>
          <w:i/>
          <w:iCs/>
        </w:rPr>
        <w:t xml:space="preserve">undermining </w:t>
      </w:r>
      <w:r w:rsidRPr="003901A3">
        <w:rPr>
          <w:rFonts w:ascii="Times New Roman" w:hAnsi="Times New Roman" w:cs="Times New Roman"/>
          <w:i/>
          <w:iCs/>
        </w:rPr>
        <w:lastRenderedPageBreak/>
        <w:t>the ability of a people to self</w:t>
      </w:r>
      <w:r w:rsidR="00727E18">
        <w:rPr>
          <w:rFonts w:ascii="Times New Roman" w:hAnsi="Times New Roman" w:cs="Times New Roman"/>
          <w:i/>
          <w:iCs/>
        </w:rPr>
        <w:t>-</w:t>
      </w:r>
      <w:r w:rsidRPr="003901A3">
        <w:rPr>
          <w:rFonts w:ascii="Times New Roman" w:hAnsi="Times New Roman" w:cs="Times New Roman"/>
          <w:i/>
          <w:iCs/>
        </w:rPr>
        <w:t>govern.</w:t>
      </w:r>
      <w:r w:rsidRPr="003901A3">
        <w:rPr>
          <w:rStyle w:val="FootnoteReference"/>
          <w:rFonts w:ascii="Times New Roman" w:hAnsi="Times New Roman" w:cs="Times New Roman"/>
        </w:rPr>
        <w:footnoteReference w:id="219"/>
      </w:r>
      <w:r w:rsidRPr="003901A3">
        <w:rPr>
          <w:rFonts w:ascii="Times New Roman" w:hAnsi="Times New Roman" w:cs="Times New Roman"/>
        </w:rPr>
        <w:t>This is a vital insight to a commonly overlooked issue – not to mention a national psychosis.</w:t>
      </w:r>
    </w:p>
    <w:p w14:paraId="42E35B3F" w14:textId="4222706F" w:rsidR="00B10FA3" w:rsidRPr="003901A3" w:rsidRDefault="00B10FA3" w:rsidP="00574146">
      <w:pPr>
        <w:spacing w:line="480" w:lineRule="auto"/>
        <w:rPr>
          <w:rFonts w:ascii="Times New Roman" w:hAnsi="Times New Roman" w:cs="Times New Roman"/>
        </w:rPr>
      </w:pPr>
      <w:r w:rsidRPr="003901A3">
        <w:rPr>
          <w:rFonts w:ascii="Times New Roman" w:hAnsi="Times New Roman" w:cs="Times New Roman"/>
        </w:rPr>
        <w:t xml:space="preserve">    Thomas Hobbes, an influential 17</w:t>
      </w:r>
      <w:r w:rsidRPr="003901A3">
        <w:rPr>
          <w:rFonts w:ascii="Times New Roman" w:hAnsi="Times New Roman" w:cs="Times New Roman"/>
          <w:vertAlign w:val="superscript"/>
        </w:rPr>
        <w:t>th</w:t>
      </w:r>
      <w:r w:rsidRPr="003901A3">
        <w:rPr>
          <w:rFonts w:ascii="Times New Roman" w:hAnsi="Times New Roman" w:cs="Times New Roman"/>
        </w:rPr>
        <w:t xml:space="preserve"> century philosopher in the development of both British and American political systems, described lies as “assaults on the autonomy of its victims,” rendering rational choice making impossible.  Hobbes, like John Locke, was an early advocate of the “social contract,” the notion that a population might agree to work together outside of a barbaric ‘state of nature’ to create a more rational circumstance. However, if individuals were to give their consent to the civilizing mission, there had to be certain rules in place. One of these, more recently discussed in political science, is the “Fair Play” notion. Markets may only work when a common set of rules are applied and adhered to. An advertisement might “guild the lily” but cannot engage in overt misrepresentation. Such behavior would undermine the ‘free’ marketplace. Similarly, societal benefits are </w:t>
      </w:r>
      <w:r w:rsidRPr="003901A3">
        <w:rPr>
          <w:rFonts w:ascii="Times New Roman" w:hAnsi="Times New Roman" w:cs="Times New Roman"/>
          <w:i/>
          <w:iCs/>
        </w:rPr>
        <w:t xml:space="preserve">cooperative; </w:t>
      </w:r>
      <w:r w:rsidRPr="003901A3">
        <w:rPr>
          <w:rFonts w:ascii="Times New Roman" w:hAnsi="Times New Roman" w:cs="Times New Roman"/>
        </w:rPr>
        <w:t>one who lies betrays that trust for their own purpose.</w:t>
      </w:r>
      <w:r w:rsidRPr="003901A3">
        <w:rPr>
          <w:rStyle w:val="FootnoteReference"/>
          <w:rFonts w:ascii="Times New Roman" w:hAnsi="Times New Roman" w:cs="Times New Roman"/>
        </w:rPr>
        <w:footnoteReference w:id="220"/>
      </w:r>
    </w:p>
    <w:p w14:paraId="27305ADA" w14:textId="77777777" w:rsidR="00B10FA3" w:rsidRPr="003901A3" w:rsidRDefault="00B10FA3" w:rsidP="00574146">
      <w:pPr>
        <w:spacing w:line="480" w:lineRule="auto"/>
        <w:rPr>
          <w:rFonts w:ascii="Times New Roman" w:hAnsi="Times New Roman" w:cs="Times New Roman"/>
        </w:rPr>
      </w:pPr>
      <w:r w:rsidRPr="003901A3">
        <w:rPr>
          <w:rFonts w:ascii="Times New Roman" w:hAnsi="Times New Roman" w:cs="Times New Roman"/>
        </w:rPr>
        <w:t xml:space="preserve">     Lying is a form of deception; as such, it is a sub-category of deception. St. Augustine devoted a portion of his work to the issue of lying, first noting that the liar must feign sincerity. The liar remains seemingly opaque, while hiding their true intentions. The persons lied to are assumed to be rational actors, as they must absorb the logic of the lie; they become unwitting </w:t>
      </w:r>
      <w:r w:rsidRPr="003901A3">
        <w:rPr>
          <w:rFonts w:ascii="Times New Roman" w:hAnsi="Times New Roman" w:cs="Times New Roman"/>
          <w:i/>
          <w:iCs/>
        </w:rPr>
        <w:t>participants</w:t>
      </w:r>
      <w:r w:rsidRPr="003901A3">
        <w:rPr>
          <w:rFonts w:ascii="Times New Roman" w:hAnsi="Times New Roman" w:cs="Times New Roman"/>
        </w:rPr>
        <w:t xml:space="preserve"> in the lie. In the end, the lie is often used against the community itself, and, in this manner, the lie and the liar abuse both the community and the social ability of interaction within that community.</w:t>
      </w:r>
      <w:r w:rsidRPr="003901A3">
        <w:rPr>
          <w:rStyle w:val="FootnoteReference"/>
          <w:rFonts w:ascii="Times New Roman" w:hAnsi="Times New Roman" w:cs="Times New Roman"/>
        </w:rPr>
        <w:footnoteReference w:id="221"/>
      </w:r>
      <w:r w:rsidRPr="003901A3">
        <w:rPr>
          <w:rFonts w:ascii="Times New Roman" w:hAnsi="Times New Roman" w:cs="Times New Roman"/>
        </w:rPr>
        <w:t xml:space="preserve"> </w:t>
      </w:r>
    </w:p>
    <w:p w14:paraId="051A244E" w14:textId="3AF82AA0" w:rsidR="00B10FA3" w:rsidRPr="003901A3" w:rsidRDefault="00B10FA3" w:rsidP="00574146">
      <w:pPr>
        <w:spacing w:line="480" w:lineRule="auto"/>
        <w:rPr>
          <w:rFonts w:ascii="Times New Roman" w:hAnsi="Times New Roman" w:cs="Times New Roman"/>
        </w:rPr>
      </w:pPr>
      <w:r w:rsidRPr="003901A3">
        <w:rPr>
          <w:rFonts w:ascii="Times New Roman" w:hAnsi="Times New Roman" w:cs="Times New Roman"/>
        </w:rPr>
        <w:lastRenderedPageBreak/>
        <w:t xml:space="preserve">         Some research shows that chimpanzees lie, as a means of deceiving each other. But, often, if not as a matter of course, lying is often benign. Lies can protect. For example, Italian hospitals routinely tell family members information about the health condition of the patient of which the actual patient has no knowledge. Take the example of a three-year old child who receives a birthday present that was not what she had placed on her list; the child will, typically, hide disappointment as a means to ‘protect’ his parents and their friends. And speaking of youngsters, it has been shown that children as young as 30 months old use lies to avoid punishment – the hand in the cookie jar defense. Further, the higher the intelligence quotient of the child, the more likely they are to use a lie as a means out of an awkward social situation. By the age of three, shame and guilt mechanisms have been developed to the point where some lies may be perceived as acts of self</w:t>
      </w:r>
      <w:r w:rsidR="00613142">
        <w:rPr>
          <w:rFonts w:ascii="Times New Roman" w:hAnsi="Times New Roman" w:cs="Times New Roman"/>
        </w:rPr>
        <w:t>-</w:t>
      </w:r>
      <w:r w:rsidRPr="003901A3">
        <w:rPr>
          <w:rFonts w:ascii="Times New Roman" w:hAnsi="Times New Roman" w:cs="Times New Roman"/>
        </w:rPr>
        <w:t>deception.</w:t>
      </w:r>
      <w:r w:rsidRPr="003901A3">
        <w:rPr>
          <w:rStyle w:val="FootnoteReference"/>
          <w:rFonts w:ascii="Times New Roman" w:hAnsi="Times New Roman" w:cs="Times New Roman"/>
        </w:rPr>
        <w:footnoteReference w:id="222"/>
      </w:r>
    </w:p>
    <w:p w14:paraId="56EF8646" w14:textId="77777777" w:rsidR="00B10FA3" w:rsidRPr="003901A3" w:rsidRDefault="00B10FA3" w:rsidP="00574146">
      <w:pPr>
        <w:spacing w:line="480" w:lineRule="auto"/>
        <w:rPr>
          <w:rFonts w:ascii="Times New Roman" w:hAnsi="Times New Roman" w:cs="Times New Roman"/>
        </w:rPr>
      </w:pPr>
      <w:r w:rsidRPr="003901A3">
        <w:rPr>
          <w:rFonts w:ascii="Times New Roman" w:hAnsi="Times New Roman" w:cs="Times New Roman"/>
        </w:rPr>
        <w:t xml:space="preserve">     An </w:t>
      </w:r>
      <w:r w:rsidRPr="003901A3">
        <w:rPr>
          <w:rFonts w:ascii="Times New Roman" w:hAnsi="Times New Roman" w:cs="Times New Roman"/>
          <w:i/>
          <w:iCs/>
        </w:rPr>
        <w:t>adult liar</w:t>
      </w:r>
      <w:r w:rsidRPr="003901A3">
        <w:rPr>
          <w:rFonts w:ascii="Times New Roman" w:hAnsi="Times New Roman" w:cs="Times New Roman"/>
        </w:rPr>
        <w:t xml:space="preserve"> is a different matter. In this case, the lie </w:t>
      </w:r>
      <w:r w:rsidRPr="003901A3">
        <w:rPr>
          <w:rFonts w:ascii="Times New Roman" w:hAnsi="Times New Roman" w:cs="Times New Roman"/>
          <w:i/>
          <w:iCs/>
        </w:rPr>
        <w:t>breaks the social bond</w:t>
      </w:r>
      <w:r w:rsidRPr="003901A3">
        <w:rPr>
          <w:rFonts w:ascii="Times New Roman" w:hAnsi="Times New Roman" w:cs="Times New Roman"/>
        </w:rPr>
        <w:t>, as when a patient misleads a doctor. One could argue that only the patient has a stake in the outcome of the lie, but a social error is committed nonetheless. The patient refuses connection with the doctor, and a normal social function is denied.</w:t>
      </w:r>
      <w:r w:rsidRPr="003901A3">
        <w:rPr>
          <w:rStyle w:val="FootnoteReference"/>
          <w:rFonts w:ascii="Times New Roman" w:hAnsi="Times New Roman" w:cs="Times New Roman"/>
        </w:rPr>
        <w:footnoteReference w:id="223"/>
      </w:r>
      <w:r w:rsidRPr="003901A3">
        <w:rPr>
          <w:rFonts w:ascii="Times New Roman" w:hAnsi="Times New Roman" w:cs="Times New Roman"/>
        </w:rPr>
        <w:t xml:space="preserve"> </w:t>
      </w:r>
    </w:p>
    <w:p w14:paraId="3DFEFF46" w14:textId="77777777" w:rsidR="00B10FA3" w:rsidRPr="003901A3" w:rsidRDefault="00B10FA3" w:rsidP="00574146">
      <w:pPr>
        <w:spacing w:line="480" w:lineRule="auto"/>
        <w:rPr>
          <w:rFonts w:ascii="Times New Roman" w:hAnsi="Times New Roman" w:cs="Times New Roman"/>
        </w:rPr>
      </w:pPr>
      <w:r w:rsidRPr="003901A3">
        <w:rPr>
          <w:rFonts w:ascii="Times New Roman" w:hAnsi="Times New Roman" w:cs="Times New Roman"/>
        </w:rPr>
        <w:t xml:space="preserve">     But continuing with the example of the doctor, does an addict “lie” when misrepresenting their circumstances to a doctor? In a technical sense, they do lie – but with the potentially differing element that they do not lie to deceive, or to commit harm. Their lie is an imperative thrust upon them by the circumstances of their addiction. The motivation to deceive is replaced by the motivation to survive.</w:t>
      </w:r>
      <w:r w:rsidRPr="003901A3">
        <w:rPr>
          <w:rStyle w:val="FootnoteReference"/>
          <w:rFonts w:ascii="Times New Roman" w:hAnsi="Times New Roman" w:cs="Times New Roman"/>
        </w:rPr>
        <w:footnoteReference w:id="224"/>
      </w:r>
      <w:r w:rsidRPr="003901A3">
        <w:rPr>
          <w:rFonts w:ascii="Times New Roman" w:hAnsi="Times New Roman" w:cs="Times New Roman"/>
        </w:rPr>
        <w:t xml:space="preserve"> </w:t>
      </w:r>
    </w:p>
    <w:p w14:paraId="7A940415" w14:textId="77777777" w:rsidR="00B10FA3" w:rsidRPr="009170BD" w:rsidRDefault="00B10FA3" w:rsidP="00574146">
      <w:pPr>
        <w:spacing w:line="480" w:lineRule="auto"/>
        <w:rPr>
          <w:rFonts w:ascii="Times New Roman" w:hAnsi="Times New Roman" w:cs="Times New Roman"/>
        </w:rPr>
      </w:pPr>
      <w:r w:rsidRPr="003901A3">
        <w:rPr>
          <w:rFonts w:ascii="Times New Roman" w:hAnsi="Times New Roman" w:cs="Times New Roman"/>
        </w:rPr>
        <w:lastRenderedPageBreak/>
        <w:t xml:space="preserve">     The effects of lying are profound, to the community and to the individual. William Shakespeare alluded to lying when he stated that “the memory is both the warder of the brain and its courtesan.” As such, lies can both enslave and liberate. They trap the individual in their fictions, but they also liberate the liars from the responsibility of truth, to the disadvantage of </w:t>
      </w:r>
      <w:r w:rsidRPr="009170BD">
        <w:rPr>
          <w:rFonts w:ascii="Times New Roman" w:hAnsi="Times New Roman" w:cs="Times New Roman"/>
        </w:rPr>
        <w:t>the deceived.</w:t>
      </w:r>
      <w:r w:rsidRPr="009170BD">
        <w:rPr>
          <w:rStyle w:val="FootnoteReference"/>
          <w:rFonts w:ascii="Times New Roman" w:hAnsi="Times New Roman" w:cs="Times New Roman"/>
        </w:rPr>
        <w:footnoteReference w:id="225"/>
      </w:r>
      <w:r w:rsidRPr="009170BD">
        <w:rPr>
          <w:rFonts w:ascii="Times New Roman" w:hAnsi="Times New Roman" w:cs="Times New Roman"/>
        </w:rPr>
        <w:t xml:space="preserve"> </w:t>
      </w:r>
    </w:p>
    <w:p w14:paraId="1B6D89CD" w14:textId="77777777" w:rsidR="00B10FA3" w:rsidRPr="003901A3" w:rsidRDefault="00B10FA3" w:rsidP="00574146">
      <w:pPr>
        <w:pStyle w:val="Subtitle"/>
        <w:spacing w:line="480" w:lineRule="auto"/>
        <w:rPr>
          <w:rFonts w:ascii="Times New Roman" w:hAnsi="Times New Roman" w:cs="Times New Roman"/>
          <w:color w:val="0D0D0D" w:themeColor="text1" w:themeTint="F2"/>
          <w:sz w:val="24"/>
          <w:szCs w:val="24"/>
        </w:rPr>
      </w:pPr>
      <w:r w:rsidRPr="003901A3">
        <w:rPr>
          <w:rFonts w:ascii="Times New Roman" w:hAnsi="Times New Roman" w:cs="Times New Roman"/>
          <w:color w:val="0D0D0D" w:themeColor="text1" w:themeTint="F2"/>
          <w:sz w:val="24"/>
          <w:szCs w:val="24"/>
        </w:rPr>
        <w:t xml:space="preserve">     A lie, it might be said, is a statement made by one who does not believe it with the intention that someone else should be led to believe it. A lie is a statement; and it involves intention. Third, there is typically a </w:t>
      </w:r>
      <w:r w:rsidRPr="003901A3">
        <w:rPr>
          <w:rFonts w:ascii="Times New Roman" w:hAnsi="Times New Roman" w:cs="Times New Roman"/>
          <w:i/>
          <w:iCs/>
          <w:color w:val="0D0D0D" w:themeColor="text1" w:themeTint="F2"/>
          <w:sz w:val="24"/>
          <w:szCs w:val="24"/>
        </w:rPr>
        <w:t>motive</w:t>
      </w:r>
      <w:r w:rsidRPr="003901A3">
        <w:rPr>
          <w:rFonts w:ascii="Times New Roman" w:hAnsi="Times New Roman" w:cs="Times New Roman"/>
          <w:color w:val="0D0D0D" w:themeColor="text1" w:themeTint="F2"/>
          <w:sz w:val="24"/>
          <w:szCs w:val="24"/>
        </w:rPr>
        <w:t xml:space="preserve"> behind the lie, though this may vary wildly, depending on the ambitions of the liar. It could involve theft, physical harm, or, more mundanely, just an effort to regain trust or honor. Exaggerations are not, typically lies. But misrepresentations </w:t>
      </w:r>
      <w:r w:rsidRPr="003901A3">
        <w:rPr>
          <w:rFonts w:ascii="Times New Roman" w:hAnsi="Times New Roman" w:cs="Times New Roman"/>
          <w:i/>
          <w:iCs/>
          <w:color w:val="0D0D0D" w:themeColor="text1" w:themeTint="F2"/>
          <w:sz w:val="24"/>
          <w:szCs w:val="24"/>
        </w:rPr>
        <w:t>are</w:t>
      </w:r>
      <w:r w:rsidRPr="003901A3">
        <w:rPr>
          <w:rFonts w:ascii="Times New Roman" w:hAnsi="Times New Roman" w:cs="Times New Roman"/>
          <w:color w:val="0D0D0D" w:themeColor="text1" w:themeTint="F2"/>
          <w:sz w:val="24"/>
          <w:szCs w:val="24"/>
        </w:rPr>
        <w:t xml:space="preserve"> lies, if they are direct, intentional and blatant.</w:t>
      </w:r>
      <w:r w:rsidRPr="003901A3">
        <w:rPr>
          <w:rStyle w:val="FootnoteReference"/>
          <w:rFonts w:ascii="Times New Roman" w:hAnsi="Times New Roman" w:cs="Times New Roman"/>
          <w:color w:val="0D0D0D" w:themeColor="text1" w:themeTint="F2"/>
          <w:sz w:val="24"/>
          <w:szCs w:val="24"/>
        </w:rPr>
        <w:footnoteReference w:id="226"/>
      </w:r>
      <w:r w:rsidRPr="003901A3">
        <w:rPr>
          <w:rFonts w:ascii="Times New Roman" w:hAnsi="Times New Roman" w:cs="Times New Roman"/>
          <w:color w:val="0D0D0D" w:themeColor="text1" w:themeTint="F2"/>
          <w:sz w:val="24"/>
          <w:szCs w:val="24"/>
        </w:rPr>
        <w:t xml:space="preserve"> In sum a liar denies what he affirms, and affirms what he denies. In doing so, he or she fundamentally opposes themselves. </w:t>
      </w:r>
    </w:p>
    <w:p w14:paraId="544C2DCD" w14:textId="77777777" w:rsidR="00B10FA3" w:rsidRPr="003901A3" w:rsidRDefault="00B10FA3" w:rsidP="00574146">
      <w:pPr>
        <w:spacing w:line="480" w:lineRule="auto"/>
        <w:rPr>
          <w:rFonts w:ascii="Times New Roman" w:hAnsi="Times New Roman" w:cs="Times New Roman"/>
        </w:rPr>
      </w:pPr>
      <w:r w:rsidRPr="003901A3">
        <w:rPr>
          <w:rFonts w:ascii="Times New Roman" w:hAnsi="Times New Roman" w:cs="Times New Roman"/>
        </w:rPr>
        <w:t xml:space="preserve">     Lies have consequences; indeed, they are intended to have consequences, some of which are significant, others not. If the lie is designed merely for itself say, as a joke, there is no real object through which the lie will deceive. “Yesterday I walked into a bar and talked to a unicorn” is a lie, but a harmless one at best; it draws only from its own energy. </w:t>
      </w:r>
    </w:p>
    <w:p w14:paraId="0985F162" w14:textId="77777777" w:rsidR="00B10FA3" w:rsidRPr="003901A3" w:rsidRDefault="00B10FA3" w:rsidP="00574146">
      <w:pPr>
        <w:spacing w:line="480" w:lineRule="auto"/>
        <w:rPr>
          <w:rFonts w:ascii="Times New Roman" w:hAnsi="Times New Roman" w:cs="Times New Roman"/>
        </w:rPr>
      </w:pPr>
      <w:r w:rsidRPr="003901A3">
        <w:rPr>
          <w:rFonts w:ascii="Times New Roman" w:hAnsi="Times New Roman" w:cs="Times New Roman"/>
        </w:rPr>
        <w:t xml:space="preserve">     A lie that has a goal beyond itself and beyond its own goal of lying, is a more serious matter.  For example, if my sister-in-law were to die in a car accident, and I was to witness it, and were to tell her husband afterwards that his wife was ok, I would be guilty of a major lie, </w:t>
      </w:r>
      <w:r w:rsidRPr="003901A3">
        <w:rPr>
          <w:rFonts w:ascii="Times New Roman" w:hAnsi="Times New Roman" w:cs="Times New Roman"/>
        </w:rPr>
        <w:lastRenderedPageBreak/>
        <w:t>a significant transgression. I would, essentially, be trading short term comfort for long term pain and estrangement.</w:t>
      </w:r>
    </w:p>
    <w:p w14:paraId="728A0342" w14:textId="21FF931A" w:rsidR="00B10FA3" w:rsidRPr="003901A3" w:rsidRDefault="00B10FA3" w:rsidP="00574146">
      <w:pPr>
        <w:spacing w:line="480" w:lineRule="auto"/>
        <w:rPr>
          <w:rFonts w:ascii="Times New Roman" w:hAnsi="Times New Roman" w:cs="Times New Roman"/>
        </w:rPr>
      </w:pPr>
      <w:r w:rsidRPr="003901A3">
        <w:rPr>
          <w:rFonts w:ascii="Times New Roman" w:hAnsi="Times New Roman" w:cs="Times New Roman"/>
        </w:rPr>
        <w:t xml:space="preserve">     Putting Aristotle aside for a moment, let us take a look at Plato’s comment that “there are necessary lies.” </w:t>
      </w:r>
      <w:r w:rsidR="00C9162B">
        <w:rPr>
          <w:rFonts w:ascii="Times New Roman" w:hAnsi="Times New Roman" w:cs="Times New Roman"/>
        </w:rPr>
        <w:t xml:space="preserve">More specifically, he developed the idea of the “Noble Lie,” which was, in effect an intentional lie spread by elites in a society. The purpose of the lie </w:t>
      </w:r>
      <w:r w:rsidR="002764CE">
        <w:rPr>
          <w:rFonts w:ascii="Times New Roman" w:hAnsi="Times New Roman" w:cs="Times New Roman"/>
        </w:rPr>
        <w:t xml:space="preserve">was to appeal to the maintenance of social order or to appeal to societies sense of the greater good. Noble lies are not terribly different </w:t>
      </w:r>
      <w:r w:rsidR="00200E78">
        <w:rPr>
          <w:rFonts w:ascii="Times New Roman" w:hAnsi="Times New Roman" w:cs="Times New Roman"/>
        </w:rPr>
        <w:t xml:space="preserve">in substance and function as societal or national myths. But, lies have consequences: </w:t>
      </w:r>
      <w:r w:rsidRPr="003901A3">
        <w:rPr>
          <w:rFonts w:ascii="Times New Roman" w:hAnsi="Times New Roman" w:cs="Times New Roman"/>
        </w:rPr>
        <w:t>Jeremy Benthem, a noted 19</w:t>
      </w:r>
      <w:r w:rsidRPr="003901A3">
        <w:rPr>
          <w:rFonts w:ascii="Times New Roman" w:hAnsi="Times New Roman" w:cs="Times New Roman"/>
          <w:vertAlign w:val="superscript"/>
        </w:rPr>
        <w:t>th</w:t>
      </w:r>
      <w:r w:rsidRPr="003901A3">
        <w:rPr>
          <w:rFonts w:ascii="Times New Roman" w:hAnsi="Times New Roman" w:cs="Times New Roman"/>
        </w:rPr>
        <w:t xml:space="preserve"> century Utilitarian, and Bertrand Russell, a 20</w:t>
      </w:r>
      <w:r w:rsidRPr="003901A3">
        <w:rPr>
          <w:rFonts w:ascii="Times New Roman" w:hAnsi="Times New Roman" w:cs="Times New Roman"/>
          <w:vertAlign w:val="superscript"/>
        </w:rPr>
        <w:t>th</w:t>
      </w:r>
      <w:r w:rsidRPr="003901A3">
        <w:rPr>
          <w:rFonts w:ascii="Times New Roman" w:hAnsi="Times New Roman" w:cs="Times New Roman"/>
        </w:rPr>
        <w:t xml:space="preserve"> century philosopher and logician, agreed that the ‘</w:t>
      </w:r>
      <w:r w:rsidRPr="003901A3">
        <w:rPr>
          <w:rFonts w:ascii="Times New Roman" w:hAnsi="Times New Roman" w:cs="Times New Roman"/>
          <w:i/>
          <w:iCs/>
        </w:rPr>
        <w:t>wrongness’ about lying lies in the injury to the victim</w:t>
      </w:r>
      <w:r w:rsidRPr="003901A3">
        <w:rPr>
          <w:rFonts w:ascii="Times New Roman" w:hAnsi="Times New Roman" w:cs="Times New Roman"/>
        </w:rPr>
        <w:t>, rather than in the satisfaction of the impulse to lie in the liar.</w:t>
      </w:r>
      <w:r w:rsidR="00F076E9">
        <w:rPr>
          <w:rFonts w:ascii="Times New Roman" w:hAnsi="Times New Roman" w:cs="Times New Roman"/>
        </w:rPr>
        <w:t xml:space="preserve"> One could perhaps extend this definition to include</w:t>
      </w:r>
      <w:r w:rsidR="003F7034">
        <w:rPr>
          <w:rFonts w:ascii="Times New Roman" w:hAnsi="Times New Roman" w:cs="Times New Roman"/>
        </w:rPr>
        <w:t xml:space="preserve"> the ‘satisfaction of </w:t>
      </w:r>
      <w:r w:rsidR="003F7034" w:rsidRPr="003F7034">
        <w:rPr>
          <w:rFonts w:ascii="Times New Roman" w:hAnsi="Times New Roman" w:cs="Times New Roman"/>
          <w:i/>
          <w:iCs/>
        </w:rPr>
        <w:t>societies</w:t>
      </w:r>
      <w:r w:rsidR="003F7034">
        <w:rPr>
          <w:rFonts w:ascii="Times New Roman" w:hAnsi="Times New Roman" w:cs="Times New Roman"/>
        </w:rPr>
        <w:t xml:space="preserve"> lied to.’</w:t>
      </w:r>
      <w:r w:rsidRPr="003901A3">
        <w:rPr>
          <w:rStyle w:val="FootnoteReference"/>
          <w:rFonts w:ascii="Times New Roman" w:hAnsi="Times New Roman" w:cs="Times New Roman"/>
        </w:rPr>
        <w:footnoteReference w:id="227"/>
      </w:r>
    </w:p>
    <w:p w14:paraId="33ABDFD5" w14:textId="77777777" w:rsidR="00B10FA3" w:rsidRPr="003901A3" w:rsidRDefault="00B10FA3" w:rsidP="00574146">
      <w:pPr>
        <w:spacing w:line="480" w:lineRule="auto"/>
        <w:rPr>
          <w:rFonts w:ascii="Times New Roman" w:hAnsi="Times New Roman" w:cs="Times New Roman"/>
          <w:b/>
          <w:bCs/>
          <w:sz w:val="32"/>
          <w:szCs w:val="32"/>
        </w:rPr>
      </w:pPr>
    </w:p>
    <w:p w14:paraId="63B6B4BC" w14:textId="77777777" w:rsidR="00B10FA3" w:rsidRPr="003901A3" w:rsidRDefault="00B10FA3" w:rsidP="00574146">
      <w:pPr>
        <w:spacing w:line="480" w:lineRule="auto"/>
        <w:rPr>
          <w:rFonts w:ascii="Times New Roman" w:hAnsi="Times New Roman" w:cs="Times New Roman"/>
          <w:b/>
          <w:bCs/>
          <w:sz w:val="28"/>
          <w:szCs w:val="28"/>
        </w:rPr>
      </w:pPr>
      <w:r w:rsidRPr="003901A3">
        <w:rPr>
          <w:rFonts w:ascii="Times New Roman" w:hAnsi="Times New Roman" w:cs="Times New Roman"/>
          <w:b/>
          <w:bCs/>
          <w:sz w:val="28"/>
          <w:szCs w:val="28"/>
        </w:rPr>
        <w:t>The</w:t>
      </w:r>
      <w:r w:rsidRPr="003901A3">
        <w:rPr>
          <w:rFonts w:ascii="Times New Roman" w:hAnsi="Times New Roman" w:cs="Times New Roman"/>
          <w:sz w:val="28"/>
          <w:szCs w:val="28"/>
        </w:rPr>
        <w:t xml:space="preserve"> </w:t>
      </w:r>
      <w:r w:rsidRPr="003901A3">
        <w:rPr>
          <w:rFonts w:ascii="Times New Roman" w:hAnsi="Times New Roman" w:cs="Times New Roman"/>
          <w:b/>
          <w:bCs/>
          <w:i/>
          <w:iCs/>
          <w:sz w:val="28"/>
          <w:szCs w:val="28"/>
        </w:rPr>
        <w:t>Pseudo</w:t>
      </w:r>
      <w:r w:rsidRPr="003901A3">
        <w:rPr>
          <w:rFonts w:ascii="Times New Roman" w:hAnsi="Times New Roman" w:cs="Times New Roman"/>
          <w:b/>
          <w:bCs/>
          <w:sz w:val="28"/>
          <w:szCs w:val="28"/>
        </w:rPr>
        <w:t xml:space="preserve"> Lie: The Hoax</w:t>
      </w:r>
    </w:p>
    <w:p w14:paraId="73407FA3" w14:textId="77777777" w:rsidR="00B10FA3" w:rsidRPr="003901A3" w:rsidRDefault="00B10FA3" w:rsidP="00574146">
      <w:pPr>
        <w:spacing w:line="480" w:lineRule="auto"/>
        <w:rPr>
          <w:rFonts w:ascii="Times New Roman" w:hAnsi="Times New Roman" w:cs="Times New Roman"/>
        </w:rPr>
      </w:pPr>
      <w:r w:rsidRPr="003901A3">
        <w:rPr>
          <w:rFonts w:ascii="Times New Roman" w:hAnsi="Times New Roman" w:cs="Times New Roman"/>
        </w:rPr>
        <w:t xml:space="preserve">     Years ago, I visited a traveling carnival in Rockville, MD. The rides and attractions were pretty low grade, as I recall. Most of the action took place on a parking lot. There was one feature that interested me, however. On a riser, about four feet off the road, there stood a trailer with a sign promoting a “</w:t>
      </w:r>
      <w:r w:rsidRPr="003901A3">
        <w:rPr>
          <w:rFonts w:ascii="Times New Roman" w:hAnsi="Times New Roman" w:cs="Times New Roman"/>
          <w:i/>
          <w:iCs/>
        </w:rPr>
        <w:t>creature with the head of a woman, and the body of a snake.”</w:t>
      </w:r>
      <w:r w:rsidRPr="003901A3">
        <w:rPr>
          <w:rFonts w:ascii="Times New Roman" w:hAnsi="Times New Roman" w:cs="Times New Roman"/>
        </w:rPr>
        <w:t xml:space="preserve"> The price to walk up 3 steps to the trailer floor to see what was going on cost a dollar. Brad, my friend, scoffed it off as a scam, which, of course, it was. But I needed to see what was up there in the trailer. I paid my buck and ascended the stairs onto the floor of the trailer. In the center of the floor was a hole, about the size of a human head. In the hole was the human head of a woman, looking at me as I approached (I may have been the first customer of the day). </w:t>
      </w:r>
      <w:r w:rsidRPr="003901A3">
        <w:rPr>
          <w:rFonts w:ascii="Times New Roman" w:hAnsi="Times New Roman" w:cs="Times New Roman"/>
        </w:rPr>
        <w:lastRenderedPageBreak/>
        <w:t>She lay beneath the floor, with only her head protruding above – and, attached by tape to the back of her head was an obvious, extended plastic snake, about 4 feet long, painted forest green, and not moving in any way. Our eyes met, and I remember feeling both shame, but also vindication for myself (as I had the satisfaction of ‘knowing’ the scam), and pity for her. This was her day job.</w:t>
      </w:r>
    </w:p>
    <w:p w14:paraId="0C6D8D46" w14:textId="77777777" w:rsidR="00B10FA3" w:rsidRPr="003901A3" w:rsidRDefault="00B10FA3" w:rsidP="00574146">
      <w:pPr>
        <w:spacing w:line="480" w:lineRule="auto"/>
        <w:rPr>
          <w:rFonts w:ascii="Times New Roman" w:hAnsi="Times New Roman" w:cs="Times New Roman"/>
        </w:rPr>
      </w:pPr>
      <w:r w:rsidRPr="003901A3">
        <w:rPr>
          <w:rFonts w:ascii="Times New Roman" w:hAnsi="Times New Roman" w:cs="Times New Roman"/>
        </w:rPr>
        <w:t xml:space="preserve">     I was the victim, or, if you will, the participant, in a </w:t>
      </w:r>
      <w:r w:rsidRPr="003901A3">
        <w:rPr>
          <w:rFonts w:ascii="Times New Roman" w:hAnsi="Times New Roman" w:cs="Times New Roman"/>
          <w:i/>
          <w:iCs/>
        </w:rPr>
        <w:t>hoax</w:t>
      </w:r>
      <w:r w:rsidRPr="003901A3">
        <w:rPr>
          <w:rFonts w:ascii="Times New Roman" w:hAnsi="Times New Roman" w:cs="Times New Roman"/>
        </w:rPr>
        <w:t>. I was the sucker, who coughed up a sawbuck to reaffirm what he already knew in the rational part of his brain to be untrue and impossible. At the same time, I had foreknowledge of my actions, knowing full well that no woman was corporally attached to a snake in Rockville, Maryland. I was participating in a lie – and, an obvious one at that. But I was suspending disbelief to experience the manifestation of the lie, to see it lived out. For me, it was no scam – merely the resolution to an impossible claim that captured my curiosity. I had choices, and I decided to be taken, albeit for small change. In a perverse way, I learned from the experience.</w:t>
      </w:r>
    </w:p>
    <w:p w14:paraId="61D1700C" w14:textId="77777777" w:rsidR="00B10FA3" w:rsidRPr="003901A3" w:rsidRDefault="00B10FA3" w:rsidP="00574146">
      <w:pPr>
        <w:spacing w:line="480" w:lineRule="auto"/>
        <w:rPr>
          <w:rFonts w:ascii="Times New Roman" w:hAnsi="Times New Roman" w:cs="Times New Roman"/>
        </w:rPr>
      </w:pPr>
      <w:r w:rsidRPr="003901A3">
        <w:rPr>
          <w:rFonts w:ascii="Times New Roman" w:hAnsi="Times New Roman" w:cs="Times New Roman"/>
        </w:rPr>
        <w:t xml:space="preserve">     P. T. Barnum once famously created a sign in his circus entrance, pointing entrants “To The Egress.” Many followed the signs to a door, hoping to see this rare Egress, which deposited them outside of the tent, and required them to pay again for a new ticket to re-enter the circus, as “egress” is a fancy word for exit. The participants own naivete contributed to their being fooled; in a sense, they were “in” on the joke to a point. They had no one to blame but themselves. They were fools, but then, their unsuspecting friends might soon also be. The hoax is a social phenomenon, often obnoxious but often welcomed. </w:t>
      </w:r>
    </w:p>
    <w:p w14:paraId="3AC47059" w14:textId="77777777" w:rsidR="00B10FA3" w:rsidRPr="003901A3" w:rsidRDefault="00B10FA3" w:rsidP="00574146">
      <w:pPr>
        <w:spacing w:line="480" w:lineRule="auto"/>
        <w:rPr>
          <w:rFonts w:ascii="Times New Roman" w:hAnsi="Times New Roman" w:cs="Times New Roman"/>
          <w:b/>
          <w:bCs/>
          <w:sz w:val="32"/>
          <w:szCs w:val="32"/>
        </w:rPr>
      </w:pPr>
    </w:p>
    <w:p w14:paraId="432AF9D5" w14:textId="77777777" w:rsidR="009170BD" w:rsidRDefault="009170BD" w:rsidP="00574146">
      <w:pPr>
        <w:spacing w:line="480" w:lineRule="auto"/>
        <w:rPr>
          <w:rFonts w:ascii="Times New Roman" w:hAnsi="Times New Roman" w:cs="Times New Roman"/>
          <w:b/>
          <w:bCs/>
          <w:sz w:val="28"/>
          <w:szCs w:val="28"/>
        </w:rPr>
      </w:pPr>
    </w:p>
    <w:p w14:paraId="5C90EEDE" w14:textId="77777777" w:rsidR="009170BD" w:rsidRDefault="009170BD" w:rsidP="00574146">
      <w:pPr>
        <w:spacing w:line="480" w:lineRule="auto"/>
        <w:rPr>
          <w:rFonts w:ascii="Times New Roman" w:hAnsi="Times New Roman" w:cs="Times New Roman"/>
          <w:b/>
          <w:bCs/>
          <w:sz w:val="28"/>
          <w:szCs w:val="28"/>
        </w:rPr>
      </w:pPr>
    </w:p>
    <w:p w14:paraId="16C083F3" w14:textId="77777777" w:rsidR="009170BD" w:rsidRDefault="009170BD" w:rsidP="00574146">
      <w:pPr>
        <w:spacing w:line="480" w:lineRule="auto"/>
        <w:rPr>
          <w:rFonts w:ascii="Times New Roman" w:hAnsi="Times New Roman" w:cs="Times New Roman"/>
          <w:b/>
          <w:bCs/>
          <w:sz w:val="28"/>
          <w:szCs w:val="28"/>
        </w:rPr>
      </w:pPr>
    </w:p>
    <w:p w14:paraId="1D16E711" w14:textId="3F28AEA3" w:rsidR="00B10FA3" w:rsidRPr="003901A3" w:rsidRDefault="00B10FA3" w:rsidP="00574146">
      <w:pPr>
        <w:spacing w:line="480" w:lineRule="auto"/>
        <w:rPr>
          <w:rFonts w:ascii="Times New Roman" w:hAnsi="Times New Roman" w:cs="Times New Roman"/>
          <w:b/>
          <w:bCs/>
          <w:sz w:val="28"/>
          <w:szCs w:val="28"/>
        </w:rPr>
      </w:pPr>
      <w:r w:rsidRPr="003901A3">
        <w:rPr>
          <w:rFonts w:ascii="Times New Roman" w:hAnsi="Times New Roman" w:cs="Times New Roman"/>
          <w:b/>
          <w:bCs/>
          <w:sz w:val="28"/>
          <w:szCs w:val="28"/>
        </w:rPr>
        <w:t xml:space="preserve">The Con </w:t>
      </w:r>
    </w:p>
    <w:p w14:paraId="12AB3DC3" w14:textId="77777777" w:rsidR="00B10FA3" w:rsidRPr="003901A3" w:rsidRDefault="00B10FA3" w:rsidP="00574146">
      <w:pPr>
        <w:spacing w:line="480" w:lineRule="auto"/>
        <w:rPr>
          <w:rFonts w:ascii="Times New Roman" w:hAnsi="Times New Roman" w:cs="Times New Roman"/>
        </w:rPr>
      </w:pPr>
      <w:r w:rsidRPr="003901A3">
        <w:rPr>
          <w:rFonts w:ascii="Times New Roman" w:hAnsi="Times New Roman" w:cs="Times New Roman"/>
        </w:rPr>
        <w:t xml:space="preserve">     A </w:t>
      </w:r>
      <w:r w:rsidRPr="003901A3">
        <w:rPr>
          <w:rFonts w:ascii="Times New Roman" w:hAnsi="Times New Roman" w:cs="Times New Roman"/>
          <w:i/>
          <w:iCs/>
        </w:rPr>
        <w:t>con</w:t>
      </w:r>
      <w:r w:rsidRPr="003901A3">
        <w:rPr>
          <w:rFonts w:ascii="Times New Roman" w:hAnsi="Times New Roman" w:cs="Times New Roman"/>
        </w:rPr>
        <w:t xml:space="preserve"> is a different beast entirely. A con is not meant to be fun or ironic; rather, it is meant to cause material loss to the target, often in a significant way. The mark is not “in” on the game, before during or after its execution; deception and subterfuge are the operating rules of a con. There is danger in a con.</w:t>
      </w:r>
    </w:p>
    <w:p w14:paraId="4E6D195C" w14:textId="77777777" w:rsidR="00B10FA3" w:rsidRPr="003901A3" w:rsidRDefault="00B10FA3" w:rsidP="00574146">
      <w:pPr>
        <w:spacing w:line="480" w:lineRule="auto"/>
        <w:rPr>
          <w:rFonts w:ascii="Times New Roman" w:hAnsi="Times New Roman" w:cs="Times New Roman"/>
        </w:rPr>
      </w:pPr>
      <w:r w:rsidRPr="003901A3">
        <w:rPr>
          <w:rFonts w:ascii="Times New Roman" w:hAnsi="Times New Roman" w:cs="Times New Roman"/>
        </w:rPr>
        <w:t xml:space="preserve">     When I lived in Chicago, there was a commonly played game on the “El,” the public rail system. The game was </w:t>
      </w:r>
      <w:r w:rsidRPr="003901A3">
        <w:rPr>
          <w:rFonts w:ascii="Times New Roman" w:hAnsi="Times New Roman" w:cs="Times New Roman"/>
          <w:i/>
          <w:iCs/>
        </w:rPr>
        <w:t>three card monte</w:t>
      </w:r>
      <w:r w:rsidRPr="003901A3">
        <w:rPr>
          <w:rFonts w:ascii="Times New Roman" w:hAnsi="Times New Roman" w:cs="Times New Roman"/>
        </w:rPr>
        <w:t>; the game where there are three shells, and the button under one is the winner. No one ever won at this game; but there were plenty of apparent winners, confederates who worked with the dealer, placed ‘bets’ (usually of 50 dollars), and ‘won’ with regularity. This is a con; it differs from a hoax in several ways: first, it is not for fun. It is about deceit. Second, the ‘mark’ is never informed about the deceit, and remains uninformed. Third, there is often real loss involved – money, property, pride. A con is a real theft by the lie.</w:t>
      </w:r>
    </w:p>
    <w:p w14:paraId="4A72CF1D" w14:textId="77777777" w:rsidR="00B10FA3" w:rsidRPr="003901A3" w:rsidRDefault="00B10FA3" w:rsidP="00574146">
      <w:pPr>
        <w:spacing w:line="480" w:lineRule="auto"/>
        <w:rPr>
          <w:rFonts w:ascii="Times New Roman" w:hAnsi="Times New Roman" w:cs="Times New Roman"/>
        </w:rPr>
      </w:pPr>
      <w:r w:rsidRPr="003901A3">
        <w:rPr>
          <w:rFonts w:ascii="Times New Roman" w:hAnsi="Times New Roman" w:cs="Times New Roman"/>
        </w:rPr>
        <w:t xml:space="preserve">     </w:t>
      </w:r>
    </w:p>
    <w:p w14:paraId="31806C92" w14:textId="77777777" w:rsidR="00B10FA3" w:rsidRPr="003901A3" w:rsidRDefault="00B10FA3" w:rsidP="00574146">
      <w:pPr>
        <w:spacing w:line="480" w:lineRule="auto"/>
        <w:rPr>
          <w:rFonts w:ascii="Times New Roman" w:hAnsi="Times New Roman" w:cs="Times New Roman"/>
          <w:sz w:val="28"/>
          <w:szCs w:val="28"/>
        </w:rPr>
      </w:pPr>
      <w:r w:rsidRPr="003901A3">
        <w:rPr>
          <w:rFonts w:ascii="Times New Roman" w:hAnsi="Times New Roman" w:cs="Times New Roman"/>
          <w:b/>
          <w:bCs/>
          <w:sz w:val="28"/>
          <w:szCs w:val="28"/>
        </w:rPr>
        <w:t>The Deeper Meaning of Lying: Georg Simmel</w:t>
      </w:r>
    </w:p>
    <w:p w14:paraId="26D1D922" w14:textId="77777777" w:rsidR="00B10FA3" w:rsidRPr="003901A3" w:rsidRDefault="00B10FA3" w:rsidP="00574146">
      <w:pPr>
        <w:spacing w:line="480" w:lineRule="auto"/>
        <w:rPr>
          <w:rFonts w:ascii="Times New Roman" w:hAnsi="Times New Roman" w:cs="Times New Roman"/>
        </w:rPr>
      </w:pPr>
      <w:r w:rsidRPr="003901A3">
        <w:rPr>
          <w:rFonts w:ascii="Times New Roman" w:hAnsi="Times New Roman" w:cs="Times New Roman"/>
        </w:rPr>
        <w:t xml:space="preserve">     Early 20</w:t>
      </w:r>
      <w:r w:rsidRPr="003901A3">
        <w:rPr>
          <w:rFonts w:ascii="Times New Roman" w:hAnsi="Times New Roman" w:cs="Times New Roman"/>
          <w:vertAlign w:val="superscript"/>
        </w:rPr>
        <w:t>th</w:t>
      </w:r>
      <w:r w:rsidRPr="003901A3">
        <w:rPr>
          <w:rFonts w:ascii="Times New Roman" w:hAnsi="Times New Roman" w:cs="Times New Roman"/>
        </w:rPr>
        <w:t xml:space="preserve"> century social theorist Georg Simmel took a good, hard look at the phenomenon of lying. Through Simmel, we can push through some of the colloquial understandings of lying, and begin to look at the cultural significance of the practice. Key to Simmel’s analysis is this statement: </w:t>
      </w:r>
      <w:r w:rsidRPr="003901A3">
        <w:rPr>
          <w:rFonts w:ascii="Times New Roman" w:hAnsi="Times New Roman" w:cs="Times New Roman"/>
          <w:i/>
          <w:iCs/>
        </w:rPr>
        <w:t xml:space="preserve">“within each social stratum, an individual knows how much culture, </w:t>
      </w:r>
      <w:r w:rsidRPr="003901A3">
        <w:rPr>
          <w:rFonts w:ascii="Times New Roman" w:hAnsi="Times New Roman" w:cs="Times New Roman"/>
          <w:i/>
          <w:iCs/>
        </w:rPr>
        <w:lastRenderedPageBreak/>
        <w:t>approximately, he may expect of every other individual. Without such knowledge, evidently, these and many other kinds of interaction could not take place at all.”</w:t>
      </w:r>
      <w:r w:rsidRPr="003901A3">
        <w:rPr>
          <w:rStyle w:val="FootnoteReference"/>
          <w:rFonts w:ascii="Times New Roman" w:hAnsi="Times New Roman" w:cs="Times New Roman"/>
          <w:i/>
          <w:iCs/>
        </w:rPr>
        <w:footnoteReference w:id="228"/>
      </w:r>
    </w:p>
    <w:p w14:paraId="5B83BAC0" w14:textId="77777777" w:rsidR="00B10FA3" w:rsidRPr="003901A3" w:rsidRDefault="00B10FA3" w:rsidP="00574146">
      <w:pPr>
        <w:spacing w:line="480" w:lineRule="auto"/>
        <w:rPr>
          <w:rFonts w:ascii="Times New Roman" w:hAnsi="Times New Roman" w:cs="Times New Roman"/>
        </w:rPr>
      </w:pPr>
      <w:r w:rsidRPr="003901A3">
        <w:rPr>
          <w:rFonts w:ascii="Times New Roman" w:hAnsi="Times New Roman" w:cs="Times New Roman"/>
        </w:rPr>
        <w:t xml:space="preserve">     For Simmel, the social compact was not a perfect organism, but, when functioning properly, would stress </w:t>
      </w:r>
      <w:r w:rsidRPr="003901A3">
        <w:rPr>
          <w:rFonts w:ascii="Times New Roman" w:hAnsi="Times New Roman" w:cs="Times New Roman"/>
          <w:i/>
          <w:iCs/>
        </w:rPr>
        <w:t>reciprocity of knowledge</w:t>
      </w:r>
      <w:r w:rsidRPr="003901A3">
        <w:rPr>
          <w:rFonts w:ascii="Times New Roman" w:hAnsi="Times New Roman" w:cs="Times New Roman"/>
        </w:rPr>
        <w:t xml:space="preserve"> as a means of ascertaining truth from an interaction. Now, Simmel argues that many social interactions do not require or allow for reciprocity of knowledge; take, for example, a doctor who does not wish to upset an elderly patient with bad new, instead passing the information on to family members.  A suspected criminal may also be deprived of ‘reciprocal’ information until an investigation is complete.</w:t>
      </w:r>
      <w:r w:rsidRPr="003901A3">
        <w:rPr>
          <w:rStyle w:val="FootnoteReference"/>
          <w:rFonts w:ascii="Times New Roman" w:hAnsi="Times New Roman" w:cs="Times New Roman"/>
        </w:rPr>
        <w:footnoteReference w:id="229"/>
      </w:r>
      <w:r w:rsidRPr="003901A3">
        <w:rPr>
          <w:rFonts w:ascii="Times New Roman" w:hAnsi="Times New Roman" w:cs="Times New Roman"/>
        </w:rPr>
        <w:t xml:space="preserve">   </w:t>
      </w:r>
    </w:p>
    <w:p w14:paraId="67A049F0" w14:textId="77777777" w:rsidR="00B10FA3" w:rsidRPr="003901A3" w:rsidRDefault="00B10FA3" w:rsidP="00574146">
      <w:pPr>
        <w:spacing w:line="480" w:lineRule="auto"/>
        <w:rPr>
          <w:rFonts w:ascii="Times New Roman" w:hAnsi="Times New Roman" w:cs="Times New Roman"/>
        </w:rPr>
      </w:pPr>
      <w:r w:rsidRPr="003901A3">
        <w:rPr>
          <w:rFonts w:ascii="Times New Roman" w:hAnsi="Times New Roman" w:cs="Times New Roman"/>
        </w:rPr>
        <w:t xml:space="preserve">     Of course, as Simmel notes, lies can be told to the s</w:t>
      </w:r>
      <w:r w:rsidRPr="003901A3">
        <w:rPr>
          <w:rFonts w:ascii="Times New Roman" w:hAnsi="Times New Roman" w:cs="Times New Roman"/>
          <w:i/>
          <w:iCs/>
        </w:rPr>
        <w:t>elf</w:t>
      </w:r>
      <w:r w:rsidRPr="003901A3">
        <w:rPr>
          <w:rFonts w:ascii="Times New Roman" w:hAnsi="Times New Roman" w:cs="Times New Roman"/>
        </w:rPr>
        <w:t>; “the vital lie” of the individual who “needs to deceive himself in his capacities, even in regards to his feelings, and who cannot do without superstition about gods and men in order to maintain his life and his potentialities.”</w:t>
      </w:r>
      <w:r w:rsidRPr="003901A3">
        <w:rPr>
          <w:rStyle w:val="FootnoteReference"/>
          <w:rFonts w:ascii="Times New Roman" w:hAnsi="Times New Roman" w:cs="Times New Roman"/>
        </w:rPr>
        <w:footnoteReference w:id="230"/>
      </w:r>
      <w:r w:rsidRPr="003901A3">
        <w:rPr>
          <w:rFonts w:ascii="Times New Roman" w:hAnsi="Times New Roman" w:cs="Times New Roman"/>
        </w:rPr>
        <w:t xml:space="preserve"> </w:t>
      </w:r>
    </w:p>
    <w:p w14:paraId="0B417580" w14:textId="77777777" w:rsidR="00B10FA3" w:rsidRPr="003901A3" w:rsidRDefault="00B10FA3" w:rsidP="00574146">
      <w:pPr>
        <w:spacing w:line="480" w:lineRule="auto"/>
        <w:rPr>
          <w:rFonts w:ascii="Times New Roman" w:hAnsi="Times New Roman" w:cs="Times New Roman"/>
        </w:rPr>
      </w:pPr>
      <w:r w:rsidRPr="003901A3">
        <w:rPr>
          <w:rFonts w:ascii="Times New Roman" w:hAnsi="Times New Roman" w:cs="Times New Roman"/>
        </w:rPr>
        <w:t xml:space="preserve">     When we interact with another, Simmel argues, we don’t (even with strangers) offer merely a ‘fragment’ of our inner life, of our values, our moral sense and our psychological grounding. Instead, we offer a representation of our sense of reasoning, of our sense of value – in relation to the listener and his understanding. There is an inner reality that is expressed interactively in a social setting. Having said this, let us look upon the liar: the </w:t>
      </w:r>
      <w:r w:rsidRPr="003901A3">
        <w:rPr>
          <w:rFonts w:ascii="Times New Roman" w:hAnsi="Times New Roman" w:cs="Times New Roman"/>
          <w:i/>
          <w:iCs/>
        </w:rPr>
        <w:t>liar hides his true idea</w:t>
      </w:r>
      <w:r w:rsidRPr="003901A3">
        <w:rPr>
          <w:rFonts w:ascii="Times New Roman" w:hAnsi="Times New Roman" w:cs="Times New Roman"/>
        </w:rPr>
        <w:t>. The person lied to develops a false conception about the topic at hand; such person ‘remains deceived about the private opinion of the liar.’</w:t>
      </w:r>
      <w:r w:rsidRPr="003901A3">
        <w:rPr>
          <w:rStyle w:val="FootnoteReference"/>
          <w:rFonts w:ascii="Times New Roman" w:hAnsi="Times New Roman" w:cs="Times New Roman"/>
        </w:rPr>
        <w:footnoteReference w:id="231"/>
      </w:r>
    </w:p>
    <w:p w14:paraId="694565E5" w14:textId="77777777" w:rsidR="00B10FA3" w:rsidRPr="003901A3" w:rsidRDefault="00B10FA3" w:rsidP="00574146">
      <w:pPr>
        <w:spacing w:line="480" w:lineRule="auto"/>
        <w:rPr>
          <w:rFonts w:ascii="Times New Roman" w:hAnsi="Times New Roman" w:cs="Times New Roman"/>
        </w:rPr>
      </w:pPr>
      <w:r w:rsidRPr="003901A3">
        <w:rPr>
          <w:rFonts w:ascii="Times New Roman" w:hAnsi="Times New Roman" w:cs="Times New Roman"/>
        </w:rPr>
        <w:t xml:space="preserve">     In “primitive” societies, Simmel argues, an individual performs tasks within a limited framework of success or failure. When there is a problem, the individual or friends of the individual may suggest corrections, in the main he is guided by a sense of assuredness that is </w:t>
      </w:r>
      <w:r w:rsidRPr="003901A3">
        <w:rPr>
          <w:rFonts w:ascii="Times New Roman" w:hAnsi="Times New Roman" w:cs="Times New Roman"/>
        </w:rPr>
        <w:lastRenderedPageBreak/>
        <w:t xml:space="preserve">lacking in the modern world. This is “because the practice of his life is guided in the main by those few facts and circumstances of which his narrow angle of vision permits him to gain properly a </w:t>
      </w:r>
      <w:r w:rsidRPr="003901A3">
        <w:rPr>
          <w:rFonts w:ascii="Times New Roman" w:hAnsi="Times New Roman" w:cs="Times New Roman"/>
          <w:i/>
          <w:iCs/>
        </w:rPr>
        <w:t>correct</w:t>
      </w:r>
      <w:r w:rsidRPr="003901A3">
        <w:rPr>
          <w:rFonts w:ascii="Times New Roman" w:hAnsi="Times New Roman" w:cs="Times New Roman"/>
        </w:rPr>
        <w:t xml:space="preserve"> view. </w:t>
      </w:r>
      <w:r w:rsidRPr="003901A3">
        <w:rPr>
          <w:rStyle w:val="FootnoteReference"/>
          <w:rFonts w:ascii="Times New Roman" w:hAnsi="Times New Roman" w:cs="Times New Roman"/>
        </w:rPr>
        <w:footnoteReference w:id="232"/>
      </w:r>
    </w:p>
    <w:p w14:paraId="2662FD73" w14:textId="77777777" w:rsidR="00B10FA3" w:rsidRPr="003901A3" w:rsidRDefault="00B10FA3" w:rsidP="00574146">
      <w:pPr>
        <w:spacing w:line="480" w:lineRule="auto"/>
        <w:rPr>
          <w:rFonts w:ascii="Times New Roman" w:hAnsi="Times New Roman" w:cs="Times New Roman"/>
        </w:rPr>
      </w:pPr>
      <w:r w:rsidRPr="003901A3">
        <w:rPr>
          <w:rFonts w:ascii="Times New Roman" w:hAnsi="Times New Roman" w:cs="Times New Roman"/>
        </w:rPr>
        <w:t xml:space="preserve">     The problem with the modern world, Simmel says, is that the experience of an individual rests on a thousand premises, traditions, norms and laws, few if any of which can be referenced, tested or proven – within a timely manner - during a social situation. Their reality must be taken on </w:t>
      </w:r>
      <w:r w:rsidRPr="003901A3">
        <w:rPr>
          <w:rFonts w:ascii="Times New Roman" w:hAnsi="Times New Roman" w:cs="Times New Roman"/>
          <w:i/>
          <w:iCs/>
        </w:rPr>
        <w:t>faith</w:t>
      </w:r>
      <w:r w:rsidRPr="003901A3">
        <w:rPr>
          <w:rFonts w:ascii="Times New Roman" w:hAnsi="Times New Roman" w:cs="Times New Roman"/>
        </w:rPr>
        <w:t xml:space="preserve">. </w:t>
      </w:r>
      <w:r w:rsidRPr="003901A3">
        <w:rPr>
          <w:rFonts w:ascii="Times New Roman" w:hAnsi="Times New Roman" w:cs="Times New Roman"/>
          <w:i/>
          <w:iCs/>
          <w:u w:val="single"/>
        </w:rPr>
        <w:t>That faith in the modern world becomes the trust in the truthfulness of others</w:t>
      </w:r>
      <w:r w:rsidRPr="003901A3">
        <w:rPr>
          <w:rFonts w:ascii="Times New Roman" w:hAnsi="Times New Roman" w:cs="Times New Roman"/>
          <w:i/>
          <w:iCs/>
        </w:rPr>
        <w:t xml:space="preserve"> </w:t>
      </w:r>
      <w:r w:rsidRPr="003901A3">
        <w:rPr>
          <w:rFonts w:ascii="Times New Roman" w:hAnsi="Times New Roman" w:cs="Times New Roman"/>
        </w:rPr>
        <w:t>– the acknowledgement that the constant monitoring of contemporary fact is simply too arduous. However, we are caught in an inevitable system of relations in which our faith is our only defense against betrayal. A</w:t>
      </w:r>
      <w:r w:rsidRPr="003901A3">
        <w:rPr>
          <w:rFonts w:ascii="Times New Roman" w:hAnsi="Times New Roman" w:cs="Times New Roman"/>
          <w:i/>
          <w:iCs/>
        </w:rPr>
        <w:t xml:space="preserve"> lie</w:t>
      </w:r>
      <w:r w:rsidRPr="003901A3">
        <w:rPr>
          <w:rFonts w:ascii="Times New Roman" w:hAnsi="Times New Roman" w:cs="Times New Roman"/>
        </w:rPr>
        <w:t>, in the modern sense of the word, is more devastating than before in a primitive economy, as it questions the “very foundations” of life.</w:t>
      </w:r>
      <w:r w:rsidRPr="003901A3">
        <w:rPr>
          <w:rStyle w:val="FootnoteReference"/>
          <w:rFonts w:ascii="Times New Roman" w:hAnsi="Times New Roman" w:cs="Times New Roman"/>
        </w:rPr>
        <w:footnoteReference w:id="233"/>
      </w:r>
      <w:r w:rsidRPr="003901A3">
        <w:rPr>
          <w:rFonts w:ascii="Times New Roman" w:hAnsi="Times New Roman" w:cs="Times New Roman"/>
        </w:rPr>
        <w:t xml:space="preserve">  </w:t>
      </w:r>
    </w:p>
    <w:p w14:paraId="3EA1F6E6" w14:textId="77777777" w:rsidR="00B10FA3" w:rsidRPr="003901A3" w:rsidRDefault="00B10FA3" w:rsidP="00574146">
      <w:pPr>
        <w:spacing w:line="480" w:lineRule="auto"/>
        <w:rPr>
          <w:rFonts w:ascii="Times New Roman" w:hAnsi="Times New Roman" w:cs="Times New Roman"/>
        </w:rPr>
      </w:pPr>
      <w:r w:rsidRPr="003901A3">
        <w:rPr>
          <w:rFonts w:ascii="Times New Roman" w:hAnsi="Times New Roman" w:cs="Times New Roman"/>
        </w:rPr>
        <w:t xml:space="preserve">     Still, one might argue that there are benefits to lying, considering effects versus cause. But one must be careful; in Belgium, Switzerland to Germany, denying the Holocaust is an actual crime, and to prove guilt “no actual harm need appear.”</w:t>
      </w:r>
      <w:r w:rsidRPr="003901A3">
        <w:rPr>
          <w:rStyle w:val="FootnoteReference"/>
          <w:rFonts w:ascii="Times New Roman" w:hAnsi="Times New Roman" w:cs="Times New Roman"/>
        </w:rPr>
        <w:footnoteReference w:id="234"/>
      </w:r>
      <w:r w:rsidRPr="003901A3">
        <w:rPr>
          <w:rFonts w:ascii="Times New Roman" w:hAnsi="Times New Roman" w:cs="Times New Roman"/>
        </w:rPr>
        <w:t xml:space="preserve"> But some have endorsed the benefits of lying – officially. Frederick Nietzsche stated that an “active will requires lies,” as a lie is a break with convention that is necessary for the furtherance of a leader ‘beyond morality.’ Further, the lie ‘preserves the privacy’ of the liar, and provides a bit of (temporary) emotional comfort. Hegel and Diderot voiced similar opinions, in opposition to Kant, who saw lying as an absolute wrong.</w:t>
      </w:r>
      <w:r w:rsidRPr="003901A3">
        <w:rPr>
          <w:rStyle w:val="FootnoteReference"/>
          <w:rFonts w:ascii="Times New Roman" w:hAnsi="Times New Roman" w:cs="Times New Roman"/>
        </w:rPr>
        <w:footnoteReference w:id="235"/>
      </w:r>
      <w:r w:rsidRPr="003901A3">
        <w:rPr>
          <w:rFonts w:ascii="Times New Roman" w:hAnsi="Times New Roman" w:cs="Times New Roman"/>
        </w:rPr>
        <w:t xml:space="preserve"> </w:t>
      </w:r>
    </w:p>
    <w:p w14:paraId="6689B264" w14:textId="77777777" w:rsidR="00B10FA3" w:rsidRPr="003901A3" w:rsidRDefault="00B10FA3" w:rsidP="00574146">
      <w:pPr>
        <w:spacing w:line="480" w:lineRule="auto"/>
        <w:rPr>
          <w:rFonts w:ascii="Times New Roman" w:hAnsi="Times New Roman" w:cs="Times New Roman"/>
        </w:rPr>
      </w:pPr>
      <w:r w:rsidRPr="003901A3">
        <w:rPr>
          <w:rFonts w:ascii="Times New Roman" w:hAnsi="Times New Roman" w:cs="Times New Roman"/>
        </w:rPr>
        <w:t xml:space="preserve">     John Stuart Mill did not address lying directly, but did comment on the proper and improper roles of the state: the only legitimate reason to exercise power against the will of </w:t>
      </w:r>
      <w:r w:rsidRPr="003901A3">
        <w:rPr>
          <w:rFonts w:ascii="Times New Roman" w:hAnsi="Times New Roman" w:cs="Times New Roman"/>
        </w:rPr>
        <w:lastRenderedPageBreak/>
        <w:t>another is to prevent the commission of harm to others. Imbedded in this statement is a moral claim against lying. A lie, especially a social or substantive lie, exercises power against individuals, and clearly possesses the power to harm, and violates Mill’s ‘do no harm’ principle, which applies both to state and individual lying.</w:t>
      </w:r>
      <w:r w:rsidRPr="003901A3">
        <w:rPr>
          <w:rStyle w:val="FootnoteReference"/>
          <w:rFonts w:ascii="Times New Roman" w:hAnsi="Times New Roman" w:cs="Times New Roman"/>
        </w:rPr>
        <w:footnoteReference w:id="236"/>
      </w:r>
      <w:r w:rsidRPr="003901A3">
        <w:rPr>
          <w:rFonts w:ascii="Times New Roman" w:hAnsi="Times New Roman" w:cs="Times New Roman"/>
        </w:rPr>
        <w:t xml:space="preserve"> In the end, lying can erode societal trust, and create severe divisions within the body politic.</w:t>
      </w:r>
    </w:p>
    <w:p w14:paraId="1341F5C5" w14:textId="77777777" w:rsidR="00B10FA3" w:rsidRPr="006C0469" w:rsidRDefault="00B10FA3" w:rsidP="00574146">
      <w:pPr>
        <w:spacing w:line="480" w:lineRule="auto"/>
        <w:rPr>
          <w:rFonts w:ascii="Times New Roman" w:hAnsi="Times New Roman" w:cs="Times New Roman"/>
          <w:b/>
          <w:bCs/>
          <w:i/>
          <w:iCs/>
          <w:sz w:val="28"/>
          <w:szCs w:val="28"/>
        </w:rPr>
      </w:pPr>
      <w:r w:rsidRPr="006C0469">
        <w:rPr>
          <w:rFonts w:ascii="Times New Roman" w:hAnsi="Times New Roman" w:cs="Times New Roman"/>
          <w:b/>
          <w:bCs/>
          <w:i/>
          <w:iCs/>
          <w:sz w:val="28"/>
          <w:szCs w:val="28"/>
        </w:rPr>
        <w:t>Casual Lying in the Public Sphere</w:t>
      </w:r>
    </w:p>
    <w:p w14:paraId="647E3F49" w14:textId="77777777" w:rsidR="00B10FA3" w:rsidRPr="003901A3" w:rsidRDefault="00B10FA3" w:rsidP="00574146">
      <w:pPr>
        <w:spacing w:line="480" w:lineRule="auto"/>
        <w:rPr>
          <w:rFonts w:ascii="Times New Roman" w:hAnsi="Times New Roman" w:cs="Times New Roman"/>
        </w:rPr>
      </w:pPr>
      <w:r w:rsidRPr="003901A3">
        <w:rPr>
          <w:rFonts w:ascii="Times New Roman" w:hAnsi="Times New Roman" w:cs="Times New Roman"/>
        </w:rPr>
        <w:t xml:space="preserve">     It is one thing for individuals to lie in their private relations. Similarly, it might be forgiven for politicians to exaggerate, take liberties, misdirect or otherwise play games with facts. This is part of the game of political discourse and rhetoric. </w:t>
      </w:r>
    </w:p>
    <w:p w14:paraId="5A4EC09D" w14:textId="77777777" w:rsidR="00B10FA3" w:rsidRPr="003901A3" w:rsidRDefault="00B10FA3" w:rsidP="00574146">
      <w:pPr>
        <w:spacing w:line="480" w:lineRule="auto"/>
        <w:rPr>
          <w:rFonts w:ascii="Times New Roman" w:hAnsi="Times New Roman" w:cs="Times New Roman"/>
        </w:rPr>
      </w:pPr>
      <w:r w:rsidRPr="003901A3">
        <w:rPr>
          <w:rFonts w:ascii="Times New Roman" w:hAnsi="Times New Roman" w:cs="Times New Roman"/>
        </w:rPr>
        <w:t xml:space="preserve">     But such benign chicanery in the </w:t>
      </w:r>
      <w:r w:rsidRPr="003901A3">
        <w:rPr>
          <w:rFonts w:ascii="Times New Roman" w:hAnsi="Times New Roman" w:cs="Times New Roman"/>
          <w:i/>
          <w:iCs/>
        </w:rPr>
        <w:t>public sphere</w:t>
      </w:r>
      <w:r w:rsidRPr="003901A3">
        <w:rPr>
          <w:rFonts w:ascii="Times New Roman" w:hAnsi="Times New Roman" w:cs="Times New Roman"/>
        </w:rPr>
        <w:t xml:space="preserve"> is not without boundaries. There reaches a point when statements professed create true social confusion and conflict. For such appeals to be successful, certain conditions need apply. First, there needs to be a ‘champion’ fostering a new interpretation of some event or issue. Second, the political or social system, as it stands, must be frayed, in some way widely accepted as not credible or legitimate. Third, there needs to be a reaction among the general public</w:t>
      </w:r>
      <w:r w:rsidRPr="003901A3">
        <w:rPr>
          <w:rFonts w:ascii="Times New Roman" w:hAnsi="Times New Roman" w:cs="Times New Roman"/>
          <w:i/>
          <w:iCs/>
        </w:rPr>
        <w:t xml:space="preserve"> </w:t>
      </w:r>
      <w:r w:rsidRPr="003901A3">
        <w:rPr>
          <w:rFonts w:ascii="Times New Roman" w:hAnsi="Times New Roman" w:cs="Times New Roman"/>
        </w:rPr>
        <w:t>creates a level of resentment against the public figure or institution, allowing for falsehoods to flourish.</w:t>
      </w:r>
      <w:r w:rsidRPr="003901A3">
        <w:rPr>
          <w:rStyle w:val="FootnoteReference"/>
          <w:rFonts w:ascii="Times New Roman" w:hAnsi="Times New Roman" w:cs="Times New Roman"/>
        </w:rPr>
        <w:footnoteReference w:id="237"/>
      </w:r>
      <w:r w:rsidRPr="003901A3">
        <w:rPr>
          <w:rFonts w:ascii="Times New Roman" w:hAnsi="Times New Roman" w:cs="Times New Roman"/>
        </w:rPr>
        <w:t xml:space="preserve">       </w:t>
      </w:r>
    </w:p>
    <w:p w14:paraId="1A4032DC" w14:textId="1046E919" w:rsidR="00B10FA3" w:rsidRPr="003901A3" w:rsidRDefault="00B10FA3" w:rsidP="00574146">
      <w:pPr>
        <w:spacing w:line="480" w:lineRule="auto"/>
        <w:rPr>
          <w:rFonts w:ascii="Times New Roman" w:hAnsi="Times New Roman" w:cs="Times New Roman"/>
        </w:rPr>
      </w:pPr>
      <w:r w:rsidRPr="003901A3">
        <w:rPr>
          <w:rFonts w:ascii="Times New Roman" w:hAnsi="Times New Roman" w:cs="Times New Roman"/>
        </w:rPr>
        <w:t xml:space="preserve">          If a crisis of legitimacy exists within a society, or within its mainstream media realm, lies can flourish more easily, as the counter balance of truth in the culture has been diminished or damaged. In this context, there are several types of lies that might proliferate. The first is the simple statement of a fact that is, demonstrably, false. In a healthy information culture, such a statement could not gain traction. But when the culture is frightened, insecure, </w:t>
      </w:r>
      <w:r w:rsidRPr="003901A3">
        <w:rPr>
          <w:rFonts w:ascii="Times New Roman" w:hAnsi="Times New Roman" w:cs="Times New Roman"/>
        </w:rPr>
        <w:lastRenderedPageBreak/>
        <w:t>defensive or damaged, simple falsehoods might take hold in the popular imagination, either as truths or as conspiracy rumors.</w:t>
      </w:r>
    </w:p>
    <w:p w14:paraId="2BEBE403" w14:textId="03E495ED" w:rsidR="00B10FA3" w:rsidRPr="003901A3" w:rsidRDefault="00B10FA3" w:rsidP="00574146">
      <w:pPr>
        <w:spacing w:line="480" w:lineRule="auto"/>
        <w:rPr>
          <w:rFonts w:ascii="Times New Roman" w:hAnsi="Times New Roman" w:cs="Times New Roman"/>
        </w:rPr>
      </w:pPr>
      <w:r w:rsidRPr="003901A3">
        <w:rPr>
          <w:rFonts w:ascii="Times New Roman" w:hAnsi="Times New Roman" w:cs="Times New Roman"/>
        </w:rPr>
        <w:t xml:space="preserve">     The second type of lie that can take root in an insecure information environment is the </w:t>
      </w:r>
      <w:r w:rsidRPr="003901A3">
        <w:rPr>
          <w:rFonts w:ascii="Times New Roman" w:hAnsi="Times New Roman" w:cs="Times New Roman"/>
          <w:i/>
          <w:iCs/>
        </w:rPr>
        <w:t>special access lie</w:t>
      </w:r>
      <w:r w:rsidRPr="003901A3">
        <w:rPr>
          <w:rFonts w:ascii="Times New Roman" w:hAnsi="Times New Roman" w:cs="Times New Roman"/>
        </w:rPr>
        <w:t>, which is, essentially, a ruse to draw in persons to a view of reality that is “hidden” from them; a set of beliefs that need to be revealed so as to expose actual truth. Many cults claim to hold ‘special’ knowledge about historical events, political persons or commonly held historical beliefs. This type of lie requires the participant to buy into the idea that not is all as it seems – not a bad proposition for an analytically minded person. But, in the context of the lie, analytical thinking might be displaced by rumor, illusion or misrepresentation, all in the supposed name of truth and exposure.</w:t>
      </w:r>
    </w:p>
    <w:p w14:paraId="13970283" w14:textId="77777777" w:rsidR="00B10FA3" w:rsidRPr="003901A3" w:rsidRDefault="00B10FA3" w:rsidP="00574146">
      <w:pPr>
        <w:spacing w:line="480" w:lineRule="auto"/>
        <w:rPr>
          <w:rFonts w:ascii="Times New Roman" w:hAnsi="Times New Roman" w:cs="Times New Roman"/>
        </w:rPr>
      </w:pPr>
      <w:r w:rsidRPr="003901A3">
        <w:rPr>
          <w:rFonts w:ascii="Times New Roman" w:hAnsi="Times New Roman" w:cs="Times New Roman"/>
        </w:rPr>
        <w:t xml:space="preserve">     A third form of lie is hard to describe, but clearly prevalent in modern American political and social discourse. It is the </w:t>
      </w:r>
      <w:r w:rsidRPr="003901A3">
        <w:rPr>
          <w:rFonts w:ascii="Times New Roman" w:hAnsi="Times New Roman" w:cs="Times New Roman"/>
          <w:i/>
          <w:iCs/>
        </w:rPr>
        <w:t>common knowledge</w:t>
      </w:r>
      <w:r w:rsidRPr="003901A3">
        <w:rPr>
          <w:rFonts w:ascii="Times New Roman" w:hAnsi="Times New Roman" w:cs="Times New Roman"/>
        </w:rPr>
        <w:t xml:space="preserve"> lie. In this case, the liar claims no special place of knowledge for his or her information. Moreover, the speaker of this form of lies does not require the listener to even believe what the liar is saying. Examples of this kind of lie include climate change denial, and the claim that Arab Americans in New Jersey cheered the fall of the World Trade Center towers on 9-11. </w:t>
      </w:r>
    </w:p>
    <w:p w14:paraId="234810A4" w14:textId="77777777" w:rsidR="00B10FA3" w:rsidRPr="003901A3" w:rsidRDefault="00B10FA3" w:rsidP="00574146">
      <w:pPr>
        <w:spacing w:line="480" w:lineRule="auto"/>
        <w:rPr>
          <w:rFonts w:ascii="Times New Roman" w:hAnsi="Times New Roman" w:cs="Times New Roman"/>
        </w:rPr>
      </w:pPr>
      <w:r w:rsidRPr="003901A3">
        <w:rPr>
          <w:rFonts w:ascii="Times New Roman" w:hAnsi="Times New Roman" w:cs="Times New Roman"/>
        </w:rPr>
        <w:t xml:space="preserve">     Most MAGA supporters would doubt or deny that a group of Democrats operated a pedophile ring from a pizzeria. But the lie about such relations affirms previously held beliefs about - choose your target – Hillary Clinton, Hunter Biden, Barack Obama and so forth. The lie itself has no staying power, as it is easily disproved. But the ‘echo,’ or ‘penumbra’ of the lie carries on, to future interactions, whether they be political campaigns or political debates. There is created a momentum of belief, that, while, not attached to any </w:t>
      </w:r>
      <w:r w:rsidRPr="003901A3">
        <w:rPr>
          <w:rFonts w:ascii="Times New Roman" w:hAnsi="Times New Roman" w:cs="Times New Roman"/>
          <w:i/>
          <w:iCs/>
        </w:rPr>
        <w:t>particular</w:t>
      </w:r>
      <w:r w:rsidRPr="003901A3">
        <w:rPr>
          <w:rFonts w:ascii="Times New Roman" w:hAnsi="Times New Roman" w:cs="Times New Roman"/>
        </w:rPr>
        <w:t xml:space="preserve"> view or </w:t>
      </w:r>
      <w:r w:rsidRPr="003901A3">
        <w:rPr>
          <w:rFonts w:ascii="Times New Roman" w:hAnsi="Times New Roman" w:cs="Times New Roman"/>
        </w:rPr>
        <w:lastRenderedPageBreak/>
        <w:t>statement, provides the substance to support, regardless of fallibility, the object of the pronouncement. Thus, a lie creates a positive setting for a subsequent lie.</w:t>
      </w:r>
      <w:r w:rsidRPr="003901A3">
        <w:rPr>
          <w:rStyle w:val="FootnoteReference"/>
          <w:rFonts w:ascii="Times New Roman" w:hAnsi="Times New Roman" w:cs="Times New Roman"/>
        </w:rPr>
        <w:footnoteReference w:id="238"/>
      </w:r>
    </w:p>
    <w:p w14:paraId="4EA06331" w14:textId="77777777" w:rsidR="00B10FA3" w:rsidRPr="003901A3" w:rsidRDefault="00B10FA3" w:rsidP="00574146">
      <w:pPr>
        <w:spacing w:line="480" w:lineRule="auto"/>
        <w:rPr>
          <w:rFonts w:ascii="Times New Roman" w:hAnsi="Times New Roman" w:cs="Times New Roman"/>
          <w:b/>
          <w:bCs/>
          <w:i/>
          <w:iCs/>
          <w:sz w:val="28"/>
          <w:szCs w:val="28"/>
        </w:rPr>
      </w:pPr>
      <w:r w:rsidRPr="003901A3">
        <w:rPr>
          <w:rFonts w:ascii="Times New Roman" w:hAnsi="Times New Roman" w:cs="Times New Roman"/>
          <w:b/>
          <w:bCs/>
          <w:i/>
          <w:iCs/>
          <w:sz w:val="28"/>
          <w:szCs w:val="28"/>
        </w:rPr>
        <w:t>The Public Sphere, Cont.</w:t>
      </w:r>
    </w:p>
    <w:p w14:paraId="7A0A1D53" w14:textId="23279B10" w:rsidR="00B10FA3" w:rsidRPr="003901A3" w:rsidRDefault="00B10FA3" w:rsidP="00574146">
      <w:pPr>
        <w:spacing w:line="480" w:lineRule="auto"/>
        <w:rPr>
          <w:rFonts w:ascii="Times New Roman" w:hAnsi="Times New Roman" w:cs="Times New Roman"/>
        </w:rPr>
      </w:pPr>
      <w:r w:rsidRPr="003901A3">
        <w:rPr>
          <w:rFonts w:ascii="Times New Roman" w:hAnsi="Times New Roman" w:cs="Times New Roman"/>
        </w:rPr>
        <w:t xml:space="preserve">     So how does one assess overt, clean, lack of fact lying, when they encounter it in the pub</w:t>
      </w:r>
      <w:r w:rsidR="00667ED3">
        <w:rPr>
          <w:rFonts w:ascii="Times New Roman" w:hAnsi="Times New Roman" w:cs="Times New Roman"/>
        </w:rPr>
        <w:t>l</w:t>
      </w:r>
      <w:r w:rsidRPr="003901A3">
        <w:rPr>
          <w:rFonts w:ascii="Times New Roman" w:hAnsi="Times New Roman" w:cs="Times New Roman"/>
        </w:rPr>
        <w:t xml:space="preserve">ic sphere? It’s not an easy question to answer. The public sphere, as it were, is presumed to be a community of like-minded thinkers, who share a “commonality of reality.” </w:t>
      </w:r>
      <w:r w:rsidRPr="003901A3">
        <w:rPr>
          <w:rStyle w:val="FootnoteReference"/>
          <w:rFonts w:ascii="Times New Roman" w:hAnsi="Times New Roman" w:cs="Times New Roman"/>
        </w:rPr>
        <w:footnoteReference w:id="239"/>
      </w:r>
      <w:r w:rsidRPr="003901A3">
        <w:rPr>
          <w:rFonts w:ascii="Times New Roman" w:hAnsi="Times New Roman" w:cs="Times New Roman"/>
        </w:rPr>
        <w:t>To understand this commonality, the group in question must have a history; a ‘predominance of the past.’ The authors of the US Constitution saw speech and ideas as a</w:t>
      </w:r>
      <w:r w:rsidRPr="003901A3">
        <w:rPr>
          <w:rFonts w:ascii="Times New Roman" w:hAnsi="Times New Roman" w:cs="Times New Roman"/>
          <w:i/>
          <w:iCs/>
        </w:rPr>
        <w:t xml:space="preserve"> marketplace</w:t>
      </w:r>
      <w:r w:rsidRPr="003901A3">
        <w:rPr>
          <w:rFonts w:ascii="Times New Roman" w:hAnsi="Times New Roman" w:cs="Times New Roman"/>
        </w:rPr>
        <w:t>, no different than a place where one would purchase physical, tangible products. Thomas Jefferson once said (and I am badly paraphrasing him) that bad ideas and irrationality are tolerable to the extent that they stand</w:t>
      </w:r>
      <w:r w:rsidRPr="003901A3">
        <w:rPr>
          <w:rFonts w:ascii="Times New Roman" w:hAnsi="Times New Roman" w:cs="Times New Roman"/>
          <w:i/>
          <w:iCs/>
        </w:rPr>
        <w:t xml:space="preserve"> </w:t>
      </w:r>
      <w:r w:rsidRPr="003901A3">
        <w:rPr>
          <w:rFonts w:ascii="Times New Roman" w:hAnsi="Times New Roman" w:cs="Times New Roman"/>
        </w:rPr>
        <w:t>as sentinels</w:t>
      </w:r>
      <w:r w:rsidRPr="003901A3">
        <w:rPr>
          <w:rFonts w:ascii="Times New Roman" w:hAnsi="Times New Roman" w:cs="Times New Roman"/>
          <w:i/>
          <w:iCs/>
        </w:rPr>
        <w:t xml:space="preserve"> – as reminders - </w:t>
      </w:r>
      <w:r w:rsidRPr="003901A3">
        <w:rPr>
          <w:rFonts w:ascii="Times New Roman" w:hAnsi="Times New Roman" w:cs="Times New Roman"/>
        </w:rPr>
        <w:t>of cynicism and misguided thinking in a society that possesses the power to overcome them with reason. But what if Jefferson, ensconced in his Enlightenment intellectual milieu, underestimated the potential power of irrational discourse, particularly when accelerated by the force of modern media?</w:t>
      </w:r>
    </w:p>
    <w:p w14:paraId="24E3B9A2" w14:textId="77777777" w:rsidR="00B10FA3" w:rsidRPr="00667ED3" w:rsidRDefault="00B10FA3" w:rsidP="00574146">
      <w:pPr>
        <w:spacing w:line="480" w:lineRule="auto"/>
        <w:rPr>
          <w:rFonts w:ascii="Times New Roman" w:hAnsi="Times New Roman" w:cs="Times New Roman"/>
          <w:b/>
          <w:bCs/>
          <w:i/>
          <w:iCs/>
          <w:sz w:val="28"/>
          <w:szCs w:val="28"/>
        </w:rPr>
      </w:pPr>
      <w:r w:rsidRPr="00667ED3">
        <w:rPr>
          <w:rFonts w:ascii="Times New Roman" w:hAnsi="Times New Roman" w:cs="Times New Roman"/>
          <w:b/>
          <w:bCs/>
          <w:i/>
          <w:iCs/>
          <w:sz w:val="28"/>
          <w:szCs w:val="28"/>
        </w:rPr>
        <w:t>The Repeated Lie</w:t>
      </w:r>
    </w:p>
    <w:p w14:paraId="4F55480E" w14:textId="77777777" w:rsidR="00B10FA3" w:rsidRPr="003901A3" w:rsidRDefault="00B10FA3" w:rsidP="00574146">
      <w:pPr>
        <w:spacing w:line="480" w:lineRule="auto"/>
        <w:rPr>
          <w:rFonts w:ascii="Times New Roman" w:hAnsi="Times New Roman" w:cs="Times New Roman"/>
        </w:rPr>
      </w:pPr>
      <w:r w:rsidRPr="003901A3">
        <w:rPr>
          <w:rFonts w:ascii="Times New Roman" w:hAnsi="Times New Roman" w:cs="Times New Roman"/>
          <w:b/>
          <w:bCs/>
          <w:sz w:val="32"/>
          <w:szCs w:val="32"/>
        </w:rPr>
        <w:t xml:space="preserve">     </w:t>
      </w:r>
      <w:r w:rsidRPr="003901A3">
        <w:rPr>
          <w:rFonts w:ascii="Times New Roman" w:hAnsi="Times New Roman" w:cs="Times New Roman"/>
        </w:rPr>
        <w:t xml:space="preserve">The propaganda minister of the Third Reich, Joseph Goebbels, is often credited with the promotion of the so-called “Big Lie, the untruth that enters the realm of the believable when it is repeated enough. Some years ago, Lisa Fazio of Vanderbilt University conducted a study to examine the power of the “illusion of truth.” </w:t>
      </w:r>
    </w:p>
    <w:p w14:paraId="15BA1083" w14:textId="77777777" w:rsidR="00B10FA3" w:rsidRPr="003901A3" w:rsidRDefault="00B10FA3" w:rsidP="00574146">
      <w:pPr>
        <w:pStyle w:val="NormalWeb"/>
        <w:spacing w:line="480" w:lineRule="auto"/>
        <w:ind w:left="284" w:right="284"/>
      </w:pPr>
      <w:r w:rsidRPr="003901A3">
        <w:lastRenderedPageBreak/>
        <w:t xml:space="preserve">Their results show that the </w:t>
      </w:r>
      <w:r w:rsidRPr="003901A3">
        <w:rPr>
          <w:i/>
          <w:iCs/>
        </w:rPr>
        <w:t>illusion of truth effect</w:t>
      </w:r>
      <w:r w:rsidRPr="003901A3">
        <w:t xml:space="preserve"> worked just as strongly for known as for unknown items, suggesting that prior knowledge won’t prevent repetition from swaying our judgements of plausibility.</w:t>
      </w:r>
      <w:r w:rsidRPr="003901A3">
        <w:rPr>
          <w:rStyle w:val="FootnoteReference"/>
          <w:rFonts w:eastAsiaTheme="majorEastAsia"/>
        </w:rPr>
        <w:footnoteReference w:id="240"/>
      </w:r>
    </w:p>
    <w:p w14:paraId="226C2B28" w14:textId="47EA994D" w:rsidR="00B10FA3" w:rsidRPr="003901A3" w:rsidRDefault="00667ED3" w:rsidP="00574146">
      <w:pPr>
        <w:pStyle w:val="NormalWeb"/>
        <w:spacing w:line="480" w:lineRule="auto"/>
      </w:pPr>
      <w:r>
        <w:t xml:space="preserve">            </w:t>
      </w:r>
      <w:r w:rsidR="00B10FA3" w:rsidRPr="003901A3">
        <w:t xml:space="preserve">Further, the study found the following: </w:t>
      </w:r>
    </w:p>
    <w:p w14:paraId="30E4B4E6" w14:textId="77777777" w:rsidR="00B10FA3" w:rsidRPr="003901A3" w:rsidRDefault="00B10FA3" w:rsidP="00574146">
      <w:pPr>
        <w:pStyle w:val="NormalWeb"/>
        <w:spacing w:line="480" w:lineRule="auto"/>
        <w:ind w:left="283" w:right="283"/>
      </w:pPr>
      <w:r w:rsidRPr="003901A3">
        <w:t>To cover all bases, the researchers performed one study in which the participants were asked to rate how true each statement seemed on a six-point scale, and one where they just categorised each fact as "true" or "false". Repetition pushed the average item up the six-point scale, and increased the odds that a statement would be categorised as true.</w:t>
      </w:r>
      <w:r w:rsidRPr="003901A3">
        <w:rPr>
          <w:rStyle w:val="FootnoteReference"/>
          <w:rFonts w:eastAsiaTheme="majorEastAsia"/>
        </w:rPr>
        <w:footnoteReference w:id="241"/>
      </w:r>
    </w:p>
    <w:p w14:paraId="05BCE3ED" w14:textId="77777777" w:rsidR="00B10FA3" w:rsidRPr="003901A3" w:rsidRDefault="00B10FA3" w:rsidP="00574146">
      <w:pPr>
        <w:spacing w:line="480" w:lineRule="auto"/>
        <w:rPr>
          <w:rFonts w:ascii="Times New Roman" w:hAnsi="Times New Roman" w:cs="Times New Roman"/>
        </w:rPr>
      </w:pPr>
      <w:r w:rsidRPr="003901A3">
        <w:rPr>
          <w:rFonts w:ascii="Times New Roman" w:hAnsi="Times New Roman" w:cs="Times New Roman"/>
        </w:rPr>
        <w:t xml:space="preserve">     Fortunately, the study also showed that, in the end, the veracity of a fact does tend, overall, to be determined by its actual truth content, and that issues deemed important by an individual may stand a better chance of an honest hearing than the myriad minor judgements that all people make every day. It is sobering, however, to witness the malleability of both the individual and the public, if the circumstances are correct.</w:t>
      </w:r>
    </w:p>
    <w:p w14:paraId="3A80A189" w14:textId="179E2644" w:rsidR="00B10FA3" w:rsidRPr="003901A3" w:rsidRDefault="00B10FA3" w:rsidP="00574146">
      <w:pPr>
        <w:spacing w:line="480" w:lineRule="auto"/>
        <w:rPr>
          <w:rFonts w:ascii="Times New Roman" w:hAnsi="Times New Roman" w:cs="Times New Roman"/>
        </w:rPr>
      </w:pPr>
      <w:r w:rsidRPr="003901A3">
        <w:rPr>
          <w:rFonts w:ascii="Times New Roman" w:hAnsi="Times New Roman" w:cs="Times New Roman"/>
          <w:b/>
          <w:bCs/>
          <w:sz w:val="32"/>
          <w:szCs w:val="32"/>
        </w:rPr>
        <w:t xml:space="preserve">     </w:t>
      </w:r>
      <w:r w:rsidRPr="003901A3">
        <w:rPr>
          <w:rFonts w:ascii="Times New Roman" w:hAnsi="Times New Roman" w:cs="Times New Roman"/>
        </w:rPr>
        <w:t>Now, the autocrats of today always learn f</w:t>
      </w:r>
      <w:r w:rsidR="00667ED3">
        <w:rPr>
          <w:rFonts w:ascii="Times New Roman" w:hAnsi="Times New Roman" w:cs="Times New Roman"/>
        </w:rPr>
        <w:t>ro</w:t>
      </w:r>
      <w:r w:rsidRPr="003901A3">
        <w:rPr>
          <w:rFonts w:ascii="Times New Roman" w:hAnsi="Times New Roman" w:cs="Times New Roman"/>
        </w:rPr>
        <w:t>m the tyrants of yesterday. Mussolini was in power 12 years before Hitler’s ascendency. Many of Il Duce’s faux pas were avoided, and many of his successes emulated by the Third Reich. Mao learned from Stalin, Pol Pot learned from Mao, and Vladimir Putin has learned from George Orwell, evidently.</w:t>
      </w:r>
    </w:p>
    <w:p w14:paraId="73C1E593" w14:textId="77777777" w:rsidR="00B10FA3" w:rsidRPr="003901A3" w:rsidRDefault="00B10FA3" w:rsidP="00574146">
      <w:pPr>
        <w:spacing w:line="480" w:lineRule="auto"/>
        <w:rPr>
          <w:rFonts w:ascii="Times New Roman" w:hAnsi="Times New Roman" w:cs="Times New Roman"/>
          <w:b/>
          <w:bCs/>
          <w:sz w:val="32"/>
          <w:szCs w:val="32"/>
        </w:rPr>
      </w:pPr>
    </w:p>
    <w:p w14:paraId="70912C50" w14:textId="77777777" w:rsidR="00B10FA3" w:rsidRPr="006C0469" w:rsidRDefault="00B10FA3" w:rsidP="00574146">
      <w:pPr>
        <w:spacing w:line="480" w:lineRule="auto"/>
        <w:rPr>
          <w:rFonts w:ascii="Times New Roman" w:hAnsi="Times New Roman" w:cs="Times New Roman"/>
          <w:i/>
          <w:iCs/>
          <w:sz w:val="28"/>
          <w:szCs w:val="28"/>
        </w:rPr>
      </w:pPr>
      <w:r w:rsidRPr="006C0469">
        <w:rPr>
          <w:rFonts w:ascii="Times New Roman" w:hAnsi="Times New Roman" w:cs="Times New Roman"/>
          <w:b/>
          <w:bCs/>
          <w:i/>
          <w:iCs/>
          <w:sz w:val="28"/>
          <w:szCs w:val="28"/>
        </w:rPr>
        <w:lastRenderedPageBreak/>
        <w:t>Lying: Modern American Style</w:t>
      </w:r>
      <w:r w:rsidRPr="006C0469">
        <w:rPr>
          <w:rFonts w:ascii="Times New Roman" w:hAnsi="Times New Roman" w:cs="Times New Roman"/>
          <w:i/>
          <w:iCs/>
          <w:sz w:val="28"/>
          <w:szCs w:val="28"/>
        </w:rPr>
        <w:t xml:space="preserve">     </w:t>
      </w:r>
    </w:p>
    <w:p w14:paraId="0C5DF945" w14:textId="77777777" w:rsidR="00B10FA3" w:rsidRPr="003901A3" w:rsidRDefault="00B10FA3" w:rsidP="00574146">
      <w:pPr>
        <w:spacing w:line="480" w:lineRule="auto"/>
        <w:rPr>
          <w:rFonts w:ascii="Times New Roman" w:hAnsi="Times New Roman" w:cs="Times New Roman"/>
        </w:rPr>
      </w:pPr>
      <w:r w:rsidRPr="003901A3">
        <w:rPr>
          <w:rFonts w:ascii="Times New Roman" w:hAnsi="Times New Roman" w:cs="Times New Roman"/>
        </w:rPr>
        <w:t xml:space="preserve">     On the issue of lying, the US has two prominent devotees of a kind of “Goebbels-</w:t>
      </w:r>
      <w:proofErr w:type="spellStart"/>
      <w:r w:rsidRPr="003901A3">
        <w:rPr>
          <w:rFonts w:ascii="Times New Roman" w:hAnsi="Times New Roman" w:cs="Times New Roman"/>
        </w:rPr>
        <w:t>esque</w:t>
      </w:r>
      <w:proofErr w:type="spellEnd"/>
      <w:r w:rsidRPr="003901A3">
        <w:rPr>
          <w:rFonts w:ascii="Times New Roman" w:hAnsi="Times New Roman" w:cs="Times New Roman"/>
        </w:rPr>
        <w:t xml:space="preserve">” strategy. The first, Stephen Miller, speechwriter for Donald Trump, is an </w:t>
      </w:r>
      <w:proofErr w:type="spellStart"/>
      <w:r w:rsidRPr="003901A3">
        <w:rPr>
          <w:rFonts w:ascii="Times New Roman" w:hAnsi="Times New Roman" w:cs="Times New Roman"/>
        </w:rPr>
        <w:t>afficianado</w:t>
      </w:r>
      <w:proofErr w:type="spellEnd"/>
      <w:r w:rsidRPr="003901A3">
        <w:rPr>
          <w:rFonts w:ascii="Times New Roman" w:hAnsi="Times New Roman" w:cs="Times New Roman"/>
        </w:rPr>
        <w:t xml:space="preserve"> of a particular style of argumentation that has appeared increasingly on the American Right Wing. </w:t>
      </w:r>
    </w:p>
    <w:p w14:paraId="0C307774" w14:textId="47687EF2" w:rsidR="00B10FA3" w:rsidRPr="003901A3" w:rsidRDefault="00B10FA3" w:rsidP="00574146">
      <w:pPr>
        <w:spacing w:line="480" w:lineRule="auto"/>
        <w:rPr>
          <w:rFonts w:ascii="Times New Roman" w:hAnsi="Times New Roman" w:cs="Times New Roman"/>
        </w:rPr>
      </w:pPr>
      <w:r w:rsidRPr="003901A3">
        <w:rPr>
          <w:rFonts w:ascii="Times New Roman" w:hAnsi="Times New Roman" w:cs="Times New Roman"/>
        </w:rPr>
        <w:t xml:space="preserve">     Boiled down to its essence, this technique involves projecting the opponents’ words and arguments against them; mimicking them so as to try and neutralize their argument, and to provide a sort of moral equivalence to their own point of view. Left wingers are “intolerant” about race, BLM activists are “violent disrupters,” Democrats are “election deniers.” In a nutshell: take your opponent</w:t>
      </w:r>
      <w:r w:rsidR="00667ED3">
        <w:rPr>
          <w:rFonts w:ascii="Times New Roman" w:hAnsi="Times New Roman" w:cs="Times New Roman"/>
        </w:rPr>
        <w:t>’</w:t>
      </w:r>
      <w:r w:rsidRPr="003901A3">
        <w:rPr>
          <w:rFonts w:ascii="Times New Roman" w:hAnsi="Times New Roman" w:cs="Times New Roman"/>
        </w:rPr>
        <w:t>s arguments against you and make them your own.  It is an adult form of “I know you are but what am I.” However, the strategy can be effectively used, if not only to advance a right-wing agenda, but to deflect and neutralize a liberal one.</w:t>
      </w:r>
    </w:p>
    <w:p w14:paraId="3A635723" w14:textId="77777777" w:rsidR="00B10FA3" w:rsidRPr="003901A3" w:rsidRDefault="00B10FA3" w:rsidP="00574146">
      <w:pPr>
        <w:spacing w:line="480" w:lineRule="auto"/>
        <w:rPr>
          <w:rFonts w:ascii="Times New Roman" w:hAnsi="Times New Roman" w:cs="Times New Roman"/>
        </w:rPr>
      </w:pPr>
      <w:r w:rsidRPr="003901A3">
        <w:rPr>
          <w:rFonts w:ascii="Times New Roman" w:hAnsi="Times New Roman" w:cs="Times New Roman"/>
        </w:rPr>
        <w:t xml:space="preserve">     The cousin once-removed from the projected lie is the phenomenon of </w:t>
      </w:r>
      <w:r w:rsidRPr="003901A3">
        <w:rPr>
          <w:rFonts w:ascii="Times New Roman" w:hAnsi="Times New Roman" w:cs="Times New Roman"/>
          <w:i/>
          <w:iCs/>
        </w:rPr>
        <w:t>what-</w:t>
      </w:r>
      <w:proofErr w:type="spellStart"/>
      <w:r w:rsidRPr="003901A3">
        <w:rPr>
          <w:rFonts w:ascii="Times New Roman" w:hAnsi="Times New Roman" w:cs="Times New Roman"/>
          <w:i/>
          <w:iCs/>
        </w:rPr>
        <w:t>aboutism</w:t>
      </w:r>
      <w:proofErr w:type="spellEnd"/>
      <w:r w:rsidRPr="003901A3">
        <w:rPr>
          <w:rFonts w:ascii="Times New Roman" w:hAnsi="Times New Roman" w:cs="Times New Roman"/>
        </w:rPr>
        <w:t xml:space="preserve">. In this style of debate, an accusation is not addressed by the defending party; rather, it is simply ignored and an ersatz example from the other side is proffered as a form of moral equivalence. An example: “Donald Trump tried to extort favors from Ukrainian President </w:t>
      </w:r>
      <w:proofErr w:type="spellStart"/>
      <w:r w:rsidRPr="003901A3">
        <w:rPr>
          <w:rFonts w:ascii="Times New Roman" w:hAnsi="Times New Roman" w:cs="Times New Roman"/>
        </w:rPr>
        <w:t>Vlodamor</w:t>
      </w:r>
      <w:proofErr w:type="spellEnd"/>
      <w:r w:rsidRPr="003901A3">
        <w:rPr>
          <w:rFonts w:ascii="Times New Roman" w:hAnsi="Times New Roman" w:cs="Times New Roman"/>
        </w:rPr>
        <w:t xml:space="preserve"> Zelensky in return for information about Hunter Biden – but what about Hillary Clinton’s use of the private server for her emails?” A topic irrelevant or tangential to the conversation is thrown out in a means to create some sort of moral equivalence of culpability. In effect, it is a dodge, a strategy for avoiding defending against difficult accusations by simple using misdirection. I don’t want to answer your question, so please look over to the side for a moment. Perhaps in a moment, you won’t remember what your original question was.</w:t>
      </w:r>
    </w:p>
    <w:p w14:paraId="1012A3D2" w14:textId="77777777" w:rsidR="00B10FA3" w:rsidRPr="003901A3" w:rsidRDefault="00B10FA3" w:rsidP="00574146">
      <w:pPr>
        <w:spacing w:line="480" w:lineRule="auto"/>
        <w:rPr>
          <w:rFonts w:ascii="Times New Roman" w:hAnsi="Times New Roman" w:cs="Times New Roman"/>
        </w:rPr>
      </w:pPr>
      <w:r w:rsidRPr="003901A3">
        <w:rPr>
          <w:rFonts w:ascii="Times New Roman" w:hAnsi="Times New Roman" w:cs="Times New Roman"/>
        </w:rPr>
        <w:t xml:space="preserve">     Steve Bannon is the other mainstay of the new propaganda strategy. It is hard to imagine that Bannon has not carefully examined previously successful means of mass manipulation. In his case, the master strategy is to simply foment chaos. Fill the debate with so much drivel </w:t>
      </w:r>
      <w:r w:rsidRPr="003901A3">
        <w:rPr>
          <w:rFonts w:ascii="Times New Roman" w:hAnsi="Times New Roman" w:cs="Times New Roman"/>
        </w:rPr>
        <w:lastRenderedPageBreak/>
        <w:t xml:space="preserve">that average voters don’t know what to think. Confuse people. In their confusion, it is hoped that they will simply lose their base line, their moral grounding. Once ennui and despair set in, a simple message that seems to clear up all of the muddled nuance in a soundbite of clarity is welcome. </w:t>
      </w:r>
    </w:p>
    <w:p w14:paraId="36237B6B" w14:textId="77777777" w:rsidR="00B10FA3" w:rsidRPr="003901A3" w:rsidRDefault="00B10FA3" w:rsidP="00574146">
      <w:pPr>
        <w:spacing w:line="480" w:lineRule="auto"/>
        <w:rPr>
          <w:rFonts w:ascii="Times New Roman" w:hAnsi="Times New Roman" w:cs="Times New Roman"/>
        </w:rPr>
      </w:pPr>
      <w:r w:rsidRPr="003901A3">
        <w:rPr>
          <w:rFonts w:ascii="Times New Roman" w:hAnsi="Times New Roman" w:cs="Times New Roman"/>
        </w:rPr>
        <w:t xml:space="preserve">     Bannon refers to this as “flooding the media with </w:t>
      </w:r>
      <w:proofErr w:type="spellStart"/>
      <w:r w:rsidRPr="003901A3">
        <w:rPr>
          <w:rFonts w:ascii="Times New Roman" w:hAnsi="Times New Roman" w:cs="Times New Roman"/>
        </w:rPr>
        <w:t>sh#t</w:t>
      </w:r>
      <w:proofErr w:type="spellEnd"/>
      <w:r w:rsidRPr="003901A3">
        <w:rPr>
          <w:rFonts w:ascii="Times New Roman" w:hAnsi="Times New Roman" w:cs="Times New Roman"/>
        </w:rPr>
        <w:t xml:space="preserve">.” Such a strategy can have a very demoralizing effect on voters. In fact, such a strategy has been employed by Republicans since the early 1980s, demonizing government, and creating a persistent, even </w:t>
      </w:r>
      <w:r w:rsidRPr="003901A3">
        <w:rPr>
          <w:rFonts w:ascii="Times New Roman" w:hAnsi="Times New Roman" w:cs="Times New Roman"/>
          <w:i/>
          <w:iCs/>
        </w:rPr>
        <w:t>generational pessimism</w:t>
      </w:r>
      <w:r w:rsidRPr="003901A3">
        <w:rPr>
          <w:rFonts w:ascii="Times New Roman" w:hAnsi="Times New Roman" w:cs="Times New Roman"/>
        </w:rPr>
        <w:t xml:space="preserve"> about the ability of the US government to function effectively for its citizens. Forty – plus years of this rhetoric has had its impact; Americans hold low opinions about the federal government and Congress. It also promotes a narrative of </w:t>
      </w:r>
      <w:r w:rsidRPr="003901A3">
        <w:rPr>
          <w:rFonts w:ascii="Times New Roman" w:hAnsi="Times New Roman" w:cs="Times New Roman"/>
          <w:i/>
          <w:iCs/>
        </w:rPr>
        <w:t>defeatism</w:t>
      </w:r>
      <w:r w:rsidRPr="003901A3">
        <w:rPr>
          <w:rFonts w:ascii="Times New Roman" w:hAnsi="Times New Roman" w:cs="Times New Roman"/>
        </w:rPr>
        <w:t>, in that progress and improvement at the cultural level are, simply, not actionable. That pessimism is a vital tool in the right-wing arsenal, hell bent on confusing, angering and misleading the general public.</w:t>
      </w:r>
    </w:p>
    <w:p w14:paraId="0A428055" w14:textId="77777777" w:rsidR="00B10FA3" w:rsidRPr="003901A3" w:rsidRDefault="00B10FA3" w:rsidP="00574146">
      <w:pPr>
        <w:spacing w:line="480" w:lineRule="auto"/>
        <w:rPr>
          <w:rFonts w:ascii="Times New Roman" w:hAnsi="Times New Roman" w:cs="Times New Roman"/>
        </w:rPr>
      </w:pPr>
      <w:r w:rsidRPr="003901A3">
        <w:rPr>
          <w:rFonts w:ascii="Times New Roman" w:hAnsi="Times New Roman" w:cs="Times New Roman"/>
        </w:rPr>
        <w:t xml:space="preserve">     Although not employing Bannon’s ‘take no prisoners’ approach to media, Ronald Reagan employed simple messages, often repeated for his political purposes. When it came to the role of the federal government, his rhetoric (except for subsidies for corporations, the military and the wealthy) was always negative; government is the problem. Less government = more freedom. Over time, this rhetoric clearly had a demoralizing effect on Americans, who trusted their government less and less, not based on facts, but on careful rhetoric, with lingering problems today.</w:t>
      </w:r>
    </w:p>
    <w:p w14:paraId="3441E2CB" w14:textId="77777777" w:rsidR="00B10FA3" w:rsidRPr="00667ED3" w:rsidRDefault="00B10FA3" w:rsidP="00574146">
      <w:pPr>
        <w:spacing w:line="480" w:lineRule="auto"/>
        <w:rPr>
          <w:rFonts w:ascii="Times New Roman" w:hAnsi="Times New Roman" w:cs="Times New Roman"/>
          <w:b/>
          <w:bCs/>
          <w:i/>
          <w:iCs/>
          <w:sz w:val="28"/>
          <w:szCs w:val="28"/>
        </w:rPr>
      </w:pPr>
      <w:r w:rsidRPr="00667ED3">
        <w:rPr>
          <w:rFonts w:ascii="Times New Roman" w:hAnsi="Times New Roman" w:cs="Times New Roman"/>
          <w:b/>
          <w:bCs/>
          <w:i/>
          <w:iCs/>
          <w:sz w:val="28"/>
          <w:szCs w:val="28"/>
        </w:rPr>
        <w:t>When the Lie is not About Content</w:t>
      </w:r>
    </w:p>
    <w:p w14:paraId="5EA65C23" w14:textId="77777777" w:rsidR="00B10FA3" w:rsidRDefault="00B10FA3" w:rsidP="00574146">
      <w:pPr>
        <w:spacing w:line="480" w:lineRule="auto"/>
        <w:rPr>
          <w:rFonts w:ascii="Times New Roman" w:hAnsi="Times New Roman" w:cs="Times New Roman"/>
        </w:rPr>
      </w:pPr>
      <w:r w:rsidRPr="003901A3">
        <w:rPr>
          <w:rFonts w:ascii="Times New Roman" w:hAnsi="Times New Roman" w:cs="Times New Roman"/>
        </w:rPr>
        <w:t xml:space="preserve">     There is an assumption among many that the purpose of public discourse is to use accurate information for the purpose of achieving a higher purpose; public policy, social justice, a higher standard of living and so forth. This belief is a tab bit naïve, especially when counterposed with public voices who thrive on false or greatly distorted rhetoric. Homer </w:t>
      </w:r>
      <w:r w:rsidRPr="003901A3">
        <w:rPr>
          <w:rFonts w:ascii="Times New Roman" w:hAnsi="Times New Roman" w:cs="Times New Roman"/>
        </w:rPr>
        <w:lastRenderedPageBreak/>
        <w:t xml:space="preserve">Simpson once famously said that it takes two people to lie; one to lie and the other to listen. I would suggest a slightly modified interpretation to the Homeric one, which I will explain below. </w:t>
      </w:r>
    </w:p>
    <w:p w14:paraId="7CF60514" w14:textId="22DD89B8" w:rsidR="00667ED3" w:rsidRPr="006C0469" w:rsidRDefault="00667ED3" w:rsidP="00574146">
      <w:pPr>
        <w:spacing w:line="480" w:lineRule="auto"/>
        <w:rPr>
          <w:rFonts w:ascii="Times New Roman" w:hAnsi="Times New Roman" w:cs="Times New Roman"/>
          <w:b/>
          <w:bCs/>
          <w:i/>
          <w:iCs/>
          <w:sz w:val="28"/>
          <w:szCs w:val="28"/>
        </w:rPr>
      </w:pPr>
      <w:r w:rsidRPr="006C0469">
        <w:rPr>
          <w:rFonts w:ascii="Times New Roman" w:hAnsi="Times New Roman" w:cs="Times New Roman"/>
          <w:b/>
          <w:bCs/>
          <w:i/>
          <w:iCs/>
          <w:sz w:val="28"/>
          <w:szCs w:val="28"/>
        </w:rPr>
        <w:t>The Bewildered Herd</w:t>
      </w:r>
    </w:p>
    <w:p w14:paraId="2F29951D" w14:textId="77777777" w:rsidR="00B10FA3" w:rsidRPr="003901A3" w:rsidRDefault="00B10FA3" w:rsidP="00574146">
      <w:pPr>
        <w:spacing w:line="480" w:lineRule="auto"/>
        <w:rPr>
          <w:rFonts w:ascii="Times New Roman" w:hAnsi="Times New Roman" w:cs="Times New Roman"/>
        </w:rPr>
      </w:pPr>
      <w:r w:rsidRPr="003901A3">
        <w:rPr>
          <w:rFonts w:ascii="Times New Roman" w:hAnsi="Times New Roman" w:cs="Times New Roman"/>
        </w:rPr>
        <w:t xml:space="preserve">     There are, of course, many reasons to lie in the public realm; power, money, influence, revenge and other motivations. But one reason could well be that the lying figures simply see their target audience as too dim to notice the difference. In western democracies, there is a wide fluctuation of depth of public knowledge, both within and between societies. Generally, education levels help to retard the success of overt lying, but this is not always the case. Even among the American middle classes, there exists profound ignorance about basic geography, economics, politics and government. And American politicians know this, although they almost never acknowledge it, even from the opposing party.</w:t>
      </w:r>
    </w:p>
    <w:p w14:paraId="694A50AD" w14:textId="3CB4BABF" w:rsidR="00B10FA3" w:rsidRPr="003901A3" w:rsidRDefault="00B10FA3" w:rsidP="00574146">
      <w:pPr>
        <w:spacing w:line="480" w:lineRule="auto"/>
        <w:rPr>
          <w:rFonts w:ascii="Times New Roman" w:hAnsi="Times New Roman" w:cs="Times New Roman"/>
        </w:rPr>
      </w:pPr>
      <w:r w:rsidRPr="003901A3">
        <w:rPr>
          <w:rFonts w:ascii="Times New Roman" w:hAnsi="Times New Roman" w:cs="Times New Roman"/>
        </w:rPr>
        <w:t xml:space="preserve">      I recall my experience working on Capitol Hill in the 1980s, and the deep cynicism that both parties expressed, </w:t>
      </w:r>
      <w:r w:rsidRPr="003901A3">
        <w:rPr>
          <w:rFonts w:ascii="Times New Roman" w:hAnsi="Times New Roman" w:cs="Times New Roman"/>
          <w:i/>
          <w:iCs/>
        </w:rPr>
        <w:t>behind the scenes</w:t>
      </w:r>
      <w:r w:rsidRPr="003901A3">
        <w:rPr>
          <w:rFonts w:ascii="Times New Roman" w:hAnsi="Times New Roman" w:cs="Times New Roman"/>
        </w:rPr>
        <w:t>, about the issue most pressing to American voters. They could hardly be blamed; a good politician assesses his or her audience and lowers or raises the intellectual bar to the perceived level of the mass. Growing up, my House district was the 8</w:t>
      </w:r>
      <w:r w:rsidRPr="003901A3">
        <w:rPr>
          <w:rFonts w:ascii="Times New Roman" w:hAnsi="Times New Roman" w:cs="Times New Roman"/>
          <w:vertAlign w:val="superscript"/>
        </w:rPr>
        <w:t xml:space="preserve">th  </w:t>
      </w:r>
      <w:r w:rsidRPr="003901A3">
        <w:rPr>
          <w:rFonts w:ascii="Times New Roman" w:hAnsi="Times New Roman" w:cs="Times New Roman"/>
        </w:rPr>
        <w:t>district of Maryland, one of the most affluent and educated districts in the entire country. One of my US Senators growing up was Paul Sarbanes, a Rhodes scholar, and dedicated low-key public servant. No one was going to get elected in the 8</w:t>
      </w:r>
      <w:r w:rsidRPr="003901A3">
        <w:rPr>
          <w:rFonts w:ascii="Times New Roman" w:hAnsi="Times New Roman" w:cs="Times New Roman"/>
          <w:vertAlign w:val="superscript"/>
        </w:rPr>
        <w:t>th</w:t>
      </w:r>
      <w:r w:rsidRPr="003901A3">
        <w:rPr>
          <w:rFonts w:ascii="Times New Roman" w:hAnsi="Times New Roman" w:cs="Times New Roman"/>
        </w:rPr>
        <w:t xml:space="preserve"> District of Maryland on overt racism, anti-vaxxer rhetoric, misogyny or fear mongering about taxes. People were, by and large, too analytically minded to be taken by such appeals. Even when a Republican was elected in this district (a rare occasion), such as Connie Morella in the 1990s, she was known locally as ‘every Democrat’s favorite Republican.’</w:t>
      </w:r>
      <w:r w:rsidR="008F59FF">
        <w:rPr>
          <w:rFonts w:ascii="Times New Roman" w:hAnsi="Times New Roman" w:cs="Times New Roman"/>
        </w:rPr>
        <w:t xml:space="preserve"> The district was educated, informed and analytically minded. </w:t>
      </w:r>
    </w:p>
    <w:p w14:paraId="6305E033" w14:textId="77777777" w:rsidR="00B10FA3" w:rsidRPr="003901A3" w:rsidRDefault="00B10FA3" w:rsidP="00574146">
      <w:pPr>
        <w:spacing w:line="480" w:lineRule="auto"/>
        <w:rPr>
          <w:rFonts w:ascii="Times New Roman" w:hAnsi="Times New Roman" w:cs="Times New Roman"/>
        </w:rPr>
      </w:pPr>
      <w:r w:rsidRPr="003901A3">
        <w:rPr>
          <w:rFonts w:ascii="Times New Roman" w:hAnsi="Times New Roman" w:cs="Times New Roman"/>
        </w:rPr>
        <w:lastRenderedPageBreak/>
        <w:t xml:space="preserve">     But the 8</w:t>
      </w:r>
      <w:r w:rsidRPr="003901A3">
        <w:rPr>
          <w:rFonts w:ascii="Times New Roman" w:hAnsi="Times New Roman" w:cs="Times New Roman"/>
          <w:vertAlign w:val="superscript"/>
        </w:rPr>
        <w:t>th</w:t>
      </w:r>
      <w:r w:rsidRPr="003901A3">
        <w:rPr>
          <w:rFonts w:ascii="Times New Roman" w:hAnsi="Times New Roman" w:cs="Times New Roman"/>
        </w:rPr>
        <w:t xml:space="preserve"> District of Maryland is not indicative of the US as a whole. Members of Congress and local politicians are able to easily manipulate popular prejudices and fears in most parts of the US to achieve their goals. Democrat Senator Joe Manchin can appeal positively to miners in his state of West Virginia, a dying industry with only a few tens of thousands of employees, in working class terms, even though Manchin has a terrible record on labor – and working-class individuals, most of them not miners – will vote for him. A recent Virginia gubernatorial race was won by a Republican who campaigned on “ridding the state of critical race theory” in grade school classrooms – as if learning about the complexities of race is a bad thing. But he won, largely on the issue, despite the fact that critical race theory wasn’t even being taught in Virginia schools.</w:t>
      </w:r>
    </w:p>
    <w:p w14:paraId="7376FF2F" w14:textId="77777777" w:rsidR="00B10FA3" w:rsidRPr="003901A3" w:rsidRDefault="00B10FA3" w:rsidP="00574146">
      <w:pPr>
        <w:spacing w:line="480" w:lineRule="auto"/>
        <w:rPr>
          <w:rFonts w:ascii="Times New Roman" w:hAnsi="Times New Roman" w:cs="Times New Roman"/>
        </w:rPr>
      </w:pPr>
      <w:r w:rsidRPr="003901A3">
        <w:rPr>
          <w:rFonts w:ascii="Times New Roman" w:hAnsi="Times New Roman" w:cs="Times New Roman"/>
        </w:rPr>
        <w:t xml:space="preserve">     In the 1988 Presidential race between G.H.W. Bush and Michael Dukakis, the infamous “Wille Horton” ad was employed by the Bush people; a black man accused of violent crime was paroled under governor Dukakis, only to go on a subsequent crime rampage.</w:t>
      </w:r>
      <w:r w:rsidRPr="003901A3">
        <w:rPr>
          <w:rStyle w:val="FootnoteReference"/>
          <w:rFonts w:ascii="Times New Roman" w:hAnsi="Times New Roman" w:cs="Times New Roman"/>
        </w:rPr>
        <w:footnoteReference w:id="242"/>
      </w:r>
      <w:r w:rsidRPr="003901A3">
        <w:rPr>
          <w:rFonts w:ascii="Times New Roman" w:hAnsi="Times New Roman" w:cs="Times New Roman"/>
        </w:rPr>
        <w:t xml:space="preserve"> Bill Clinton mocked Queen Latifa in his run for the White House. George W. Bush saw a terrorist behind every bush. Donald Trump sees ‘radical Marxists’ and ‘Antifa’ controlling the body politic through a ‘deep state’ conspiracy.</w:t>
      </w:r>
    </w:p>
    <w:p w14:paraId="3728952D" w14:textId="77777777" w:rsidR="00B10FA3" w:rsidRPr="003901A3" w:rsidRDefault="00B10FA3" w:rsidP="00574146">
      <w:pPr>
        <w:spacing w:line="480" w:lineRule="auto"/>
        <w:rPr>
          <w:rFonts w:ascii="Times New Roman" w:hAnsi="Times New Roman" w:cs="Times New Roman"/>
        </w:rPr>
      </w:pPr>
      <w:r w:rsidRPr="003901A3">
        <w:rPr>
          <w:rFonts w:ascii="Times New Roman" w:hAnsi="Times New Roman" w:cs="Times New Roman"/>
        </w:rPr>
        <w:t xml:space="preserve">     The point, to get back to Homer Simpson, is that, for such topical pablum to work on a voting public, the people themselves have to be willing, at some level, to digest it. And, sadly, Americans, even among the middling classes, have not shown a great propensity for critical thinking or keeping up on issues. Not all cultures are like America, however. </w:t>
      </w:r>
    </w:p>
    <w:p w14:paraId="2AEFB6CA" w14:textId="77777777" w:rsidR="00B10FA3" w:rsidRPr="003901A3" w:rsidRDefault="00B10FA3" w:rsidP="00574146">
      <w:pPr>
        <w:spacing w:line="480" w:lineRule="auto"/>
        <w:rPr>
          <w:rFonts w:ascii="Times New Roman" w:hAnsi="Times New Roman" w:cs="Times New Roman"/>
        </w:rPr>
      </w:pPr>
    </w:p>
    <w:p w14:paraId="49443C3F" w14:textId="77777777" w:rsidR="00B10FA3" w:rsidRPr="006C0469" w:rsidRDefault="00B10FA3" w:rsidP="00034AF2">
      <w:pPr>
        <w:rPr>
          <w:rFonts w:ascii="Times New Roman" w:hAnsi="Times New Roman" w:cs="Times New Roman"/>
          <w:b/>
          <w:bCs/>
          <w:i/>
          <w:iCs/>
          <w:sz w:val="28"/>
          <w:szCs w:val="28"/>
        </w:rPr>
      </w:pPr>
      <w:r w:rsidRPr="006C0469">
        <w:rPr>
          <w:rFonts w:ascii="Times New Roman" w:hAnsi="Times New Roman" w:cs="Times New Roman"/>
          <w:b/>
          <w:bCs/>
          <w:i/>
          <w:iCs/>
          <w:sz w:val="28"/>
          <w:szCs w:val="28"/>
        </w:rPr>
        <w:t>The Spanish Contrast</w:t>
      </w:r>
    </w:p>
    <w:p w14:paraId="59C8270F" w14:textId="77777777" w:rsidR="00B10FA3" w:rsidRDefault="00B10FA3" w:rsidP="00B147DA">
      <w:pPr>
        <w:pStyle w:val="topic-paragraph"/>
        <w:spacing w:line="480" w:lineRule="auto"/>
        <w:rPr>
          <w:rStyle w:val="Strong"/>
          <w:rFonts w:eastAsiaTheme="majorEastAsia"/>
        </w:rPr>
      </w:pPr>
      <w:r>
        <w:t xml:space="preserve">     On March 11, 2004, there were a series of coordinated bombings on commuter trains in and around Madrid, Spain. Nearly 200 were killed, and over 1,800 injured. An horrific event, to be sure. But here is where the public sphere in Spain showed an intelligence that the attacks of 9-11 had not revealed in the US.  Shortly after the bombings, the Spanish media and the government blamed the attacks on ETA, a Basque separatist outfit that had been in conflict with the government for years. Spanish public unity against the bombings and in favor of the victims gave way to skepticism and opposition as the government maintained its line that ETA was to blame – even as police began to connect the bombings to al-Qaeda. Major protests broke out, with citizens demanding to know the truth. This was particularly worrisome to the government, because an election was due to take place in three days. Though the sitting government was expected to win handily, the leftist, Spanish Socialist Workers Party (PSOE), which had been strongly against the ongoing Iraq war, scored an upset victory.</w:t>
      </w:r>
      <w:r>
        <w:rPr>
          <w:rStyle w:val="FootnoteReference"/>
          <w:rFonts w:eastAsiaTheme="majorEastAsia"/>
        </w:rPr>
        <w:footnoteReference w:id="243"/>
      </w:r>
    </w:p>
    <w:p w14:paraId="6E8F530C" w14:textId="77777777" w:rsidR="00B10FA3" w:rsidRDefault="00B10FA3" w:rsidP="005D146B">
      <w:pPr>
        <w:pStyle w:val="topic-paragraph"/>
        <w:spacing w:line="480" w:lineRule="auto"/>
      </w:pPr>
      <w:r>
        <w:t xml:space="preserve">     In this case, the Spanish general population displayed an intelligence, a skepticism and an organized and directed political anger that would likely be inconceivable in a frightened, attacked US. The Spanish did not listen to official pronouncements, did not summon up the usual suspects, or fall prey to conspiracies, and were willing to relieve the governing party of power for its misrepresentations.</w:t>
      </w:r>
    </w:p>
    <w:p w14:paraId="0B71E315" w14:textId="77777777" w:rsidR="00B10FA3" w:rsidRDefault="00B10FA3" w:rsidP="005D146B">
      <w:pPr>
        <w:pStyle w:val="topic-paragraph"/>
        <w:spacing w:line="480" w:lineRule="auto"/>
      </w:pPr>
      <w:r>
        <w:lastRenderedPageBreak/>
        <w:t xml:space="preserve">     I would draw to significant distinctions between the Spanish example above and, say, a Q-Anon or border control or anti-vaxxer rant from a congressional aspirant. In the Spanish case, critical thinking and analysis was applied, leading to a conclusion that was at odds with the misrepresentations put forth by the Spanish government. In the American case, while I would concede that there are true believers in the various conspiracies making their way around, that the </w:t>
      </w:r>
      <w:r>
        <w:rPr>
          <w:i/>
          <w:iCs/>
        </w:rPr>
        <w:t>substance</w:t>
      </w:r>
      <w:r>
        <w:t xml:space="preserve"> of the lie is not really that important. By this, I mean that, while a Q conspiracy might point to alleged Democrat pedophile rings, what the recipient of the lie hears is that Democrats are disloyal; they are unreliable and unpatriotic. When the border of Mexico is called a ‘cesspool of murderers and rapists,’ most listeners </w:t>
      </w:r>
      <w:r w:rsidRPr="00862FEA">
        <w:rPr>
          <w:i/>
          <w:iCs/>
        </w:rPr>
        <w:t>hear</w:t>
      </w:r>
      <w:r>
        <w:t xml:space="preserve"> something different, such as “our jobs are disappearing to people who are different from us, and our general insecurity is being ignored by our representatives. When listening to an anti-vaxxer, a supporter hears that her government has become authoritative; it doesn’t listen to her needs, but demands what it wants in the form of taxes, masks, and vaccinations. </w:t>
      </w:r>
    </w:p>
    <w:p w14:paraId="2B214983" w14:textId="77777777" w:rsidR="00B10FA3" w:rsidRPr="00F973E0" w:rsidRDefault="00B10FA3" w:rsidP="005D146B">
      <w:pPr>
        <w:pStyle w:val="topic-paragraph"/>
        <w:spacing w:line="480" w:lineRule="auto"/>
      </w:pPr>
      <w:r>
        <w:t xml:space="preserve">     The masks and the vaccines aren’t the issue for most opponents, I would argue. What matters is the </w:t>
      </w:r>
      <w:r>
        <w:rPr>
          <w:i/>
          <w:iCs/>
        </w:rPr>
        <w:t>symbolic value</w:t>
      </w:r>
      <w:r>
        <w:t xml:space="preserve"> that the rhetoric has attached to their perceived economic and social situation. And their situation is one of increased status loss and desperation – not related to Mexicans or to vaccines, but real nonetheless. </w:t>
      </w:r>
    </w:p>
    <w:p w14:paraId="370DF8DD" w14:textId="77777777" w:rsidR="00B10FA3" w:rsidRDefault="00B10FA3" w:rsidP="00B147DA">
      <w:pPr>
        <w:pStyle w:val="topic-paragraph"/>
      </w:pPr>
    </w:p>
    <w:p w14:paraId="2E10FAB2" w14:textId="77777777" w:rsidR="00B10FA3" w:rsidRPr="006C0469" w:rsidRDefault="00B10FA3" w:rsidP="00B147DA">
      <w:pPr>
        <w:pStyle w:val="topic-paragraph"/>
        <w:rPr>
          <w:i/>
          <w:iCs/>
          <w:sz w:val="28"/>
          <w:szCs w:val="28"/>
        </w:rPr>
      </w:pPr>
      <w:r w:rsidRPr="00667ED3">
        <w:rPr>
          <w:i/>
          <w:iCs/>
        </w:rPr>
        <w:t xml:space="preserve">     </w:t>
      </w:r>
      <w:r w:rsidRPr="006C0469">
        <w:rPr>
          <w:b/>
          <w:bCs/>
          <w:i/>
          <w:iCs/>
          <w:sz w:val="28"/>
          <w:szCs w:val="28"/>
        </w:rPr>
        <w:t>The Motivation to Lie</w:t>
      </w:r>
    </w:p>
    <w:p w14:paraId="5C6E5248" w14:textId="77777777" w:rsidR="00B10FA3" w:rsidRDefault="00B10FA3" w:rsidP="00B147DA">
      <w:pPr>
        <w:pStyle w:val="topic-paragraph"/>
      </w:pPr>
    </w:p>
    <w:p w14:paraId="0F578946" w14:textId="77777777" w:rsidR="00B10FA3" w:rsidRDefault="00B10FA3" w:rsidP="00D3790F">
      <w:pPr>
        <w:pStyle w:val="topic-paragraph"/>
        <w:spacing w:line="480" w:lineRule="auto"/>
      </w:pPr>
      <w:r>
        <w:t xml:space="preserve">     One of the most interesting aspects of untruth is why persons are inclined to use it in the first place. The recent George Santos phenomenon in the US House of Representatives has turned heads as to the why of his being. Santos provided profound lies about his education, work experience and family to become a member of Congress from New York’s 3</w:t>
      </w:r>
      <w:r w:rsidRPr="00D3790F">
        <w:rPr>
          <w:vertAlign w:val="superscript"/>
        </w:rPr>
        <w:t>rd</w:t>
      </w:r>
      <w:r>
        <w:t xml:space="preserve"> District. </w:t>
      </w:r>
      <w:r>
        <w:lastRenderedPageBreak/>
        <w:t>His lying was as casual as it was profound. In the end, nothing about the man appears true. And no, in 2023, he was expelled the House for his lies.</w:t>
      </w:r>
    </w:p>
    <w:p w14:paraId="2C39F23C" w14:textId="77777777" w:rsidR="00B10FA3" w:rsidRDefault="00B10FA3" w:rsidP="00D3790F">
      <w:pPr>
        <w:pStyle w:val="topic-paragraph"/>
        <w:spacing w:line="480" w:lineRule="auto"/>
      </w:pPr>
      <w:r>
        <w:t xml:space="preserve">     Does an addict intend to mislead? This may be a question that one might pose to George Santos. William Shakespeare wrote that “memory is both the warder of the brain and its courtesan.” The idea here is that lies enslave the liar. Relief from tension, pleasure from manipulation, material gain; lies serve to redistribute power. So, if we agree that lying may create damage not imagined from the Enlightenment era of Thomas Jefferson, how might a developed, democratic culture protect itself against the corrosive effects of the pervasive lie? I would argue that there is no silver bullet; rather, there are multiple measures that might be employed in a manner that renders lying either less frequent or less plausible. </w:t>
      </w:r>
    </w:p>
    <w:p w14:paraId="460EBD4A" w14:textId="77777777" w:rsidR="00B10FA3" w:rsidRDefault="00B10FA3" w:rsidP="00D3790F">
      <w:pPr>
        <w:pStyle w:val="topic-paragraph"/>
        <w:spacing w:line="480" w:lineRule="auto"/>
      </w:pPr>
      <w:r>
        <w:t xml:space="preserve">     The first is insisting that major media commit themselves to frequent and rigorous fact checking for all stories. This is a corporate friendly strategy – make the media companies police their reporters better. A more systemic approach might be for the US to adopt a BBC model of media, one that has proved to be invaluable to the UK. It works this way: the BBC is funded by the government but is not accountable to that government – the two entities are kept separate. The advantage of this approach is that the media might be well supported by government funds, but those funds cannot be used to manipulate the news. Thus, private interest (corporations and profit) and public interest (government and influence) are both neutralized in the interest of factual journalism. The Brits nailed this one. Might one conceive of a better model? </w:t>
      </w:r>
    </w:p>
    <w:p w14:paraId="3E80A363" w14:textId="77777777" w:rsidR="00B10FA3" w:rsidRDefault="00B10FA3" w:rsidP="00D3790F">
      <w:pPr>
        <w:pStyle w:val="topic-paragraph"/>
        <w:spacing w:line="480" w:lineRule="auto"/>
      </w:pPr>
      <w:r>
        <w:t xml:space="preserve">     Tell the truth.</w:t>
      </w:r>
    </w:p>
    <w:p w14:paraId="6808EF32" w14:textId="77777777" w:rsidR="00B10FA3" w:rsidRDefault="00B10FA3" w:rsidP="00D3790F">
      <w:pPr>
        <w:pStyle w:val="topic-paragraph"/>
        <w:spacing w:line="480" w:lineRule="auto"/>
      </w:pPr>
      <w:r>
        <w:t xml:space="preserve">     </w:t>
      </w:r>
    </w:p>
    <w:p w14:paraId="39CD3006" w14:textId="77777777" w:rsidR="00B10FA3" w:rsidRPr="00D3790F" w:rsidRDefault="00B10FA3" w:rsidP="00D3790F">
      <w:pPr>
        <w:pStyle w:val="topic-paragraph"/>
        <w:spacing w:line="480" w:lineRule="auto"/>
      </w:pPr>
      <w:r>
        <w:t xml:space="preserve">      </w:t>
      </w:r>
    </w:p>
    <w:p w14:paraId="7BAFA92D" w14:textId="77777777" w:rsidR="001B7EAE" w:rsidRDefault="001B7EAE" w:rsidP="007D603D">
      <w:pPr>
        <w:rPr>
          <w:b/>
          <w:bCs/>
          <w:sz w:val="28"/>
          <w:szCs w:val="28"/>
        </w:rPr>
      </w:pPr>
    </w:p>
    <w:p w14:paraId="42D98DE7" w14:textId="77777777" w:rsidR="001B7EAE" w:rsidRDefault="001B7EAE" w:rsidP="007D603D">
      <w:pPr>
        <w:rPr>
          <w:b/>
          <w:bCs/>
          <w:sz w:val="28"/>
          <w:szCs w:val="28"/>
        </w:rPr>
      </w:pPr>
    </w:p>
    <w:p w14:paraId="55CF5F11" w14:textId="77777777" w:rsidR="001B7EAE" w:rsidRDefault="001B7EAE" w:rsidP="007D603D">
      <w:pPr>
        <w:rPr>
          <w:b/>
          <w:bCs/>
          <w:sz w:val="28"/>
          <w:szCs w:val="28"/>
        </w:rPr>
      </w:pPr>
    </w:p>
    <w:p w14:paraId="2DC0407E" w14:textId="3007AA5B" w:rsidR="00B10FA3" w:rsidRPr="00667ED3" w:rsidRDefault="001B7EAE" w:rsidP="007D603D">
      <w:pPr>
        <w:rPr>
          <w:b/>
          <w:bCs/>
          <w:sz w:val="32"/>
          <w:szCs w:val="32"/>
        </w:rPr>
      </w:pPr>
      <w:r>
        <w:rPr>
          <w:b/>
          <w:bCs/>
          <w:sz w:val="28"/>
          <w:szCs w:val="28"/>
        </w:rPr>
        <w:tab/>
      </w:r>
      <w:r>
        <w:rPr>
          <w:b/>
          <w:bCs/>
          <w:sz w:val="28"/>
          <w:szCs w:val="28"/>
        </w:rPr>
        <w:tab/>
      </w:r>
      <w:r>
        <w:rPr>
          <w:b/>
          <w:bCs/>
          <w:sz w:val="28"/>
          <w:szCs w:val="28"/>
        </w:rPr>
        <w:tab/>
      </w:r>
      <w:r>
        <w:rPr>
          <w:b/>
          <w:bCs/>
          <w:sz w:val="28"/>
          <w:szCs w:val="28"/>
        </w:rPr>
        <w:tab/>
      </w:r>
      <w:r w:rsidR="00B10FA3">
        <w:rPr>
          <w:b/>
          <w:bCs/>
          <w:sz w:val="28"/>
          <w:szCs w:val="28"/>
        </w:rPr>
        <w:tab/>
      </w:r>
      <w:r w:rsidR="00B10FA3" w:rsidRPr="00667ED3">
        <w:rPr>
          <w:b/>
          <w:bCs/>
          <w:sz w:val="32"/>
          <w:szCs w:val="32"/>
        </w:rPr>
        <w:t xml:space="preserve">Chapter </w:t>
      </w:r>
      <w:r w:rsidR="000F5F76" w:rsidRPr="00667ED3">
        <w:rPr>
          <w:b/>
          <w:bCs/>
          <w:sz w:val="32"/>
          <w:szCs w:val="32"/>
        </w:rPr>
        <w:t>9</w:t>
      </w:r>
    </w:p>
    <w:p w14:paraId="4376E476" w14:textId="77777777" w:rsidR="00B10FA3" w:rsidRDefault="00B10FA3" w:rsidP="007D603D">
      <w:pPr>
        <w:ind w:left="397" w:right="397"/>
        <w:rPr>
          <w:b/>
          <w:bCs/>
          <w:sz w:val="28"/>
          <w:szCs w:val="28"/>
        </w:rPr>
      </w:pPr>
      <w:r w:rsidRPr="001F4E7D">
        <w:rPr>
          <w:b/>
          <w:bCs/>
          <w:sz w:val="28"/>
          <w:szCs w:val="28"/>
        </w:rPr>
        <w:t xml:space="preserve">                           </w:t>
      </w:r>
    </w:p>
    <w:p w14:paraId="43274FAB" w14:textId="77777777" w:rsidR="00B10FA3" w:rsidRPr="006F0C10" w:rsidRDefault="00B10FA3" w:rsidP="007D603D">
      <w:pPr>
        <w:ind w:left="397" w:right="397"/>
        <w:rPr>
          <w:b/>
          <w:bCs/>
          <w:i/>
          <w:iCs/>
          <w:sz w:val="32"/>
          <w:szCs w:val="32"/>
        </w:rPr>
      </w:pPr>
    </w:p>
    <w:p w14:paraId="562833ED" w14:textId="78CA53C0" w:rsidR="00B10FA3" w:rsidRPr="006F0C10" w:rsidRDefault="00B10FA3" w:rsidP="007D603D">
      <w:pPr>
        <w:ind w:left="397" w:right="397"/>
        <w:rPr>
          <w:b/>
          <w:bCs/>
          <w:i/>
          <w:iCs/>
          <w:sz w:val="32"/>
          <w:szCs w:val="32"/>
        </w:rPr>
      </w:pPr>
      <w:r w:rsidRPr="006F0C10">
        <w:rPr>
          <w:b/>
          <w:bCs/>
          <w:i/>
          <w:iCs/>
          <w:sz w:val="32"/>
          <w:szCs w:val="32"/>
        </w:rPr>
        <w:t xml:space="preserve">                        Redistributing Wealth in America</w:t>
      </w:r>
    </w:p>
    <w:p w14:paraId="5F5CFF03" w14:textId="4EEA361D" w:rsidR="00B10FA3" w:rsidRPr="008F59FF" w:rsidRDefault="006F0C10" w:rsidP="007D603D">
      <w:pPr>
        <w:pStyle w:val="NormalWeb"/>
        <w:ind w:left="2268" w:right="2268"/>
        <w:rPr>
          <w:b/>
          <w:bCs/>
          <w:i/>
          <w:iCs/>
          <w:sz w:val="18"/>
          <w:szCs w:val="18"/>
        </w:rPr>
      </w:pPr>
      <w:r>
        <w:rPr>
          <w:i/>
          <w:iCs/>
          <w:sz w:val="18"/>
          <w:szCs w:val="18"/>
        </w:rPr>
        <w:tab/>
      </w:r>
      <w:r>
        <w:rPr>
          <w:i/>
          <w:iCs/>
          <w:sz w:val="18"/>
          <w:szCs w:val="18"/>
        </w:rPr>
        <w:tab/>
        <w:t xml:space="preserve">       </w:t>
      </w:r>
    </w:p>
    <w:p w14:paraId="0DAFEFDB" w14:textId="77777777" w:rsidR="00B10FA3" w:rsidRPr="008F59FF" w:rsidRDefault="00B10FA3" w:rsidP="007D603D">
      <w:pPr>
        <w:pStyle w:val="NormalWeb"/>
        <w:ind w:left="2268" w:right="2268"/>
        <w:rPr>
          <w:i/>
          <w:iCs/>
          <w:sz w:val="18"/>
          <w:szCs w:val="18"/>
        </w:rPr>
      </w:pPr>
    </w:p>
    <w:p w14:paraId="31916F43" w14:textId="77777777" w:rsidR="00B10FA3" w:rsidRPr="008F59FF" w:rsidRDefault="00B10FA3" w:rsidP="001F4E7D">
      <w:pPr>
        <w:pStyle w:val="NormalWeb"/>
        <w:ind w:left="2268" w:right="2268"/>
        <w:jc w:val="both"/>
        <w:rPr>
          <w:color w:val="0D0D0D" w:themeColor="text1" w:themeTint="F2"/>
          <w:sz w:val="18"/>
          <w:szCs w:val="18"/>
          <w:u w:val="single"/>
        </w:rPr>
      </w:pPr>
      <w:hyperlink r:id="rId11" w:history="1">
        <w:r w:rsidRPr="008F59FF">
          <w:rPr>
            <w:rStyle w:val="Hyperlink"/>
            <w:rFonts w:eastAsiaTheme="majorEastAsia"/>
            <w:color w:val="0D0D0D" w:themeColor="text1" w:themeTint="F2"/>
            <w:sz w:val="18"/>
            <w:szCs w:val="18"/>
            <w:u w:val="none"/>
          </w:rPr>
          <w:t>To take from one because it is thought that his own industry and that of his father's has acquired too much, in order to spare to others, who, or whose fathers have not exercised equal industry and skill, is to violate arbitrarily the first principle of association-the guarantee to every one of a free exercise of his industry and the fruits acquired by it.</w:t>
        </w:r>
      </w:hyperlink>
      <w:r w:rsidRPr="008F59FF">
        <w:rPr>
          <w:color w:val="0D0D0D" w:themeColor="text1" w:themeTint="F2"/>
          <w:sz w:val="18"/>
          <w:szCs w:val="18"/>
          <w:u w:val="single"/>
        </w:rPr>
        <w:t xml:space="preserve"> </w:t>
      </w:r>
    </w:p>
    <w:p w14:paraId="33663ADA" w14:textId="77777777" w:rsidR="00B10FA3" w:rsidRPr="008F59FF" w:rsidRDefault="00B10FA3" w:rsidP="001F4E7D">
      <w:pPr>
        <w:spacing w:before="100" w:beforeAutospacing="1" w:after="100" w:afterAutospacing="1" w:line="240" w:lineRule="auto"/>
        <w:ind w:left="2268" w:right="2268"/>
        <w:jc w:val="both"/>
        <w:rPr>
          <w:color w:val="0D0D0D" w:themeColor="text1" w:themeTint="F2"/>
          <w:sz w:val="18"/>
          <w:szCs w:val="18"/>
        </w:rPr>
      </w:pPr>
      <w:r w:rsidRPr="008F59FF">
        <w:rPr>
          <w:color w:val="0D0D0D" w:themeColor="text1" w:themeTint="F2"/>
          <w:sz w:val="18"/>
          <w:szCs w:val="18"/>
        </w:rPr>
        <w:t>--</w:t>
      </w:r>
      <w:hyperlink r:id="rId12" w:history="1">
        <w:r w:rsidRPr="008F59FF">
          <w:rPr>
            <w:rStyle w:val="Hyperlink"/>
            <w:color w:val="0D0D0D" w:themeColor="text1" w:themeTint="F2"/>
            <w:sz w:val="18"/>
            <w:szCs w:val="18"/>
            <w:u w:val="none"/>
          </w:rPr>
          <w:t>Thomas Jefferson</w:t>
        </w:r>
      </w:hyperlink>
      <w:r w:rsidRPr="008F59FF">
        <w:rPr>
          <w:color w:val="0D0D0D" w:themeColor="text1" w:themeTint="F2"/>
          <w:sz w:val="18"/>
          <w:szCs w:val="18"/>
        </w:rPr>
        <w:t xml:space="preserve"> </w:t>
      </w:r>
    </w:p>
    <w:p w14:paraId="73EC8B0B" w14:textId="77777777" w:rsidR="00B10FA3" w:rsidRPr="001F4E7D" w:rsidRDefault="00B10FA3" w:rsidP="001F4E7D">
      <w:pPr>
        <w:spacing w:line="240" w:lineRule="auto"/>
        <w:ind w:left="2268" w:right="2268"/>
        <w:jc w:val="both"/>
        <w:rPr>
          <w:color w:val="0D0D0D" w:themeColor="text1" w:themeTint="F2"/>
          <w:sz w:val="18"/>
          <w:szCs w:val="18"/>
          <w:u w:val="single"/>
        </w:rPr>
      </w:pPr>
    </w:p>
    <w:p w14:paraId="549F1AA2" w14:textId="77777777" w:rsidR="00B10FA3" w:rsidRPr="008F59FF" w:rsidRDefault="00B10FA3" w:rsidP="001F4E7D">
      <w:pPr>
        <w:pStyle w:val="NormalWeb"/>
        <w:ind w:left="2268" w:right="2268"/>
        <w:jc w:val="both"/>
        <w:rPr>
          <w:color w:val="0D0D0D" w:themeColor="text1" w:themeTint="F2"/>
          <w:sz w:val="18"/>
          <w:szCs w:val="18"/>
        </w:rPr>
      </w:pPr>
      <w:hyperlink r:id="rId13" w:history="1">
        <w:r w:rsidRPr="008F59FF">
          <w:rPr>
            <w:rStyle w:val="Hyperlink"/>
            <w:rFonts w:eastAsiaTheme="majorEastAsia"/>
            <w:color w:val="0D0D0D" w:themeColor="text1" w:themeTint="F2"/>
            <w:sz w:val="18"/>
            <w:szCs w:val="18"/>
            <w:u w:val="none"/>
          </w:rPr>
          <w:t>In a sense, George W. Bush has used the tragedy of the terrorist attacks of September 11th and the nightmarish expansion of his idea of a war on terror to overshadow his actual conduct in office on the redistribution of wealth upward through progressive tax cuts that actually penalize the vast majority of the public, and shift their resources to a narrow band at the very, very top.</w:t>
        </w:r>
      </w:hyperlink>
      <w:r w:rsidRPr="008F59FF">
        <w:rPr>
          <w:color w:val="0D0D0D" w:themeColor="text1" w:themeTint="F2"/>
          <w:sz w:val="18"/>
          <w:szCs w:val="18"/>
        </w:rPr>
        <w:t xml:space="preserve"> </w:t>
      </w:r>
    </w:p>
    <w:p w14:paraId="76CD9995" w14:textId="77777777" w:rsidR="00B10FA3" w:rsidRPr="008F59FF" w:rsidRDefault="00B10FA3" w:rsidP="001F4E7D">
      <w:pPr>
        <w:spacing w:line="240" w:lineRule="auto"/>
        <w:ind w:left="2268" w:right="2268"/>
        <w:jc w:val="both"/>
        <w:rPr>
          <w:color w:val="0D0D0D" w:themeColor="text1" w:themeTint="F2"/>
          <w:sz w:val="18"/>
          <w:szCs w:val="18"/>
        </w:rPr>
      </w:pPr>
      <w:r w:rsidRPr="008F59FF">
        <w:rPr>
          <w:color w:val="0D0D0D" w:themeColor="text1" w:themeTint="F2"/>
          <w:sz w:val="18"/>
          <w:szCs w:val="18"/>
        </w:rPr>
        <w:t>--</w:t>
      </w:r>
      <w:hyperlink r:id="rId14" w:history="1">
        <w:r w:rsidRPr="008F59FF">
          <w:rPr>
            <w:rStyle w:val="Hyperlink"/>
            <w:color w:val="0D0D0D" w:themeColor="text1" w:themeTint="F2"/>
            <w:sz w:val="18"/>
            <w:szCs w:val="18"/>
            <w:u w:val="none"/>
          </w:rPr>
          <w:t>Sidney Blumenthal</w:t>
        </w:r>
      </w:hyperlink>
      <w:r w:rsidRPr="008F59FF">
        <w:rPr>
          <w:color w:val="0D0D0D" w:themeColor="text1" w:themeTint="F2"/>
          <w:sz w:val="18"/>
          <w:szCs w:val="18"/>
        </w:rPr>
        <w:t xml:space="preserve"> </w:t>
      </w:r>
    </w:p>
    <w:p w14:paraId="4889D613" w14:textId="77777777" w:rsidR="00B10FA3" w:rsidRDefault="00B10FA3" w:rsidP="007D603D">
      <w:pPr>
        <w:ind w:left="397" w:right="397"/>
        <w:rPr>
          <w:b/>
          <w:bCs/>
          <w:sz w:val="28"/>
          <w:szCs w:val="28"/>
        </w:rPr>
      </w:pPr>
    </w:p>
    <w:p w14:paraId="6AE674EF" w14:textId="77777777" w:rsidR="00B10FA3" w:rsidRDefault="00B10FA3" w:rsidP="007D603D">
      <w:pPr>
        <w:ind w:left="397" w:right="397"/>
        <w:rPr>
          <w:b/>
          <w:bCs/>
          <w:sz w:val="28"/>
          <w:szCs w:val="28"/>
        </w:rPr>
      </w:pPr>
    </w:p>
    <w:p w14:paraId="178EA5CA" w14:textId="77777777" w:rsidR="001B7EAE" w:rsidRDefault="001B7EAE" w:rsidP="007D603D">
      <w:pPr>
        <w:ind w:left="397" w:right="397"/>
        <w:rPr>
          <w:b/>
          <w:bCs/>
          <w:sz w:val="28"/>
          <w:szCs w:val="28"/>
        </w:rPr>
      </w:pPr>
    </w:p>
    <w:p w14:paraId="454204E5" w14:textId="77777777" w:rsidR="001B7EAE" w:rsidRDefault="001B7EAE" w:rsidP="007D603D">
      <w:pPr>
        <w:ind w:left="397" w:right="397"/>
        <w:rPr>
          <w:b/>
          <w:bCs/>
          <w:sz w:val="28"/>
          <w:szCs w:val="28"/>
        </w:rPr>
      </w:pPr>
    </w:p>
    <w:p w14:paraId="14F72C1C" w14:textId="77777777" w:rsidR="001B7EAE" w:rsidRDefault="001B7EAE" w:rsidP="007D603D">
      <w:pPr>
        <w:ind w:left="397" w:right="397"/>
        <w:rPr>
          <w:b/>
          <w:bCs/>
          <w:sz w:val="28"/>
          <w:szCs w:val="28"/>
        </w:rPr>
      </w:pPr>
    </w:p>
    <w:p w14:paraId="36619FA9" w14:textId="77777777" w:rsidR="001B7EAE" w:rsidRDefault="001B7EAE" w:rsidP="007D603D">
      <w:pPr>
        <w:ind w:left="397" w:right="397"/>
        <w:rPr>
          <w:b/>
          <w:bCs/>
          <w:sz w:val="28"/>
          <w:szCs w:val="28"/>
        </w:rPr>
      </w:pPr>
    </w:p>
    <w:p w14:paraId="07C7E9B0" w14:textId="77777777" w:rsidR="001B7EAE" w:rsidRDefault="001B7EAE" w:rsidP="007D603D">
      <w:pPr>
        <w:ind w:left="397" w:right="397"/>
        <w:rPr>
          <w:b/>
          <w:bCs/>
          <w:sz w:val="28"/>
          <w:szCs w:val="28"/>
        </w:rPr>
      </w:pPr>
    </w:p>
    <w:p w14:paraId="51D60CC1" w14:textId="77777777" w:rsidR="001B7EAE" w:rsidRPr="00850C6D" w:rsidRDefault="001B7EAE" w:rsidP="007D603D">
      <w:pPr>
        <w:ind w:left="397" w:right="397"/>
        <w:rPr>
          <w:rFonts w:ascii="Times New Roman" w:hAnsi="Times New Roman" w:cs="Times New Roman"/>
          <w:b/>
          <w:bCs/>
        </w:rPr>
      </w:pPr>
    </w:p>
    <w:p w14:paraId="26245496" w14:textId="77777777" w:rsidR="00416394" w:rsidRDefault="00416394" w:rsidP="007D603D">
      <w:pPr>
        <w:pStyle w:val="NormalWeb"/>
        <w:spacing w:line="480" w:lineRule="auto"/>
        <w:ind w:left="397" w:right="397"/>
        <w:rPr>
          <w:b/>
          <w:bCs/>
        </w:rPr>
      </w:pPr>
    </w:p>
    <w:p w14:paraId="2620F374" w14:textId="0A2AC716" w:rsidR="00B10FA3" w:rsidRPr="00850C6D" w:rsidRDefault="00B10FA3" w:rsidP="007D603D">
      <w:pPr>
        <w:pStyle w:val="NormalWeb"/>
        <w:spacing w:line="480" w:lineRule="auto"/>
        <w:ind w:left="397" w:right="397"/>
        <w:rPr>
          <w:b/>
          <w:bCs/>
        </w:rPr>
      </w:pPr>
      <w:r w:rsidRPr="00850C6D">
        <w:rPr>
          <w:b/>
          <w:bCs/>
        </w:rPr>
        <w:t xml:space="preserve">The Idea of Redistribution of Societal Wealth </w:t>
      </w:r>
    </w:p>
    <w:p w14:paraId="02132A69" w14:textId="1BBAA61E" w:rsidR="00B10FA3" w:rsidRPr="00850C6D" w:rsidRDefault="00B10FA3" w:rsidP="007D603D">
      <w:pPr>
        <w:pStyle w:val="NormalWeb"/>
        <w:spacing w:line="480" w:lineRule="auto"/>
        <w:ind w:left="397" w:right="397"/>
      </w:pPr>
      <w:r w:rsidRPr="00850C6D">
        <w:t xml:space="preserve">     Few ideas in US political and social culture are more tenaciously held (however implicitly) than those regarding the allocation of wealth within the general population. Oddly, this is a bit of a taboo issue that is rarely debated openly; reasons for this range from the conspiratorial – that wealthy deep pocked interests control the placement of wealth nationally - to the paranoid - other people not like me are benefiting from American largesse and must be stopped, to the ideological: it is (or is not) the role of government to provide assistance that takes from one group and allocates it to another. </w:t>
      </w:r>
    </w:p>
    <w:p w14:paraId="344EBC43" w14:textId="77777777" w:rsidR="00B10FA3" w:rsidRPr="00850C6D" w:rsidRDefault="00B10FA3" w:rsidP="007D603D">
      <w:pPr>
        <w:pStyle w:val="NormalWeb"/>
        <w:spacing w:line="480" w:lineRule="auto"/>
        <w:ind w:left="397" w:right="397"/>
      </w:pPr>
      <w:r w:rsidRPr="00850C6D">
        <w:t xml:space="preserve">     Nonetheless, wealth is, in fact redistributed daily throughout the US, just not in the ways often caricatured in the political culture. The catch is that the winners tend to be at the top of the pecking order, not the bottom. But one would never know that, judging from the dominant political rhetoric in America today. </w:t>
      </w:r>
    </w:p>
    <w:p w14:paraId="4B992012" w14:textId="77777777" w:rsidR="00B10FA3" w:rsidRPr="00850C6D" w:rsidRDefault="00B10FA3" w:rsidP="007D603D">
      <w:pPr>
        <w:pStyle w:val="NormalWeb"/>
        <w:spacing w:line="480" w:lineRule="auto"/>
        <w:ind w:left="397" w:right="397"/>
      </w:pPr>
      <w:r w:rsidRPr="00850C6D">
        <w:t xml:space="preserve">     The default place for assigning blame and responsibility for economic status has historically tended towards the poor, and moreover, towards economically compromised minorities, who represent easy targets – in that they are marginalized racially and/or economically. Why this is the default mentality in America is open to interpretation; some attribute it to deep, systemic racism; others harken back to free market principles from 19th century classical liberalism. They are the true believers: one reaps from what one sows. </w:t>
      </w:r>
    </w:p>
    <w:p w14:paraId="4C703931" w14:textId="77777777" w:rsidR="00B10FA3" w:rsidRPr="00850C6D" w:rsidRDefault="00B10FA3" w:rsidP="007D603D">
      <w:pPr>
        <w:pStyle w:val="NormalWeb"/>
        <w:spacing w:line="480" w:lineRule="auto"/>
        <w:ind w:left="397" w:right="397"/>
      </w:pPr>
      <w:r w:rsidRPr="00850C6D">
        <w:t xml:space="preserve">    Still others take an ethereal perspective, arguing that wealth is a blessing from God upon the deserving, the “prosperity gospel” idea, a modern take on the Social </w:t>
      </w:r>
      <w:r w:rsidRPr="00850C6D">
        <w:lastRenderedPageBreak/>
        <w:t xml:space="preserve">Darwinism tenets of the late 19th and early 20th centuries, equating wealth with godliness and decency, while relegating poverty and struggle to moral decay, ennui, and lack of initiative. </w:t>
      </w:r>
    </w:p>
    <w:p w14:paraId="4AF6742B" w14:textId="77777777" w:rsidR="00B10FA3" w:rsidRPr="00850C6D" w:rsidRDefault="00B10FA3" w:rsidP="007D603D">
      <w:pPr>
        <w:pStyle w:val="NormalWeb"/>
        <w:spacing w:line="480" w:lineRule="auto"/>
        <w:ind w:left="397" w:right="397"/>
      </w:pPr>
      <w:r w:rsidRPr="00850C6D">
        <w:t xml:space="preserve">     If it were only so simple. </w:t>
      </w:r>
    </w:p>
    <w:p w14:paraId="6BD36CFC" w14:textId="77777777" w:rsidR="00B10FA3" w:rsidRPr="00850C6D" w:rsidRDefault="00B10FA3" w:rsidP="007D603D">
      <w:pPr>
        <w:pStyle w:val="NormalWeb"/>
        <w:spacing w:line="480" w:lineRule="auto"/>
        <w:ind w:left="397" w:right="397"/>
      </w:pPr>
      <w:r w:rsidRPr="00850C6D">
        <w:t xml:space="preserve">     Generally, if one were to deconstruct most 19th and 20th century ideas about the distribution of wealth in culture, one would find class structure looking at itself in a mirror. Put another way – social classes work, whether consciously or not, to advance their own perceived class interests. I say perceived interests, because, in an economically imbalanced system such as ours, what one sees it not necessarily an accurate representation of reality, much less one’s self interest. </w:t>
      </w:r>
    </w:p>
    <w:p w14:paraId="2908F7CF" w14:textId="2F3D443E" w:rsidR="00B10FA3" w:rsidRPr="00850C6D" w:rsidRDefault="00B10FA3" w:rsidP="007D603D">
      <w:pPr>
        <w:pStyle w:val="NormalWeb"/>
        <w:spacing w:line="480" w:lineRule="auto"/>
        <w:ind w:left="397" w:right="397"/>
      </w:pPr>
      <w:r w:rsidRPr="00850C6D">
        <w:t xml:space="preserve">     The problem is that, in a troubled, unstable culture, loss and decline, not to mention manipulation and misdirection, become the norm. Wealth is an exception, and may be even invisible to less privileged classes, as wealth tends to hide itself amidst poverty. But, in a </w:t>
      </w:r>
      <w:r w:rsidR="0022296F">
        <w:t xml:space="preserve">political and social </w:t>
      </w:r>
      <w:r w:rsidRPr="00850C6D">
        <w:t>culture where wealth and struggle sit invisibly, side by side, as in the US, there is merely a tick</w:t>
      </w:r>
      <w:r w:rsidR="008F59FF" w:rsidRPr="00850C6D">
        <w:t>-</w:t>
      </w:r>
      <w:r w:rsidRPr="00850C6D">
        <w:t>tick</w:t>
      </w:r>
      <w:r w:rsidR="008F59FF" w:rsidRPr="00850C6D">
        <w:t>-</w:t>
      </w:r>
      <w:r w:rsidRPr="00850C6D">
        <w:t xml:space="preserve">tick of time before which the less affluent figure out that the game is rigged. For the moment, that time has not yet been reached. </w:t>
      </w:r>
    </w:p>
    <w:p w14:paraId="58178834" w14:textId="77777777" w:rsidR="00B10FA3" w:rsidRDefault="00B10FA3" w:rsidP="007D603D">
      <w:pPr>
        <w:pStyle w:val="NormalWeb"/>
        <w:spacing w:line="480" w:lineRule="auto"/>
        <w:ind w:left="397" w:right="397"/>
      </w:pPr>
      <w:r w:rsidRPr="00850C6D">
        <w:t xml:space="preserve">     In the United States, the existence of large black and brown populations has, historically, provided political cover for regressive ideas. The US is a federal system, dispersed over 3000 miles, 50 individual political sovereignties (the states), an anemic organized labor movement, and a culture that, with little knowledge or appreciation of the dynamics of class, seems to prefer to embrace </w:t>
      </w:r>
      <w:r w:rsidRPr="00850C6D">
        <w:rPr>
          <w:i/>
          <w:iCs/>
        </w:rPr>
        <w:t>tribal difference</w:t>
      </w:r>
      <w:r w:rsidRPr="00850C6D">
        <w:t xml:space="preserve"> over economic solidarity. As they say in the South – a person will deny themselves a </w:t>
      </w:r>
      <w:r w:rsidRPr="00850C6D">
        <w:lastRenderedPageBreak/>
        <w:t xml:space="preserve">social benefit from the government, rather than concede the same benefit to a minority or other out-group. </w:t>
      </w:r>
    </w:p>
    <w:p w14:paraId="38F31ACE" w14:textId="77777777" w:rsidR="00CA103A" w:rsidRPr="00850C6D" w:rsidRDefault="00CA103A" w:rsidP="007D603D">
      <w:pPr>
        <w:pStyle w:val="NormalWeb"/>
        <w:spacing w:line="480" w:lineRule="auto"/>
        <w:ind w:left="397" w:right="397"/>
      </w:pPr>
    </w:p>
    <w:p w14:paraId="5C467D89" w14:textId="77777777" w:rsidR="00B10FA3" w:rsidRPr="00850C6D" w:rsidRDefault="00B10FA3" w:rsidP="007D603D">
      <w:pPr>
        <w:pStyle w:val="NormalWeb"/>
        <w:spacing w:line="480" w:lineRule="auto"/>
        <w:ind w:left="397" w:right="397"/>
        <w:rPr>
          <w:b/>
          <w:bCs/>
          <w:i/>
          <w:iCs/>
        </w:rPr>
      </w:pPr>
      <w:r w:rsidRPr="00850C6D">
        <w:rPr>
          <w:b/>
          <w:bCs/>
          <w:i/>
          <w:iCs/>
        </w:rPr>
        <w:t>Historical Efforts at Redistribution</w:t>
      </w:r>
    </w:p>
    <w:p w14:paraId="174ADD0B" w14:textId="77777777" w:rsidR="00B10FA3" w:rsidRPr="00850C6D" w:rsidRDefault="00B10FA3" w:rsidP="007D603D">
      <w:pPr>
        <w:pStyle w:val="NormalWeb"/>
        <w:spacing w:line="480" w:lineRule="auto"/>
        <w:ind w:left="397" w:right="397"/>
      </w:pPr>
      <w:r w:rsidRPr="00850C6D">
        <w:t xml:space="preserve">     There have been organized efforts in the United States to reduce the gap between rich and poor. A classic example of this phenomenon on a large scale is the </w:t>
      </w:r>
      <w:r w:rsidRPr="00850C6D">
        <w:rPr>
          <w:i/>
          <w:iCs/>
        </w:rPr>
        <w:t>Populist Movement</w:t>
      </w:r>
      <w:r w:rsidRPr="00850C6D">
        <w:t xml:space="preserve"> of the 1890s under the leadership of Thomas E. Watson. Watson tried to unite black and white agrarians into a single movement; Watson also supported the right of blacks to vote. But the center couldn’t hold, and by the early 20</w:t>
      </w:r>
      <w:r w:rsidRPr="00850C6D">
        <w:rPr>
          <w:vertAlign w:val="superscript"/>
        </w:rPr>
        <w:t>th</w:t>
      </w:r>
      <w:r w:rsidRPr="00850C6D">
        <w:t xml:space="preserve"> century, Watson had traded his populist agenda for a racist, xenophobic one. Race trumped economics – and not for the last time. </w:t>
      </w:r>
    </w:p>
    <w:p w14:paraId="32D62287" w14:textId="3707C7C0" w:rsidR="00B10FA3" w:rsidRPr="00850C6D" w:rsidRDefault="00B10FA3" w:rsidP="007D603D">
      <w:pPr>
        <w:pStyle w:val="NormalWeb"/>
        <w:spacing w:line="480" w:lineRule="auto"/>
        <w:ind w:left="397" w:right="397"/>
        <w:rPr>
          <w:color w:val="FF0000"/>
        </w:rPr>
      </w:pPr>
      <w:r w:rsidRPr="00850C6D">
        <w:t xml:space="preserve">     Witness also the Obama years, when the federal government offered to pay 90% of the states’ Medicare rates under his new health care plan over a three-year period (which later became permanent), but, by 2023, 12 states, all in the Deep South or Midwest, had refused to expand Medicare. Add to this that 11 of these 12 states had the highest uninsured populations in the country. Further, 5 of the 7 highest black population states in the country were in the group of 12, and a sixth one – Texas, comprised one of 4 “majority minority” states</w:t>
      </w:r>
      <w:r w:rsidRPr="00850C6D">
        <w:rPr>
          <w:rStyle w:val="FootnoteReference"/>
          <w:rFonts w:eastAsiaTheme="majorEastAsia"/>
        </w:rPr>
        <w:footnoteReference w:id="244"/>
      </w:r>
      <w:r w:rsidRPr="00850C6D">
        <w:t xml:space="preserve"> in the US, where non-whites outnumber whites numerically, but lag in political and economic influence.  As a result of these 12 states’ refusal to expand Medicaid even under the funding of the federal government, nearly 4 million people are today deprived of health care through </w:t>
      </w:r>
      <w:r w:rsidRPr="00850C6D">
        <w:lastRenderedPageBreak/>
        <w:t>the Medicaid system. The denial of a vital social benefit to ones’ own constituents indicates a serious rupture in the social contract between Americans.</w:t>
      </w:r>
      <w:r w:rsidRPr="00850C6D">
        <w:rPr>
          <w:rStyle w:val="FootnoteReference"/>
          <w:rFonts w:eastAsiaTheme="majorEastAsia"/>
        </w:rPr>
        <w:footnoteReference w:id="245"/>
      </w:r>
    </w:p>
    <w:p w14:paraId="5BF770D4" w14:textId="77777777" w:rsidR="00B10FA3" w:rsidRPr="00850C6D" w:rsidRDefault="00B10FA3" w:rsidP="007D603D">
      <w:pPr>
        <w:pStyle w:val="NormalWeb"/>
        <w:spacing w:line="480" w:lineRule="auto"/>
        <w:ind w:left="397" w:right="397"/>
      </w:pPr>
      <w:r w:rsidRPr="00850C6D">
        <w:t xml:space="preserve">     </w:t>
      </w:r>
      <w:r w:rsidRPr="00850C6D">
        <w:rPr>
          <w:i/>
          <w:iCs/>
        </w:rPr>
        <w:t>Redistribution</w:t>
      </w:r>
      <w:r w:rsidRPr="00850C6D">
        <w:t xml:space="preserve">. First, a word about the word. The prevalent economic myth in America is that money is typically earned by legitimate means, and then, through redistribution, doled out to </w:t>
      </w:r>
      <w:r w:rsidRPr="00B24102">
        <w:rPr>
          <w:i/>
          <w:iCs/>
        </w:rPr>
        <w:t xml:space="preserve">undeserving </w:t>
      </w:r>
      <w:r w:rsidRPr="00850C6D">
        <w:t xml:space="preserve">groups. Like the unfortunate and misleading slogan “defund the police,” “redistribution” carries a lot of baggage – most of it suggesting that Robin Hood made the rules. This is not the case. Redistribution is a highly contentious, ideologically and economically driven concept, loaded with propaganda and cynicism in rhetoric. What is ‘sensible, efficient economics’ to one side is an ‘undeserved government handout’ to the other. </w:t>
      </w:r>
    </w:p>
    <w:p w14:paraId="3EB06269" w14:textId="40BCC98E" w:rsidR="00B10FA3" w:rsidRPr="00850C6D" w:rsidRDefault="00B10FA3" w:rsidP="007D603D">
      <w:pPr>
        <w:pStyle w:val="NormalWeb"/>
        <w:spacing w:line="480" w:lineRule="auto"/>
        <w:ind w:left="397" w:right="397"/>
      </w:pPr>
      <w:r w:rsidRPr="00850C6D">
        <w:t xml:space="preserve">     If one looks more carefully, one can see that redistribution is a powerful influence in American economics – just not in the way that folks normally think. There are two types of redistribution: </w:t>
      </w:r>
      <w:r w:rsidRPr="00850C6D">
        <w:rPr>
          <w:i/>
          <w:iCs/>
        </w:rPr>
        <w:t>active and passive</w:t>
      </w:r>
      <w:r w:rsidRPr="00850C6D">
        <w:t xml:space="preserve">. An active form of redistribution is a </w:t>
      </w:r>
      <w:r w:rsidR="00850C6D" w:rsidRPr="00850C6D">
        <w:t xml:space="preserve">positive one, such as a </w:t>
      </w:r>
      <w:r w:rsidRPr="00850C6D">
        <w:t xml:space="preserve">government allocation </w:t>
      </w:r>
      <w:r w:rsidR="00850C6D" w:rsidRPr="00850C6D">
        <w:t xml:space="preserve">or a subsidy </w:t>
      </w:r>
      <w:r w:rsidRPr="00850C6D">
        <w:t xml:space="preserve">– cash in hand. A passive equivalent is a </w:t>
      </w:r>
      <w:r w:rsidRPr="00850C6D">
        <w:rPr>
          <w:i/>
          <w:iCs/>
        </w:rPr>
        <w:t>removal of expense</w:t>
      </w:r>
      <w:r w:rsidRPr="00850C6D">
        <w:t>, such as a tax break, a tax reduction, or a write off. Passive redistribution removes an obligation to pay a tax, perform a service or carry out a function, whereas active redistribution involves an actual transfer of funds from one entity to another.</w:t>
      </w:r>
    </w:p>
    <w:p w14:paraId="42A91B49" w14:textId="6ED1A29F" w:rsidR="00B10FA3" w:rsidRPr="00850C6D" w:rsidRDefault="00B10FA3" w:rsidP="007D603D">
      <w:pPr>
        <w:pStyle w:val="NormalWeb"/>
        <w:spacing w:line="480" w:lineRule="auto"/>
        <w:ind w:left="397" w:right="397"/>
      </w:pPr>
      <w:r w:rsidRPr="00850C6D">
        <w:t xml:space="preserve">     The interesting thing about American political culture is that the small portion of the budget devoted to items like Aid to Families with Dependent Children (AFDC) or Food Stamps are often highly controversial, whereas other overt (i.e. </w:t>
      </w:r>
      <w:r w:rsidRPr="00850C6D">
        <w:rPr>
          <w:i/>
          <w:iCs/>
        </w:rPr>
        <w:t>active</w:t>
      </w:r>
      <w:r w:rsidRPr="00850C6D">
        <w:t xml:space="preserve">) government grants of money for military technology purchases or subsidies for </w:t>
      </w:r>
      <w:r w:rsidRPr="00850C6D">
        <w:lastRenderedPageBreak/>
        <w:t xml:space="preserve">energy producers are typically perceived as business as usual, though each is a direct grant of funds from the US Government, either to an individual, or to a government-dependent corporation. </w:t>
      </w:r>
    </w:p>
    <w:p w14:paraId="6C88A2CC" w14:textId="58ABBC60" w:rsidR="00B10FA3" w:rsidRPr="00850C6D" w:rsidRDefault="00B10FA3" w:rsidP="007D603D">
      <w:pPr>
        <w:pStyle w:val="NormalWeb"/>
        <w:spacing w:line="480" w:lineRule="auto"/>
        <w:ind w:left="397" w:right="397"/>
      </w:pPr>
      <w:r w:rsidRPr="00850C6D">
        <w:t xml:space="preserve">     Americans support for both active and passive government involvement is often dependent on context, constituency and potential </w:t>
      </w:r>
      <w:r w:rsidR="00B24102">
        <w:t>efficacy</w:t>
      </w:r>
      <w:r w:rsidRPr="00850C6D">
        <w:t>. There is also a political element. If aid is perceived as benefitting an undeserving group (immigrants, minorities), there will be significant opposition, as there may not appear a clear economic, political or social advantage (and opposition itself, conversely, may create politically reactive advantage).  On the other hand, if the constituency in need provides a potential avenue to profitability (say, for example, technological development to assist the disabled), an aid mandate may be made available as financial opportunities may accompany, such as the development and distribution of new technologies or medicines.</w:t>
      </w:r>
    </w:p>
    <w:p w14:paraId="6E37874C" w14:textId="7FCBDFF6" w:rsidR="00B10FA3" w:rsidRPr="00850C6D" w:rsidRDefault="00B10FA3" w:rsidP="007D603D">
      <w:pPr>
        <w:pStyle w:val="NormalWeb"/>
        <w:spacing w:line="480" w:lineRule="auto"/>
        <w:ind w:left="397" w:right="397"/>
      </w:pPr>
      <w:r w:rsidRPr="00850C6D">
        <w:t xml:space="preserve">     Nearly </w:t>
      </w:r>
      <w:r w:rsidR="00850C6D" w:rsidRPr="00850C6D">
        <w:t>two thirds</w:t>
      </w:r>
      <w:r w:rsidRPr="00850C6D">
        <w:t xml:space="preserve"> of the federal budget is made up of mandatory spending, such as the Social Security trust fund, Medicare and Medicaid. The remaining one third of the budget is discretionary spending, and the military (along with veterans) benefits makes up for more than half of it.  Relatively little is dedicated budgetarily to education, agriculture, housing, health, energy and environment, but these are the priorities made by the American political economy at the federal level.</w:t>
      </w:r>
      <w:r w:rsidRPr="00850C6D">
        <w:rPr>
          <w:rStyle w:val="FootnoteReference"/>
          <w:rFonts w:eastAsiaTheme="majorEastAsia"/>
        </w:rPr>
        <w:footnoteReference w:id="246"/>
      </w:r>
      <w:r w:rsidRPr="00850C6D">
        <w:t xml:space="preserve">   </w:t>
      </w:r>
    </w:p>
    <w:p w14:paraId="634E6D63" w14:textId="77777777" w:rsidR="00B10FA3" w:rsidRPr="00850C6D" w:rsidRDefault="00B10FA3" w:rsidP="007D603D">
      <w:pPr>
        <w:pStyle w:val="NormalWeb"/>
        <w:spacing w:line="480" w:lineRule="auto"/>
        <w:ind w:left="397" w:right="397"/>
      </w:pPr>
      <w:r w:rsidRPr="00850C6D">
        <w:t xml:space="preserve">     US federal tax rates are not terribly different from their western European counterparts, depending on category of income. Corporate rates are also fairly consistent (though lower in Eastern Europe). Of course, local and state taxes have to </w:t>
      </w:r>
      <w:r w:rsidRPr="00850C6D">
        <w:lastRenderedPageBreak/>
        <w:t xml:space="preserve">be factored in as well, as loopholes in the tax code. In the end, US federal taxes only account for about 24% of the GDP of the US, which is very low among industrialized countries. France, for example, has a tax rate that runs over 40% of GDP. </w:t>
      </w:r>
    </w:p>
    <w:p w14:paraId="52C76CC5" w14:textId="4C32A433" w:rsidR="00B10FA3" w:rsidRPr="00850C6D" w:rsidRDefault="00B10FA3" w:rsidP="007D603D">
      <w:pPr>
        <w:pStyle w:val="NormalWeb"/>
        <w:spacing w:line="480" w:lineRule="auto"/>
        <w:ind w:left="397" w:right="397"/>
      </w:pPr>
      <w:r w:rsidRPr="00850C6D">
        <w:t xml:space="preserve">     Further, most consumption tax in the US is collected at the state and local level, through a sales tax of 0-9%, whereas most European countries impose a national VAT tax of 20% or more. Thus, US taxes, </w:t>
      </w:r>
      <w:r w:rsidRPr="00B24102">
        <w:rPr>
          <w:i/>
          <w:iCs/>
        </w:rPr>
        <w:t>in the main</w:t>
      </w:r>
      <w:r w:rsidRPr="00850C6D">
        <w:t>, tend to be l</w:t>
      </w:r>
      <w:r w:rsidR="00850C6D" w:rsidRPr="00850C6D">
        <w:t>ower</w:t>
      </w:r>
      <w:r w:rsidRPr="00850C6D">
        <w:t xml:space="preserve"> than those in Europe, but services in the US, such as public transport, affordable health care, public projects, infrastructure, and government projects generally tend to be of a lesser kind and quality than in Europe.</w:t>
      </w:r>
      <w:r w:rsidRPr="00850C6D">
        <w:rPr>
          <w:rStyle w:val="FootnoteReference"/>
          <w:rFonts w:eastAsiaTheme="majorEastAsia"/>
        </w:rPr>
        <w:footnoteReference w:id="247"/>
      </w:r>
    </w:p>
    <w:p w14:paraId="7DD2F8F3" w14:textId="4DD20F85" w:rsidR="00B10FA3" w:rsidRPr="00850C6D" w:rsidRDefault="00B10FA3" w:rsidP="00850C6D">
      <w:pPr>
        <w:pStyle w:val="NormalWeb"/>
        <w:spacing w:line="480" w:lineRule="auto"/>
        <w:ind w:left="397" w:right="397"/>
      </w:pPr>
      <w:r w:rsidRPr="00850C6D">
        <w:t xml:space="preserve">     In the following section, I hope to examine some theories regarding how groups of people, interest groups and constituencies decide the means by which they share the wealth of their society – the essence of what political scientists call </w:t>
      </w:r>
      <w:r w:rsidRPr="00850C6D">
        <w:rPr>
          <w:i/>
          <w:iCs/>
        </w:rPr>
        <w:t>political economy</w:t>
      </w:r>
      <w:r w:rsidRPr="00850C6D">
        <w:t xml:space="preserve">.  I offer no silver bullet, but my hope is that the varying theories of redistribution might strike a chord on the issue of fairness, and who and how resources might and should be shared in a properly functioning democracy. </w:t>
      </w:r>
    </w:p>
    <w:p w14:paraId="21A571FF" w14:textId="77777777" w:rsidR="00B10FA3" w:rsidRPr="00850C6D" w:rsidRDefault="00B10FA3" w:rsidP="007D603D">
      <w:pPr>
        <w:ind w:left="397" w:right="397"/>
        <w:rPr>
          <w:rFonts w:ascii="Times New Roman" w:hAnsi="Times New Roman" w:cs="Times New Roman"/>
          <w:b/>
          <w:bCs/>
        </w:rPr>
      </w:pPr>
    </w:p>
    <w:p w14:paraId="631316E1" w14:textId="77777777" w:rsidR="00B10FA3" w:rsidRPr="00CA103A" w:rsidRDefault="00B10FA3" w:rsidP="007D603D">
      <w:pPr>
        <w:ind w:left="397" w:right="397"/>
        <w:rPr>
          <w:rFonts w:ascii="Times New Roman" w:hAnsi="Times New Roman" w:cs="Times New Roman"/>
          <w:b/>
          <w:bCs/>
          <w:i/>
          <w:iCs/>
          <w:sz w:val="28"/>
          <w:szCs w:val="28"/>
        </w:rPr>
      </w:pPr>
      <w:r w:rsidRPr="00CA103A">
        <w:rPr>
          <w:rFonts w:ascii="Times New Roman" w:hAnsi="Times New Roman" w:cs="Times New Roman"/>
          <w:b/>
          <w:bCs/>
          <w:i/>
          <w:iCs/>
          <w:sz w:val="28"/>
          <w:szCs w:val="28"/>
        </w:rPr>
        <w:t>Redistribution and Happiness</w:t>
      </w:r>
    </w:p>
    <w:p w14:paraId="6E61AE5F" w14:textId="4255984E" w:rsidR="00B10FA3" w:rsidRPr="00850C6D" w:rsidRDefault="00B10FA3" w:rsidP="00DE34A1">
      <w:pPr>
        <w:spacing w:line="480" w:lineRule="auto"/>
        <w:rPr>
          <w:rFonts w:ascii="Times New Roman" w:eastAsia="Times New Roman" w:hAnsi="Times New Roman" w:cs="Times New Roman"/>
          <w:lang w:eastAsia="en-CA"/>
        </w:rPr>
      </w:pPr>
      <w:r w:rsidRPr="00850C6D">
        <w:rPr>
          <w:rFonts w:ascii="Times New Roman" w:hAnsi="Times New Roman" w:cs="Times New Roman"/>
          <w:b/>
          <w:bCs/>
        </w:rPr>
        <w:t xml:space="preserve">          </w:t>
      </w:r>
      <w:r w:rsidRPr="00850C6D">
        <w:rPr>
          <w:rFonts w:ascii="Times New Roman" w:hAnsi="Times New Roman" w:cs="Times New Roman"/>
        </w:rPr>
        <w:t xml:space="preserve">One significant measure of a healthy society is the perceived level of happiness and  contentment. </w:t>
      </w:r>
      <w:r w:rsidRPr="00850C6D">
        <w:rPr>
          <w:rFonts w:ascii="Times New Roman" w:eastAsia="Times New Roman" w:hAnsi="Times New Roman" w:cs="Times New Roman"/>
          <w:lang w:eastAsia="en-CA"/>
        </w:rPr>
        <w:t xml:space="preserve">If we look at countries in the world with a relatively even level of wealth distribution – such as the Nordic Bloc - we find certain similarities. For example, one finds high levels of democratic behavior at the national and the local level, along with low </w:t>
      </w:r>
      <w:r w:rsidRPr="00850C6D">
        <w:rPr>
          <w:rFonts w:ascii="Times New Roman" w:eastAsia="Times New Roman" w:hAnsi="Times New Roman" w:cs="Times New Roman"/>
          <w:lang w:eastAsia="en-CA"/>
        </w:rPr>
        <w:lastRenderedPageBreak/>
        <w:t xml:space="preserve">corruption in the political and economic spheres, along with a certain amount of autonomy at local regional and national levels (federalism), and a significant amount of personal political and economic freedom, a reliable social welfare system, and, perhaps most importantly a </w:t>
      </w:r>
      <w:r w:rsidRPr="00850C6D">
        <w:rPr>
          <w:rFonts w:ascii="Times New Roman" w:eastAsia="Times New Roman" w:hAnsi="Times New Roman" w:cs="Times New Roman"/>
          <w:i/>
          <w:iCs/>
          <w:lang w:eastAsia="en-CA"/>
        </w:rPr>
        <w:t>high degree of trust</w:t>
      </w:r>
      <w:r w:rsidRPr="00850C6D">
        <w:rPr>
          <w:rFonts w:ascii="Times New Roman" w:eastAsia="Times New Roman" w:hAnsi="Times New Roman" w:cs="Times New Roman"/>
          <w:lang w:eastAsia="en-CA"/>
        </w:rPr>
        <w:t xml:space="preserve"> among the citizenry.</w:t>
      </w:r>
      <w:r w:rsidRPr="00850C6D">
        <w:rPr>
          <w:rStyle w:val="FootnoteReference"/>
          <w:rFonts w:ascii="Times New Roman" w:eastAsia="Times New Roman" w:hAnsi="Times New Roman" w:cs="Times New Roman"/>
          <w:lang w:eastAsia="en-CA"/>
        </w:rPr>
        <w:footnoteReference w:id="248"/>
      </w:r>
      <w:r w:rsidRPr="00850C6D">
        <w:rPr>
          <w:rFonts w:ascii="Times New Roman" w:eastAsia="Times New Roman" w:hAnsi="Times New Roman" w:cs="Times New Roman"/>
          <w:lang w:eastAsia="en-CA"/>
        </w:rPr>
        <w:t xml:space="preserve"> There is some disagreement as to whether the size of country factors into higher or lower levels of happiness, with some arguing that high population can lead to lowered opportunity, greater violence and suicide, among other problems.</w:t>
      </w:r>
      <w:r w:rsidRPr="00850C6D">
        <w:rPr>
          <w:rStyle w:val="FootnoteReference"/>
          <w:rFonts w:ascii="Times New Roman" w:eastAsia="Times New Roman" w:hAnsi="Times New Roman" w:cs="Times New Roman"/>
          <w:lang w:eastAsia="en-CA"/>
        </w:rPr>
        <w:footnoteReference w:id="249"/>
      </w:r>
      <w:r w:rsidRPr="00850C6D">
        <w:rPr>
          <w:rFonts w:ascii="Times New Roman" w:eastAsia="Times New Roman" w:hAnsi="Times New Roman" w:cs="Times New Roman"/>
          <w:lang w:eastAsia="en-CA"/>
        </w:rPr>
        <w:t xml:space="preserve">  </w:t>
      </w:r>
    </w:p>
    <w:p w14:paraId="15E68D38" w14:textId="68C0D07C" w:rsidR="00B10FA3" w:rsidRPr="00850C6D" w:rsidRDefault="00B10FA3" w:rsidP="00DE34A1">
      <w:pPr>
        <w:spacing w:line="480" w:lineRule="auto"/>
        <w:rPr>
          <w:rFonts w:ascii="Times New Roman" w:eastAsia="Times New Roman" w:hAnsi="Times New Roman" w:cs="Times New Roman"/>
          <w:lang w:eastAsia="en-CA"/>
        </w:rPr>
      </w:pPr>
      <w:r w:rsidRPr="00850C6D">
        <w:rPr>
          <w:rFonts w:ascii="Times New Roman" w:eastAsia="Times New Roman" w:hAnsi="Times New Roman" w:cs="Times New Roman"/>
          <w:lang w:eastAsia="en-CA"/>
        </w:rPr>
        <w:t xml:space="preserve">     Welfare systems and labor markets appear to succeed when there is sufficient regulation and useful regulation that serves to benefit all classes, but, more than any other single factor, it appears that </w:t>
      </w:r>
      <w:r w:rsidRPr="00850C6D">
        <w:rPr>
          <w:rFonts w:ascii="Times New Roman" w:eastAsia="Times New Roman" w:hAnsi="Times New Roman" w:cs="Times New Roman"/>
          <w:i/>
          <w:iCs/>
          <w:lang w:eastAsia="en-CA"/>
        </w:rPr>
        <w:t>trust in others</w:t>
      </w:r>
      <w:r w:rsidRPr="00850C6D">
        <w:rPr>
          <w:rFonts w:ascii="Times New Roman" w:eastAsia="Times New Roman" w:hAnsi="Times New Roman" w:cs="Times New Roman"/>
          <w:lang w:eastAsia="en-CA"/>
        </w:rPr>
        <w:t xml:space="preserve"> is linked to happiness, along with the sense of connectedness, of good social relations and a movement toward the common good, resulting in low status anxiety, and reduced fear of failure. According to one study, a full three quarters of the world population consider the betterment of material conditions to be the single most important factor in their advancement, followed by health and then family.</w:t>
      </w:r>
      <w:r w:rsidRPr="00850C6D">
        <w:rPr>
          <w:rStyle w:val="FootnoteReference"/>
          <w:rFonts w:ascii="Times New Roman" w:eastAsia="Times New Roman" w:hAnsi="Times New Roman" w:cs="Times New Roman"/>
          <w:lang w:eastAsia="en-CA"/>
        </w:rPr>
        <w:footnoteReference w:id="250"/>
      </w:r>
      <w:r w:rsidRPr="00850C6D">
        <w:rPr>
          <w:rFonts w:ascii="Times New Roman" w:eastAsia="Times New Roman" w:hAnsi="Times New Roman" w:cs="Times New Roman"/>
          <w:lang w:eastAsia="en-CA"/>
        </w:rPr>
        <w:t xml:space="preserve"> In 2020, Denmark, Finland and Sweden were ranked the three happiest European countries.</w:t>
      </w:r>
      <w:r w:rsidRPr="00850C6D">
        <w:rPr>
          <w:rStyle w:val="FootnoteReference"/>
          <w:rFonts w:ascii="Times New Roman" w:eastAsia="Times New Roman" w:hAnsi="Times New Roman" w:cs="Times New Roman"/>
          <w:lang w:eastAsia="en-CA"/>
        </w:rPr>
        <w:footnoteReference w:id="251"/>
      </w:r>
      <w:r w:rsidRPr="00850C6D">
        <w:rPr>
          <w:rFonts w:ascii="Times New Roman" w:eastAsia="Times New Roman" w:hAnsi="Times New Roman" w:cs="Times New Roman"/>
          <w:lang w:eastAsia="en-CA"/>
        </w:rPr>
        <w:t xml:space="preserve"> </w:t>
      </w:r>
    </w:p>
    <w:p w14:paraId="48C44CB3" w14:textId="57FDFF43" w:rsidR="00B10FA3" w:rsidRPr="00850C6D" w:rsidRDefault="00B10FA3" w:rsidP="00DE34A1">
      <w:pPr>
        <w:spacing w:line="480" w:lineRule="auto"/>
        <w:rPr>
          <w:rFonts w:ascii="Times New Roman" w:eastAsia="Times New Roman" w:hAnsi="Times New Roman" w:cs="Times New Roman"/>
          <w:lang w:eastAsia="en-CA"/>
        </w:rPr>
      </w:pPr>
      <w:r w:rsidRPr="00850C6D">
        <w:rPr>
          <w:rFonts w:ascii="Times New Roman" w:eastAsia="Times New Roman" w:hAnsi="Times New Roman" w:cs="Times New Roman"/>
          <w:lang w:eastAsia="en-CA"/>
        </w:rPr>
        <w:t xml:space="preserve">     By contrast, a </w:t>
      </w:r>
      <w:r w:rsidRPr="00850C6D">
        <w:rPr>
          <w:rFonts w:ascii="Times New Roman" w:eastAsia="Times New Roman" w:hAnsi="Times New Roman" w:cs="Times New Roman"/>
          <w:i/>
          <w:iCs/>
          <w:lang w:eastAsia="en-CA"/>
        </w:rPr>
        <w:t>lack</w:t>
      </w:r>
      <w:r w:rsidRPr="00850C6D">
        <w:rPr>
          <w:rFonts w:ascii="Times New Roman" w:eastAsia="Times New Roman" w:hAnsi="Times New Roman" w:cs="Times New Roman"/>
          <w:lang w:eastAsia="en-CA"/>
        </w:rPr>
        <w:t xml:space="preserve"> of trust in a societal structure may have the opposite effect, creating mental and economic instability, which lowers the happiness quotient. A history of severe or violent class conflict can also be a factor in destabilizing trust and confidence among the citizenry. However, a </w:t>
      </w:r>
      <w:r w:rsidR="00B24102">
        <w:rPr>
          <w:rFonts w:ascii="Times New Roman" w:eastAsia="Times New Roman" w:hAnsi="Times New Roman" w:cs="Times New Roman"/>
          <w:lang w:eastAsia="en-CA"/>
        </w:rPr>
        <w:t xml:space="preserve">high </w:t>
      </w:r>
      <w:r w:rsidRPr="00850C6D">
        <w:rPr>
          <w:rFonts w:ascii="Times New Roman" w:eastAsia="Times New Roman" w:hAnsi="Times New Roman" w:cs="Times New Roman"/>
          <w:lang w:eastAsia="en-CA"/>
        </w:rPr>
        <w:t xml:space="preserve">quality and universal educational system can mitigate against many </w:t>
      </w:r>
      <w:r w:rsidRPr="00850C6D">
        <w:rPr>
          <w:rFonts w:ascii="Times New Roman" w:eastAsia="Times New Roman" w:hAnsi="Times New Roman" w:cs="Times New Roman"/>
          <w:lang w:eastAsia="en-CA"/>
        </w:rPr>
        <w:lastRenderedPageBreak/>
        <w:t xml:space="preserve">other factors, providing societal members with the tools that they need for achieving their aspirations.  </w:t>
      </w:r>
    </w:p>
    <w:p w14:paraId="2DBF4113" w14:textId="77777777" w:rsidR="00B10FA3" w:rsidRPr="00850C6D" w:rsidRDefault="00B10FA3" w:rsidP="00DE34A1">
      <w:pPr>
        <w:spacing w:line="480" w:lineRule="auto"/>
        <w:rPr>
          <w:rFonts w:ascii="Times New Roman" w:eastAsia="Times New Roman" w:hAnsi="Times New Roman" w:cs="Times New Roman"/>
          <w:lang w:eastAsia="en-CA"/>
        </w:rPr>
      </w:pPr>
    </w:p>
    <w:p w14:paraId="1D304BC6" w14:textId="77777777" w:rsidR="00B10FA3" w:rsidRPr="00A23AC2" w:rsidRDefault="00B10FA3" w:rsidP="00DE34A1">
      <w:pPr>
        <w:spacing w:line="480" w:lineRule="auto"/>
        <w:rPr>
          <w:rFonts w:ascii="Times New Roman" w:eastAsia="Times New Roman" w:hAnsi="Times New Roman" w:cs="Times New Roman"/>
          <w:b/>
          <w:bCs/>
          <w:lang w:eastAsia="en-CA"/>
        </w:rPr>
      </w:pPr>
      <w:r w:rsidRPr="00A23AC2">
        <w:rPr>
          <w:rFonts w:ascii="Times New Roman" w:eastAsia="Times New Roman" w:hAnsi="Times New Roman" w:cs="Times New Roman"/>
          <w:b/>
          <w:bCs/>
          <w:lang w:eastAsia="en-CA"/>
        </w:rPr>
        <w:t>US Redistributive Patterns in a Historical Context</w:t>
      </w:r>
    </w:p>
    <w:p w14:paraId="60D7A48C" w14:textId="77777777" w:rsidR="00B10FA3" w:rsidRPr="00850C6D" w:rsidRDefault="00B10FA3" w:rsidP="00DE34A1">
      <w:pPr>
        <w:spacing w:line="480" w:lineRule="auto"/>
        <w:rPr>
          <w:rFonts w:ascii="Times New Roman" w:eastAsia="Times New Roman" w:hAnsi="Times New Roman" w:cs="Times New Roman"/>
          <w:lang w:eastAsia="en-CA"/>
        </w:rPr>
      </w:pPr>
      <w:r w:rsidRPr="00850C6D">
        <w:rPr>
          <w:rFonts w:ascii="Times New Roman" w:eastAsia="Times New Roman" w:hAnsi="Times New Roman" w:cs="Times New Roman"/>
          <w:lang w:eastAsia="en-CA"/>
        </w:rPr>
        <w:t xml:space="preserve">     The term </w:t>
      </w:r>
      <w:r w:rsidRPr="00850C6D">
        <w:rPr>
          <w:rFonts w:ascii="Times New Roman" w:eastAsia="Times New Roman" w:hAnsi="Times New Roman" w:cs="Times New Roman"/>
          <w:i/>
          <w:iCs/>
          <w:lang w:eastAsia="en-CA"/>
        </w:rPr>
        <w:t>redistribution</w:t>
      </w:r>
      <w:r w:rsidRPr="00850C6D">
        <w:rPr>
          <w:rFonts w:ascii="Times New Roman" w:eastAsia="Times New Roman" w:hAnsi="Times New Roman" w:cs="Times New Roman"/>
          <w:lang w:eastAsia="en-CA"/>
        </w:rPr>
        <w:t xml:space="preserve"> has several meanings, but like the terms “defund the police,” “black lives matter,” or “slavery reparations,” this is a term that is fraught with misunderstanding and misapprehension, and is often used with contempt.</w:t>
      </w:r>
    </w:p>
    <w:p w14:paraId="4BD082D9" w14:textId="77777777" w:rsidR="00B10FA3" w:rsidRPr="00850C6D" w:rsidRDefault="00B10FA3" w:rsidP="00DE34A1">
      <w:pPr>
        <w:spacing w:line="480" w:lineRule="auto"/>
        <w:rPr>
          <w:rFonts w:ascii="Times New Roman" w:eastAsia="Times New Roman" w:hAnsi="Times New Roman" w:cs="Times New Roman"/>
          <w:lang w:eastAsia="en-CA"/>
        </w:rPr>
      </w:pPr>
      <w:r w:rsidRPr="00850C6D">
        <w:rPr>
          <w:rFonts w:ascii="Times New Roman" w:eastAsia="Times New Roman" w:hAnsi="Times New Roman" w:cs="Times New Roman"/>
          <w:lang w:eastAsia="en-CA"/>
        </w:rPr>
        <w:t xml:space="preserve">     In the United States, “redistribution” is not used often in the mainstream discussion. It doesn’t fit our dominant cultural narrative of individual achievement. To many, it suggests a (radical) reallocation of resources, as well as smacking of socialism, another concept that has never gained much recent traction in the US. In its most reviled form, it suggests simple reallocation of the resources from the well to do to those who are poor. </w:t>
      </w:r>
    </w:p>
    <w:p w14:paraId="2C4E4442" w14:textId="2E7A5CE3" w:rsidR="00B10FA3" w:rsidRPr="00850C6D" w:rsidRDefault="00B10FA3" w:rsidP="00DE34A1">
      <w:pPr>
        <w:spacing w:line="480" w:lineRule="auto"/>
        <w:rPr>
          <w:rFonts w:ascii="Times New Roman" w:eastAsia="Times New Roman" w:hAnsi="Times New Roman" w:cs="Times New Roman"/>
          <w:lang w:eastAsia="en-CA"/>
        </w:rPr>
      </w:pPr>
      <w:r w:rsidRPr="00850C6D">
        <w:rPr>
          <w:rFonts w:ascii="Times New Roman" w:eastAsia="Times New Roman" w:hAnsi="Times New Roman" w:cs="Times New Roman"/>
          <w:lang w:eastAsia="en-CA"/>
        </w:rPr>
        <w:t xml:space="preserve">     Contemporary American political culture is fundamentally and rhetorically based on a very specific idea of equality – that of equality of </w:t>
      </w:r>
      <w:r w:rsidRPr="00850C6D">
        <w:rPr>
          <w:rFonts w:ascii="Times New Roman" w:eastAsia="Times New Roman" w:hAnsi="Times New Roman" w:cs="Times New Roman"/>
          <w:i/>
          <w:iCs/>
          <w:lang w:eastAsia="en-CA"/>
        </w:rPr>
        <w:t>opportunity</w:t>
      </w:r>
      <w:r w:rsidRPr="00850C6D">
        <w:rPr>
          <w:rFonts w:ascii="Times New Roman" w:eastAsia="Times New Roman" w:hAnsi="Times New Roman" w:cs="Times New Roman"/>
          <w:lang w:eastAsia="en-CA"/>
        </w:rPr>
        <w:t>. This means that, in the political realm, equality is seen largely as a freedom</w:t>
      </w:r>
      <w:r w:rsidRPr="00850C6D">
        <w:rPr>
          <w:rFonts w:ascii="Times New Roman" w:eastAsia="Times New Roman" w:hAnsi="Times New Roman" w:cs="Times New Roman"/>
          <w:i/>
          <w:iCs/>
          <w:lang w:eastAsia="en-CA"/>
        </w:rPr>
        <w:t xml:space="preserve"> from </w:t>
      </w:r>
      <w:r w:rsidRPr="00850C6D">
        <w:rPr>
          <w:rFonts w:ascii="Times New Roman" w:eastAsia="Times New Roman" w:hAnsi="Times New Roman" w:cs="Times New Roman"/>
          <w:lang w:eastAsia="en-CA"/>
        </w:rPr>
        <w:t>(often referred to as a negative freedom), rather than freedom</w:t>
      </w:r>
      <w:r w:rsidRPr="00850C6D">
        <w:rPr>
          <w:rFonts w:ascii="Times New Roman" w:eastAsia="Times New Roman" w:hAnsi="Times New Roman" w:cs="Times New Roman"/>
          <w:i/>
          <w:iCs/>
          <w:lang w:eastAsia="en-CA"/>
        </w:rPr>
        <w:t xml:space="preserve"> for</w:t>
      </w:r>
      <w:r w:rsidRPr="00850C6D">
        <w:rPr>
          <w:rFonts w:ascii="Times New Roman" w:eastAsia="Times New Roman" w:hAnsi="Times New Roman" w:cs="Times New Roman"/>
          <w:lang w:eastAsia="en-CA"/>
        </w:rPr>
        <w:t>, which is typically characterized as a positive freedom. A negative freedom may involve laws and policies that are passed to remove discrimination and to allow for economic activity that does not distinguish difference based on varying characteristics of individuals.</w:t>
      </w:r>
    </w:p>
    <w:p w14:paraId="519D75DC" w14:textId="274A3267" w:rsidR="00B10FA3" w:rsidRPr="00850C6D" w:rsidRDefault="00B10FA3" w:rsidP="00DE34A1">
      <w:pPr>
        <w:spacing w:line="480" w:lineRule="auto"/>
        <w:rPr>
          <w:rFonts w:ascii="Times New Roman" w:eastAsia="Times New Roman" w:hAnsi="Times New Roman" w:cs="Times New Roman"/>
          <w:lang w:eastAsia="en-CA"/>
        </w:rPr>
      </w:pPr>
      <w:r w:rsidRPr="00850C6D">
        <w:rPr>
          <w:rFonts w:ascii="Times New Roman" w:eastAsia="Times New Roman" w:hAnsi="Times New Roman" w:cs="Times New Roman"/>
          <w:lang w:eastAsia="en-CA"/>
        </w:rPr>
        <w:t>Equality, therefore, is seen as equal access and equal responsibility within an economic and social game, that does not favor one group or another.</w:t>
      </w:r>
    </w:p>
    <w:p w14:paraId="20BF699E" w14:textId="77777777" w:rsidR="00B10FA3" w:rsidRPr="00850C6D" w:rsidRDefault="00B10FA3" w:rsidP="00DE34A1">
      <w:pPr>
        <w:spacing w:line="480" w:lineRule="auto"/>
        <w:rPr>
          <w:rFonts w:ascii="Times New Roman" w:eastAsia="Times New Roman" w:hAnsi="Times New Roman" w:cs="Times New Roman"/>
          <w:lang w:eastAsia="en-CA"/>
        </w:rPr>
      </w:pPr>
      <w:r w:rsidRPr="00850C6D">
        <w:rPr>
          <w:rFonts w:ascii="Times New Roman" w:eastAsia="Times New Roman" w:hAnsi="Times New Roman" w:cs="Times New Roman"/>
          <w:lang w:eastAsia="en-CA"/>
        </w:rPr>
        <w:t xml:space="preserve">     By this interpretation of equality, one’s success or failure within the system is determined, ideally, by one’s own initiative, talent, and ingenuity. The concept of freedom from is </w:t>
      </w:r>
      <w:r w:rsidRPr="00850C6D">
        <w:rPr>
          <w:rFonts w:ascii="Times New Roman" w:eastAsia="Times New Roman" w:hAnsi="Times New Roman" w:cs="Times New Roman"/>
          <w:lang w:eastAsia="en-CA"/>
        </w:rPr>
        <w:lastRenderedPageBreak/>
        <w:t xml:space="preserve">fundamentally conceived from the idea of fairness within the society, and endeavors to limit or eliminate impediments to rational market and social relations. </w:t>
      </w:r>
    </w:p>
    <w:p w14:paraId="6A438D11" w14:textId="77777777" w:rsidR="00B10FA3" w:rsidRPr="00850C6D" w:rsidRDefault="00B10FA3" w:rsidP="00DE34A1">
      <w:pPr>
        <w:spacing w:line="480" w:lineRule="auto"/>
        <w:rPr>
          <w:rFonts w:ascii="Times New Roman" w:eastAsia="Times New Roman" w:hAnsi="Times New Roman" w:cs="Times New Roman"/>
          <w:lang w:eastAsia="en-CA"/>
        </w:rPr>
      </w:pPr>
      <w:r w:rsidRPr="00850C6D">
        <w:rPr>
          <w:rFonts w:ascii="Times New Roman" w:eastAsia="Times New Roman" w:hAnsi="Times New Roman" w:cs="Times New Roman"/>
          <w:lang w:eastAsia="en-CA"/>
        </w:rPr>
        <w:t xml:space="preserve">     </w:t>
      </w:r>
      <w:r w:rsidRPr="00850C6D">
        <w:rPr>
          <w:rFonts w:ascii="Times New Roman" w:eastAsia="Times New Roman" w:hAnsi="Times New Roman" w:cs="Times New Roman"/>
          <w:i/>
          <w:iCs/>
          <w:lang w:eastAsia="en-CA"/>
        </w:rPr>
        <w:t>Redistribution</w:t>
      </w:r>
      <w:r w:rsidRPr="00850C6D">
        <w:rPr>
          <w:rFonts w:ascii="Times New Roman" w:eastAsia="Times New Roman" w:hAnsi="Times New Roman" w:cs="Times New Roman"/>
          <w:lang w:eastAsia="en-CA"/>
        </w:rPr>
        <w:t xml:space="preserve"> falls under a different rubric. As a positive freedom, redistribution sets out to right historical wrongs through active policies that rebalance the wealth distribution in society.  </w:t>
      </w:r>
    </w:p>
    <w:p w14:paraId="3C87A7A2" w14:textId="147886FF" w:rsidR="00B10FA3" w:rsidRPr="00850C6D" w:rsidRDefault="00B10FA3" w:rsidP="00DE34A1">
      <w:pPr>
        <w:spacing w:line="480" w:lineRule="auto"/>
        <w:rPr>
          <w:rFonts w:ascii="Times New Roman" w:eastAsia="Times New Roman" w:hAnsi="Times New Roman" w:cs="Times New Roman"/>
          <w:lang w:eastAsia="en-CA"/>
        </w:rPr>
      </w:pPr>
      <w:r w:rsidRPr="00850C6D">
        <w:rPr>
          <w:rFonts w:ascii="Times New Roman" w:eastAsia="Times New Roman" w:hAnsi="Times New Roman" w:cs="Times New Roman"/>
          <w:i/>
          <w:iCs/>
          <w:lang w:eastAsia="en-CA"/>
        </w:rPr>
        <w:t>Freedom</w:t>
      </w:r>
      <w:r w:rsidR="00850C6D">
        <w:rPr>
          <w:rFonts w:ascii="Times New Roman" w:eastAsia="Times New Roman" w:hAnsi="Times New Roman" w:cs="Times New Roman"/>
          <w:i/>
          <w:iCs/>
          <w:lang w:eastAsia="en-CA"/>
        </w:rPr>
        <w:t xml:space="preserve"> </w:t>
      </w:r>
      <w:r w:rsidRPr="00850C6D">
        <w:rPr>
          <w:rFonts w:ascii="Times New Roman" w:eastAsia="Times New Roman" w:hAnsi="Times New Roman" w:cs="Times New Roman"/>
          <w:i/>
          <w:iCs/>
          <w:lang w:eastAsia="en-CA"/>
        </w:rPr>
        <w:t>- for</w:t>
      </w:r>
      <w:r w:rsidRPr="00850C6D">
        <w:rPr>
          <w:rFonts w:ascii="Times New Roman" w:eastAsia="Times New Roman" w:hAnsi="Times New Roman" w:cs="Times New Roman"/>
          <w:lang w:eastAsia="en-CA"/>
        </w:rPr>
        <w:t xml:space="preserve"> policies are radically different from </w:t>
      </w:r>
      <w:r w:rsidRPr="00850C6D">
        <w:rPr>
          <w:rFonts w:ascii="Times New Roman" w:eastAsia="Times New Roman" w:hAnsi="Times New Roman" w:cs="Times New Roman"/>
          <w:i/>
          <w:iCs/>
          <w:lang w:eastAsia="en-CA"/>
        </w:rPr>
        <w:t>freedom</w:t>
      </w:r>
      <w:r w:rsidR="00850C6D">
        <w:rPr>
          <w:rFonts w:ascii="Times New Roman" w:eastAsia="Times New Roman" w:hAnsi="Times New Roman" w:cs="Times New Roman"/>
          <w:i/>
          <w:iCs/>
          <w:lang w:eastAsia="en-CA"/>
        </w:rPr>
        <w:t xml:space="preserve"> </w:t>
      </w:r>
      <w:r w:rsidRPr="00850C6D">
        <w:rPr>
          <w:rFonts w:ascii="Times New Roman" w:eastAsia="Times New Roman" w:hAnsi="Times New Roman" w:cs="Times New Roman"/>
          <w:i/>
          <w:iCs/>
          <w:lang w:eastAsia="en-CA"/>
        </w:rPr>
        <w:t>- from</w:t>
      </w:r>
      <w:r w:rsidRPr="00850C6D">
        <w:rPr>
          <w:rFonts w:ascii="Times New Roman" w:eastAsia="Times New Roman" w:hAnsi="Times New Roman" w:cs="Times New Roman"/>
          <w:lang w:eastAsia="en-CA"/>
        </w:rPr>
        <w:t xml:space="preserve"> policies in that, in the former, there is an actual transfer of wealth from one group to another. The following are several historical American examples of the two competing conceptions of equality: If we look at, for example, civil rights legislation in the United States, such as the Voting Rights Act of 1965, or housing laws from the late 1960s, we see an effort to level the playing field to allow out-groups better opportunities within the general economy. </w:t>
      </w:r>
    </w:p>
    <w:p w14:paraId="3E53EC71" w14:textId="03AEA35F" w:rsidR="00B10FA3" w:rsidRPr="00850C6D" w:rsidRDefault="00B10FA3" w:rsidP="00DE34A1">
      <w:pPr>
        <w:spacing w:line="480" w:lineRule="auto"/>
        <w:rPr>
          <w:rFonts w:ascii="Times New Roman" w:eastAsia="Times New Roman" w:hAnsi="Times New Roman" w:cs="Times New Roman"/>
          <w:lang w:eastAsia="en-CA"/>
        </w:rPr>
      </w:pPr>
      <w:r w:rsidRPr="00850C6D">
        <w:rPr>
          <w:rFonts w:ascii="Times New Roman" w:eastAsia="Times New Roman" w:hAnsi="Times New Roman" w:cs="Times New Roman"/>
          <w:lang w:eastAsia="en-CA"/>
        </w:rPr>
        <w:t xml:space="preserve">     However, if we look at efforts within the United States to implement </w:t>
      </w:r>
      <w:r w:rsidRPr="00850C6D">
        <w:rPr>
          <w:rFonts w:ascii="Times New Roman" w:eastAsia="Times New Roman" w:hAnsi="Times New Roman" w:cs="Times New Roman"/>
          <w:i/>
          <w:iCs/>
          <w:lang w:eastAsia="en-CA"/>
        </w:rPr>
        <w:t>freedom</w:t>
      </w:r>
      <w:r w:rsidR="00850C6D" w:rsidRPr="00850C6D">
        <w:rPr>
          <w:rFonts w:ascii="Times New Roman" w:eastAsia="Times New Roman" w:hAnsi="Times New Roman" w:cs="Times New Roman"/>
          <w:i/>
          <w:iCs/>
          <w:lang w:eastAsia="en-CA"/>
        </w:rPr>
        <w:t xml:space="preserve">  </w:t>
      </w:r>
      <w:r w:rsidR="00A23AC2" w:rsidRPr="00A23AC2">
        <w:rPr>
          <w:rFonts w:ascii="Times New Roman" w:eastAsia="Times New Roman" w:hAnsi="Times New Roman" w:cs="Times New Roman"/>
          <w:i/>
          <w:iCs/>
          <w:u w:val="single"/>
          <w:lang w:eastAsia="en-CA"/>
        </w:rPr>
        <w:t>for</w:t>
      </w:r>
      <w:r w:rsidR="00850C6D" w:rsidRPr="00850C6D">
        <w:rPr>
          <w:rFonts w:ascii="Times New Roman" w:eastAsia="Times New Roman" w:hAnsi="Times New Roman" w:cs="Times New Roman"/>
          <w:lang w:eastAsia="en-CA"/>
        </w:rPr>
        <w:t xml:space="preserve">  </w:t>
      </w:r>
      <w:r w:rsidR="00A23AC2">
        <w:rPr>
          <w:rFonts w:ascii="Times New Roman" w:eastAsia="Times New Roman" w:hAnsi="Times New Roman" w:cs="Times New Roman"/>
          <w:lang w:eastAsia="en-CA"/>
        </w:rPr>
        <w:t>policies</w:t>
      </w:r>
      <w:r w:rsidR="00850C6D" w:rsidRPr="00850C6D">
        <w:rPr>
          <w:rFonts w:ascii="Times New Roman" w:eastAsia="Times New Roman" w:hAnsi="Times New Roman" w:cs="Times New Roman"/>
          <w:lang w:eastAsia="en-CA"/>
        </w:rPr>
        <w:t xml:space="preserve">   </w:t>
      </w:r>
      <w:r w:rsidRPr="00850C6D">
        <w:rPr>
          <w:rFonts w:ascii="Times New Roman" w:eastAsia="Times New Roman" w:hAnsi="Times New Roman" w:cs="Times New Roman"/>
          <w:lang w:eastAsia="en-CA"/>
        </w:rPr>
        <w:t xml:space="preserve">such as, for example, </w:t>
      </w:r>
      <w:r w:rsidRPr="00850C6D">
        <w:rPr>
          <w:rFonts w:ascii="Times New Roman" w:eastAsia="Times New Roman" w:hAnsi="Times New Roman" w:cs="Times New Roman"/>
          <w:i/>
          <w:iCs/>
          <w:lang w:eastAsia="en-CA"/>
        </w:rPr>
        <w:t>affirmative action</w:t>
      </w:r>
      <w:r w:rsidRPr="00850C6D">
        <w:rPr>
          <w:rFonts w:ascii="Times New Roman" w:eastAsia="Times New Roman" w:hAnsi="Times New Roman" w:cs="Times New Roman"/>
          <w:lang w:eastAsia="en-CA"/>
        </w:rPr>
        <w:t xml:space="preserve">, we see that there is limited support for such measures – and, often significant opposition. This is because affirmative action has been seen by many as taking opportunities away from some in the interest of providing them to others, rather than just leveling the competitive playing field for all involved.  </w:t>
      </w:r>
    </w:p>
    <w:p w14:paraId="34A27DFF" w14:textId="77777777" w:rsidR="00B10FA3" w:rsidRPr="00850C6D" w:rsidRDefault="00B10FA3" w:rsidP="00DE34A1">
      <w:pPr>
        <w:spacing w:line="480" w:lineRule="auto"/>
        <w:rPr>
          <w:rFonts w:ascii="Times New Roman" w:eastAsia="Times New Roman" w:hAnsi="Times New Roman" w:cs="Times New Roman"/>
          <w:lang w:eastAsia="en-CA"/>
        </w:rPr>
      </w:pPr>
      <w:r w:rsidRPr="00850C6D">
        <w:rPr>
          <w:rFonts w:ascii="Times New Roman" w:eastAsia="Times New Roman" w:hAnsi="Times New Roman" w:cs="Times New Roman"/>
          <w:lang w:eastAsia="en-CA"/>
        </w:rPr>
        <w:t xml:space="preserve">     One can therefore, see that, within American culture, there is a strong tradition of providing the conditions for fair play within the economy and within the society generally, but that there is also significant opposition to the direct transfer of wealth within the society, particularly when the perception is that the wealth is being transferred downward. </w:t>
      </w:r>
    </w:p>
    <w:p w14:paraId="58C87C66" w14:textId="77777777" w:rsidR="00B10FA3" w:rsidRPr="00850C6D" w:rsidRDefault="00B10FA3" w:rsidP="00DE34A1">
      <w:pPr>
        <w:spacing w:line="480" w:lineRule="auto"/>
        <w:rPr>
          <w:rFonts w:ascii="Times New Roman" w:eastAsia="Times New Roman" w:hAnsi="Times New Roman" w:cs="Times New Roman"/>
          <w:lang w:eastAsia="en-CA"/>
        </w:rPr>
      </w:pPr>
      <w:r w:rsidRPr="00850C6D">
        <w:rPr>
          <w:rFonts w:ascii="Times New Roman" w:eastAsia="Times New Roman" w:hAnsi="Times New Roman" w:cs="Times New Roman"/>
          <w:lang w:eastAsia="en-CA"/>
        </w:rPr>
        <w:t xml:space="preserve">      Oddly, Americans seem to have little quarrel with tax cuts for upper classes, or for the funding of private military procurement through taxation. Some will argue that most Americans would like to see themselves wealthy one day, and don’t want to wade into a </w:t>
      </w:r>
      <w:r w:rsidRPr="00850C6D">
        <w:rPr>
          <w:rFonts w:ascii="Times New Roman" w:eastAsia="Times New Roman" w:hAnsi="Times New Roman" w:cs="Times New Roman"/>
          <w:lang w:eastAsia="en-CA"/>
        </w:rPr>
        <w:lastRenderedPageBreak/>
        <w:t xml:space="preserve">culture of high taxation if this should occur. Others argue that fear of high taxation spreading to the middle and lower classes might be the reason for diffidence on upper class tax policy. </w:t>
      </w:r>
    </w:p>
    <w:p w14:paraId="1E5929F3" w14:textId="77777777" w:rsidR="00B10FA3" w:rsidRPr="00850C6D" w:rsidRDefault="00B10FA3" w:rsidP="00DE34A1">
      <w:pPr>
        <w:spacing w:line="480" w:lineRule="auto"/>
        <w:rPr>
          <w:rFonts w:ascii="Times New Roman" w:eastAsia="Times New Roman" w:hAnsi="Times New Roman" w:cs="Times New Roman"/>
          <w:lang w:eastAsia="en-CA"/>
        </w:rPr>
      </w:pPr>
      <w:r w:rsidRPr="00850C6D">
        <w:rPr>
          <w:rFonts w:ascii="Times New Roman" w:eastAsia="Times New Roman" w:hAnsi="Times New Roman" w:cs="Times New Roman"/>
          <w:lang w:eastAsia="en-CA"/>
        </w:rPr>
        <w:t xml:space="preserve">     Defense spending may be tolerated out of a sense of patriotic duty, or perhaps by ones (or one’s family’s) involvement in an involvement in some aspect of the US military. Xenophobia, and fear of the unknown outside of the borders of the US may also fuel such support. Doubtless, there is a legion of lobbyists and financial contributors within the US working towards the interests of both high earners and of military contractors, relentlessly shaping public and congressional opinion.</w:t>
      </w:r>
    </w:p>
    <w:p w14:paraId="5DAB2166" w14:textId="77777777" w:rsidR="00B10FA3" w:rsidRPr="00CA103A" w:rsidRDefault="00B10FA3" w:rsidP="00DE34A1">
      <w:pPr>
        <w:spacing w:line="480" w:lineRule="auto"/>
        <w:rPr>
          <w:rFonts w:ascii="Times New Roman" w:eastAsia="Times New Roman" w:hAnsi="Times New Roman" w:cs="Times New Roman"/>
          <w:i/>
          <w:iCs/>
          <w:lang w:eastAsia="en-CA"/>
        </w:rPr>
      </w:pPr>
      <w:r w:rsidRPr="00850C6D">
        <w:rPr>
          <w:rFonts w:ascii="Times New Roman" w:eastAsia="Times New Roman" w:hAnsi="Times New Roman" w:cs="Times New Roman"/>
          <w:lang w:eastAsia="en-CA"/>
        </w:rPr>
        <w:t xml:space="preserve">     </w:t>
      </w:r>
    </w:p>
    <w:p w14:paraId="092D22E5" w14:textId="77777777" w:rsidR="00B10FA3" w:rsidRPr="00CA103A" w:rsidRDefault="00B10FA3" w:rsidP="00DE34A1">
      <w:pPr>
        <w:spacing w:line="480" w:lineRule="auto"/>
        <w:rPr>
          <w:rFonts w:ascii="Times New Roman" w:eastAsia="Times New Roman" w:hAnsi="Times New Roman" w:cs="Times New Roman"/>
          <w:i/>
          <w:iCs/>
          <w:sz w:val="28"/>
          <w:szCs w:val="28"/>
          <w:lang w:eastAsia="en-CA"/>
        </w:rPr>
      </w:pPr>
      <w:r w:rsidRPr="00CA103A">
        <w:rPr>
          <w:rFonts w:ascii="Times New Roman" w:eastAsia="Times New Roman" w:hAnsi="Times New Roman" w:cs="Times New Roman"/>
          <w:i/>
          <w:iCs/>
          <w:sz w:val="28"/>
          <w:szCs w:val="28"/>
          <w:lang w:eastAsia="en-CA"/>
        </w:rPr>
        <w:t xml:space="preserve">      </w:t>
      </w:r>
      <w:r w:rsidRPr="00CA103A">
        <w:rPr>
          <w:rFonts w:ascii="Times New Roman" w:eastAsia="Times New Roman" w:hAnsi="Times New Roman" w:cs="Times New Roman"/>
          <w:b/>
          <w:bCs/>
          <w:i/>
          <w:iCs/>
          <w:sz w:val="28"/>
          <w:szCs w:val="28"/>
          <w:lang w:eastAsia="en-CA"/>
        </w:rPr>
        <w:t>Historical Antecedents</w:t>
      </w:r>
    </w:p>
    <w:p w14:paraId="4EA54B2F" w14:textId="759E9454" w:rsidR="00B10FA3" w:rsidRPr="00850C6D" w:rsidRDefault="00B10FA3" w:rsidP="00DE34A1">
      <w:pPr>
        <w:spacing w:line="480" w:lineRule="auto"/>
        <w:rPr>
          <w:rFonts w:ascii="Times New Roman" w:eastAsia="Times New Roman" w:hAnsi="Times New Roman" w:cs="Times New Roman"/>
          <w:lang w:eastAsia="en-CA"/>
        </w:rPr>
      </w:pPr>
      <w:r w:rsidRPr="00850C6D">
        <w:rPr>
          <w:rFonts w:ascii="Times New Roman" w:eastAsia="Times New Roman" w:hAnsi="Times New Roman" w:cs="Times New Roman"/>
          <w:lang w:eastAsia="en-CA"/>
        </w:rPr>
        <w:t xml:space="preserve">    The following are examples of disparate notions of equality: After the American Civil War, various congressional and local proposals emerged for the real rebuilding of the American South, ranging from limiting the political rights of southerners involved in the Confederacy, to the breaking up of plantation properties, to the 14</w:t>
      </w:r>
      <w:r w:rsidRPr="00850C6D">
        <w:rPr>
          <w:rFonts w:ascii="Times New Roman" w:eastAsia="Times New Roman" w:hAnsi="Times New Roman" w:cs="Times New Roman"/>
          <w:vertAlign w:val="superscript"/>
          <w:lang w:eastAsia="en-CA"/>
        </w:rPr>
        <w:t>th</w:t>
      </w:r>
      <w:r w:rsidRPr="00850C6D">
        <w:rPr>
          <w:rFonts w:ascii="Times New Roman" w:eastAsia="Times New Roman" w:hAnsi="Times New Roman" w:cs="Times New Roman"/>
          <w:lang w:eastAsia="en-CA"/>
        </w:rPr>
        <w:t xml:space="preserve"> and 15</w:t>
      </w:r>
      <w:r w:rsidRPr="00850C6D">
        <w:rPr>
          <w:rFonts w:ascii="Times New Roman" w:eastAsia="Times New Roman" w:hAnsi="Times New Roman" w:cs="Times New Roman"/>
          <w:vertAlign w:val="superscript"/>
          <w:lang w:eastAsia="en-CA"/>
        </w:rPr>
        <w:t>th</w:t>
      </w:r>
      <w:r w:rsidRPr="00850C6D">
        <w:rPr>
          <w:rFonts w:ascii="Times New Roman" w:eastAsia="Times New Roman" w:hAnsi="Times New Roman" w:cs="Times New Roman"/>
          <w:lang w:eastAsia="en-CA"/>
        </w:rPr>
        <w:t xml:space="preserve"> Amendments, respectively granting citizenship and voting rights to the freed slaves, and to the imposition of a temporary rule by the North over the former confederate states, among other plans. </w:t>
      </w:r>
    </w:p>
    <w:p w14:paraId="3642226A" w14:textId="77777777" w:rsidR="00B10FA3" w:rsidRPr="00CA103A" w:rsidRDefault="00B10FA3" w:rsidP="00DE34A1">
      <w:pPr>
        <w:spacing w:line="480" w:lineRule="auto"/>
        <w:rPr>
          <w:rFonts w:ascii="Times New Roman" w:eastAsia="Times New Roman" w:hAnsi="Times New Roman" w:cs="Times New Roman"/>
          <w:sz w:val="28"/>
          <w:szCs w:val="28"/>
          <w:lang w:eastAsia="en-CA"/>
        </w:rPr>
      </w:pPr>
    </w:p>
    <w:p w14:paraId="222F1C45" w14:textId="77777777" w:rsidR="00B10FA3" w:rsidRPr="00CA103A" w:rsidRDefault="00B10FA3" w:rsidP="00DE34A1">
      <w:pPr>
        <w:spacing w:line="480" w:lineRule="auto"/>
        <w:rPr>
          <w:rFonts w:ascii="Times New Roman" w:eastAsia="Times New Roman" w:hAnsi="Times New Roman" w:cs="Times New Roman"/>
          <w:sz w:val="28"/>
          <w:szCs w:val="28"/>
          <w:lang w:eastAsia="en-CA"/>
        </w:rPr>
      </w:pPr>
      <w:r w:rsidRPr="00CA103A">
        <w:rPr>
          <w:rFonts w:ascii="Times New Roman" w:eastAsia="Times New Roman" w:hAnsi="Times New Roman" w:cs="Times New Roman"/>
          <w:sz w:val="28"/>
          <w:szCs w:val="28"/>
          <w:lang w:eastAsia="en-CA"/>
        </w:rPr>
        <w:t xml:space="preserve">     </w:t>
      </w:r>
      <w:r w:rsidRPr="00CA103A">
        <w:rPr>
          <w:rFonts w:ascii="Times New Roman" w:eastAsia="Times New Roman" w:hAnsi="Times New Roman" w:cs="Times New Roman"/>
          <w:b/>
          <w:bCs/>
          <w:sz w:val="28"/>
          <w:szCs w:val="28"/>
          <w:lang w:eastAsia="en-CA"/>
        </w:rPr>
        <w:t>The Scourge of the South: Thaddeus Stevens</w:t>
      </w:r>
    </w:p>
    <w:p w14:paraId="045C3BCB" w14:textId="77777777" w:rsidR="00B10FA3" w:rsidRPr="00850C6D" w:rsidRDefault="00B10FA3" w:rsidP="00DE34A1">
      <w:pPr>
        <w:spacing w:line="480" w:lineRule="auto"/>
        <w:rPr>
          <w:rFonts w:ascii="Times New Roman" w:eastAsia="Times New Roman" w:hAnsi="Times New Roman" w:cs="Times New Roman"/>
          <w:lang w:eastAsia="en-CA"/>
        </w:rPr>
      </w:pPr>
      <w:r w:rsidRPr="00850C6D">
        <w:rPr>
          <w:rFonts w:ascii="Times New Roman" w:eastAsia="Times New Roman" w:hAnsi="Times New Roman" w:cs="Times New Roman"/>
          <w:lang w:eastAsia="en-CA"/>
        </w:rPr>
        <w:t xml:space="preserve">     Perhaps the most radical idea put forth during the period of reconstruction was that that was proposed by representative Thaddeus Stevens of Pennsylvania.  Stevens was born in Vermont in 1792 and died in 1868 during the Reconstruction period. Early in his career he supported state-sponsored economic development and, was an early advocate of free education for all. He was a life-long supporter of racial equality and believed that free </w:t>
      </w:r>
      <w:r w:rsidRPr="00850C6D">
        <w:rPr>
          <w:rFonts w:ascii="Times New Roman" w:eastAsia="Times New Roman" w:hAnsi="Times New Roman" w:cs="Times New Roman"/>
          <w:lang w:eastAsia="en-CA"/>
        </w:rPr>
        <w:lastRenderedPageBreak/>
        <w:t>education would serve to level social distinctions. Stephens believed that education was not a charity but a public right, and advocated the idea that the common public responsibility for social improvement was imperative to the advancement in American culture.</w:t>
      </w:r>
      <w:r w:rsidRPr="00850C6D">
        <w:rPr>
          <w:rStyle w:val="FootnoteReference"/>
          <w:rFonts w:ascii="Times New Roman" w:eastAsia="Times New Roman" w:hAnsi="Times New Roman" w:cs="Times New Roman"/>
          <w:lang w:eastAsia="en-CA"/>
        </w:rPr>
        <w:footnoteReference w:id="252"/>
      </w:r>
    </w:p>
    <w:p w14:paraId="616E7B1D" w14:textId="77777777" w:rsidR="00B10FA3" w:rsidRPr="00850C6D" w:rsidRDefault="00B10FA3" w:rsidP="00DE34A1">
      <w:pPr>
        <w:spacing w:line="480" w:lineRule="auto"/>
        <w:rPr>
          <w:rFonts w:ascii="Times New Roman" w:eastAsia="Times New Roman" w:hAnsi="Times New Roman" w:cs="Times New Roman"/>
          <w:lang w:eastAsia="en-CA"/>
        </w:rPr>
      </w:pPr>
      <w:r w:rsidRPr="00850C6D">
        <w:rPr>
          <w:rFonts w:ascii="Times New Roman" w:eastAsia="Times New Roman" w:hAnsi="Times New Roman" w:cs="Times New Roman"/>
          <w:lang w:eastAsia="en-CA"/>
        </w:rPr>
        <w:t xml:space="preserve">     Between 1800 and the Civil War, all states, with the exception of Maine prohibited blacks from voting. After 1830, the property qualification for voting was lowered, but not for blacks.</w:t>
      </w:r>
    </w:p>
    <w:p w14:paraId="6675F35B" w14:textId="77777777" w:rsidR="00B10FA3" w:rsidRPr="00850C6D" w:rsidRDefault="00B10FA3" w:rsidP="00DE34A1">
      <w:pPr>
        <w:spacing w:line="480" w:lineRule="auto"/>
        <w:rPr>
          <w:rFonts w:ascii="Times New Roman" w:eastAsia="Times New Roman" w:hAnsi="Times New Roman" w:cs="Times New Roman"/>
          <w:lang w:eastAsia="en-CA"/>
        </w:rPr>
      </w:pPr>
      <w:r w:rsidRPr="00850C6D">
        <w:rPr>
          <w:rFonts w:ascii="Times New Roman" w:eastAsia="Times New Roman" w:hAnsi="Times New Roman" w:cs="Times New Roman"/>
          <w:lang w:eastAsia="en-CA"/>
        </w:rPr>
        <w:t>During Reconstruction, many liberal ideas supported economic opportunity, what today we would call negative freedoms - the removal of impediments to democratic activity.</w:t>
      </w:r>
    </w:p>
    <w:p w14:paraId="4838D324" w14:textId="18E40AF6" w:rsidR="00B10FA3" w:rsidRPr="00850C6D" w:rsidRDefault="00B10FA3" w:rsidP="00DE34A1">
      <w:pPr>
        <w:spacing w:line="480" w:lineRule="auto"/>
        <w:rPr>
          <w:rFonts w:ascii="Times New Roman" w:eastAsia="Times New Roman" w:hAnsi="Times New Roman" w:cs="Times New Roman"/>
          <w:lang w:eastAsia="en-CA"/>
        </w:rPr>
      </w:pPr>
      <w:r w:rsidRPr="00850C6D">
        <w:rPr>
          <w:rFonts w:ascii="Times New Roman" w:eastAsia="Times New Roman" w:hAnsi="Times New Roman" w:cs="Times New Roman"/>
          <w:lang w:eastAsia="en-CA"/>
        </w:rPr>
        <w:t xml:space="preserve">     The group responsible for most of these liberal ideas was called the Radical Republicans, a faction of the new Republican party which itself had just come to be in 1854. Thaddeus Stevens was an older member of Congress at the time Reconstruction commenced: His conception of freedom and democracy was an older one. To him, freedom and democracy were defined by economic individualism, and, as such he encouraged the confiscation of southern land.</w:t>
      </w:r>
      <w:r w:rsidRPr="00850C6D">
        <w:rPr>
          <w:rStyle w:val="FootnoteReference"/>
          <w:rFonts w:ascii="Times New Roman" w:eastAsia="Times New Roman" w:hAnsi="Times New Roman" w:cs="Times New Roman"/>
          <w:lang w:eastAsia="en-CA"/>
        </w:rPr>
        <w:footnoteReference w:id="253"/>
      </w:r>
    </w:p>
    <w:p w14:paraId="4708D6A2" w14:textId="36DF18E8" w:rsidR="00B10FA3" w:rsidRPr="00850C6D" w:rsidRDefault="00B10FA3" w:rsidP="00DE34A1">
      <w:pPr>
        <w:spacing w:line="480" w:lineRule="auto"/>
        <w:rPr>
          <w:rFonts w:ascii="Times New Roman" w:eastAsia="Times New Roman" w:hAnsi="Times New Roman" w:cs="Times New Roman"/>
          <w:lang w:eastAsia="en-CA"/>
        </w:rPr>
      </w:pPr>
      <w:r w:rsidRPr="00850C6D">
        <w:rPr>
          <w:rFonts w:ascii="Times New Roman" w:eastAsia="Times New Roman" w:hAnsi="Times New Roman" w:cs="Times New Roman"/>
          <w:lang w:eastAsia="en-CA"/>
        </w:rPr>
        <w:t xml:space="preserve">     Promotion of the confiscation of land was perhaps the most radical of all of the differing Radical Republican solutions to the problem of reconstruction, and it didn’t get terribly far in the Congress; indeed, throughout American history, land and other forms of property have been generally considered sacrosanct, and the post</w:t>
      </w:r>
      <w:r w:rsidR="00A23AC2">
        <w:rPr>
          <w:rFonts w:ascii="Times New Roman" w:eastAsia="Times New Roman" w:hAnsi="Times New Roman" w:cs="Times New Roman"/>
          <w:lang w:eastAsia="en-CA"/>
        </w:rPr>
        <w:t>-</w:t>
      </w:r>
      <w:r w:rsidRPr="00850C6D">
        <w:rPr>
          <w:rFonts w:ascii="Times New Roman" w:eastAsia="Times New Roman" w:hAnsi="Times New Roman" w:cs="Times New Roman"/>
          <w:lang w:eastAsia="en-CA"/>
        </w:rPr>
        <w:t xml:space="preserve">Civil War period, despite its unique exigences, was no exception. </w:t>
      </w:r>
    </w:p>
    <w:p w14:paraId="391ED46D" w14:textId="131F4C3F" w:rsidR="00B10FA3" w:rsidRPr="00850C6D" w:rsidRDefault="00B10FA3" w:rsidP="00DE34A1">
      <w:pPr>
        <w:spacing w:line="480" w:lineRule="auto"/>
        <w:rPr>
          <w:rFonts w:ascii="Times New Roman" w:eastAsia="Times New Roman" w:hAnsi="Times New Roman" w:cs="Times New Roman"/>
          <w:lang w:eastAsia="en-CA"/>
        </w:rPr>
      </w:pPr>
      <w:r w:rsidRPr="00850C6D">
        <w:rPr>
          <w:rFonts w:ascii="Times New Roman" w:eastAsia="Times New Roman" w:hAnsi="Times New Roman" w:cs="Times New Roman"/>
          <w:lang w:eastAsia="en-CA"/>
        </w:rPr>
        <w:t xml:space="preserve">      In his view the land that had been </w:t>
      </w:r>
      <w:r w:rsidR="00A23AC2">
        <w:rPr>
          <w:rFonts w:ascii="Times New Roman" w:eastAsia="Times New Roman" w:hAnsi="Times New Roman" w:cs="Times New Roman"/>
          <w:lang w:eastAsia="en-CA"/>
        </w:rPr>
        <w:t xml:space="preserve">worked </w:t>
      </w:r>
      <w:r w:rsidRPr="00850C6D">
        <w:rPr>
          <w:rFonts w:ascii="Times New Roman" w:eastAsia="Times New Roman" w:hAnsi="Times New Roman" w:cs="Times New Roman"/>
          <w:lang w:eastAsia="en-CA"/>
        </w:rPr>
        <w:t xml:space="preserve">by slaves was not legitimately owned by the white Southern plantation class; each 200 acres of land would be worth approximately $10,000 in value, which could be used to remake the South. In addition, the money could be </w:t>
      </w:r>
      <w:r w:rsidRPr="00850C6D">
        <w:rPr>
          <w:rFonts w:ascii="Times New Roman" w:eastAsia="Times New Roman" w:hAnsi="Times New Roman" w:cs="Times New Roman"/>
          <w:lang w:eastAsia="en-CA"/>
        </w:rPr>
        <w:lastRenderedPageBreak/>
        <w:t xml:space="preserve">used to pay off the national debt, to pay off union soldiers, and to advance the interest of the ex-slaves. </w:t>
      </w:r>
    </w:p>
    <w:p w14:paraId="6EC82FB0" w14:textId="77777777" w:rsidR="00B10FA3" w:rsidRPr="00850C6D" w:rsidRDefault="00B10FA3" w:rsidP="00DE34A1">
      <w:pPr>
        <w:spacing w:line="480" w:lineRule="auto"/>
        <w:rPr>
          <w:rFonts w:ascii="Times New Roman" w:eastAsia="Times New Roman" w:hAnsi="Times New Roman" w:cs="Times New Roman"/>
          <w:lang w:eastAsia="en-CA"/>
        </w:rPr>
      </w:pPr>
      <w:r w:rsidRPr="00850C6D">
        <w:rPr>
          <w:rFonts w:ascii="Times New Roman" w:eastAsia="Times New Roman" w:hAnsi="Times New Roman" w:cs="Times New Roman"/>
          <w:lang w:eastAsia="en-CA"/>
        </w:rPr>
        <w:t xml:space="preserve">     Stevens was an advocate of the 14th amendment but, interestingly, was not an advocate of female suffrage. However, he did oppose the use of the gender word male in the original working of the 14th amendment, preferring to keep the amendment gender neutral. Perhaps not surprisingly, he is today buried in Lancaster Pennsylvania, in an integrated cemetery. </w:t>
      </w:r>
    </w:p>
    <w:p w14:paraId="10DA67D4" w14:textId="77777777" w:rsidR="00B10FA3" w:rsidRPr="00850C6D" w:rsidRDefault="00B10FA3" w:rsidP="00DE34A1">
      <w:pPr>
        <w:spacing w:line="480" w:lineRule="auto"/>
        <w:rPr>
          <w:rFonts w:ascii="Times New Roman" w:eastAsia="Times New Roman" w:hAnsi="Times New Roman" w:cs="Times New Roman"/>
          <w:color w:val="FF0000"/>
          <w:lang w:eastAsia="en-CA"/>
        </w:rPr>
      </w:pPr>
    </w:p>
    <w:p w14:paraId="25CDF148" w14:textId="77777777" w:rsidR="00B10FA3" w:rsidRPr="00CA103A" w:rsidRDefault="00B10FA3" w:rsidP="00DE34A1">
      <w:pPr>
        <w:spacing w:line="480" w:lineRule="auto"/>
        <w:rPr>
          <w:rFonts w:ascii="Times New Roman" w:eastAsia="Times New Roman" w:hAnsi="Times New Roman" w:cs="Times New Roman"/>
          <w:b/>
          <w:bCs/>
          <w:color w:val="0D0D0D" w:themeColor="text1" w:themeTint="F2"/>
          <w:sz w:val="28"/>
          <w:szCs w:val="28"/>
          <w:lang w:eastAsia="en-CA"/>
        </w:rPr>
      </w:pPr>
      <w:r w:rsidRPr="00CA103A">
        <w:rPr>
          <w:rFonts w:ascii="Times New Roman" w:eastAsia="Times New Roman" w:hAnsi="Times New Roman" w:cs="Times New Roman"/>
          <w:b/>
          <w:bCs/>
          <w:sz w:val="28"/>
          <w:szCs w:val="28"/>
          <w:lang w:eastAsia="en-CA"/>
        </w:rPr>
        <w:t xml:space="preserve">FDR and the Kingfish </w:t>
      </w:r>
    </w:p>
    <w:p w14:paraId="790E4CAF" w14:textId="126B6531" w:rsidR="00B10FA3" w:rsidRPr="00850C6D" w:rsidRDefault="00B10FA3" w:rsidP="00DE34A1">
      <w:pPr>
        <w:spacing w:line="480" w:lineRule="auto"/>
        <w:rPr>
          <w:rFonts w:ascii="Times New Roman" w:eastAsia="Times New Roman" w:hAnsi="Times New Roman" w:cs="Times New Roman"/>
          <w:lang w:eastAsia="en-CA"/>
        </w:rPr>
      </w:pPr>
      <w:r w:rsidRPr="00850C6D">
        <w:rPr>
          <w:rFonts w:ascii="Times New Roman" w:eastAsia="Times New Roman" w:hAnsi="Times New Roman" w:cs="Times New Roman"/>
          <w:lang w:eastAsia="en-CA"/>
        </w:rPr>
        <w:t xml:space="preserve">     Two other more contemporary examples of the planned redistribution of wealth and United States include the Depression Era </w:t>
      </w:r>
      <w:r w:rsidRPr="00A23AC2">
        <w:rPr>
          <w:rFonts w:ascii="Times New Roman" w:eastAsia="Times New Roman" w:hAnsi="Times New Roman" w:cs="Times New Roman"/>
          <w:i/>
          <w:iCs/>
          <w:lang w:eastAsia="en-CA"/>
        </w:rPr>
        <w:t>New Deal</w:t>
      </w:r>
      <w:r w:rsidRPr="00850C6D">
        <w:rPr>
          <w:rFonts w:ascii="Times New Roman" w:eastAsia="Times New Roman" w:hAnsi="Times New Roman" w:cs="Times New Roman"/>
          <w:lang w:eastAsia="en-CA"/>
        </w:rPr>
        <w:t xml:space="preserve">, sponsored by President Franklin D. Roosevelt, and the more radical contemporaneous </w:t>
      </w:r>
      <w:r w:rsidRPr="00A23AC2">
        <w:rPr>
          <w:rFonts w:ascii="Times New Roman" w:eastAsia="Times New Roman" w:hAnsi="Times New Roman" w:cs="Times New Roman"/>
          <w:i/>
          <w:iCs/>
          <w:lang w:eastAsia="en-CA"/>
        </w:rPr>
        <w:t>Share Our Wealth</w:t>
      </w:r>
      <w:r w:rsidR="00A23AC2">
        <w:rPr>
          <w:rFonts w:ascii="Times New Roman" w:eastAsia="Times New Roman" w:hAnsi="Times New Roman" w:cs="Times New Roman"/>
          <w:lang w:eastAsia="en-CA"/>
        </w:rPr>
        <w:t xml:space="preserve"> </w:t>
      </w:r>
      <w:r w:rsidRPr="00850C6D">
        <w:rPr>
          <w:rFonts w:ascii="Times New Roman" w:eastAsia="Times New Roman" w:hAnsi="Times New Roman" w:cs="Times New Roman"/>
          <w:lang w:eastAsia="en-CA"/>
        </w:rPr>
        <w:t>program promoted by Louisiana Senator Huey Long. Despite recent attempts to label the New Deal as a radical departure from American economic values, the program or rather, programs that the New Deal created were, in fact, a pragmatic approach to the unprecedented economic strains of the Great Depression. FDR worked with big business as a partnership with government to develop various reforms, such as the Federal Emergency Relief Act, the Tennessee Valley authority or TVA, and the Securities and Exchange Commission.</w:t>
      </w:r>
      <w:r w:rsidRPr="00850C6D">
        <w:rPr>
          <w:rStyle w:val="FootnoteReference"/>
          <w:rFonts w:ascii="Times New Roman" w:eastAsia="Times New Roman" w:hAnsi="Times New Roman" w:cs="Times New Roman"/>
          <w:lang w:eastAsia="en-CA"/>
        </w:rPr>
        <w:t xml:space="preserve"> </w:t>
      </w:r>
      <w:r w:rsidRPr="00850C6D">
        <w:rPr>
          <w:rStyle w:val="FootnoteReference"/>
          <w:rFonts w:ascii="Times New Roman" w:eastAsia="Times New Roman" w:hAnsi="Times New Roman" w:cs="Times New Roman"/>
          <w:lang w:eastAsia="en-CA"/>
        </w:rPr>
        <w:footnoteReference w:id="254"/>
      </w:r>
    </w:p>
    <w:p w14:paraId="34A0C25F" w14:textId="5C7BBBE3" w:rsidR="00B10FA3" w:rsidRPr="00850C6D" w:rsidRDefault="00B10FA3" w:rsidP="00DE34A1">
      <w:pPr>
        <w:spacing w:line="480" w:lineRule="auto"/>
        <w:rPr>
          <w:rFonts w:ascii="Times New Roman" w:eastAsia="Times New Roman" w:hAnsi="Times New Roman" w:cs="Times New Roman"/>
          <w:lang w:eastAsia="en-CA"/>
        </w:rPr>
      </w:pPr>
      <w:r w:rsidRPr="00850C6D">
        <w:rPr>
          <w:rFonts w:ascii="Times New Roman" w:eastAsia="Times New Roman" w:hAnsi="Times New Roman" w:cs="Times New Roman"/>
          <w:lang w:eastAsia="en-CA"/>
        </w:rPr>
        <w:t xml:space="preserve">     The Securities and Exchange Commission or SEC, the governmental regulatory commission developed to regulate securities markets was, in fact, a stabili</w:t>
      </w:r>
      <w:r w:rsidR="00CC1A53" w:rsidRPr="00850C6D">
        <w:rPr>
          <w:rFonts w:ascii="Times New Roman" w:eastAsia="Times New Roman" w:hAnsi="Times New Roman" w:cs="Times New Roman"/>
          <w:lang w:eastAsia="en-CA"/>
        </w:rPr>
        <w:t>z</w:t>
      </w:r>
      <w:r w:rsidRPr="00850C6D">
        <w:rPr>
          <w:rFonts w:ascii="Times New Roman" w:eastAsia="Times New Roman" w:hAnsi="Times New Roman" w:cs="Times New Roman"/>
          <w:lang w:eastAsia="en-CA"/>
        </w:rPr>
        <w:t xml:space="preserve">ing factor that worked to the advantage of the interest of the investment class, who could now place greater trust in a stable, regulated market. </w:t>
      </w:r>
    </w:p>
    <w:p w14:paraId="164D8677" w14:textId="77777777" w:rsidR="00B10FA3" w:rsidRPr="00850C6D" w:rsidRDefault="00B10FA3" w:rsidP="00DE34A1">
      <w:pPr>
        <w:spacing w:line="480" w:lineRule="auto"/>
        <w:rPr>
          <w:rFonts w:ascii="Times New Roman" w:eastAsia="Times New Roman" w:hAnsi="Times New Roman" w:cs="Times New Roman"/>
          <w:lang w:eastAsia="en-CA"/>
        </w:rPr>
      </w:pPr>
      <w:r w:rsidRPr="00850C6D">
        <w:rPr>
          <w:rFonts w:ascii="Times New Roman" w:eastAsia="Times New Roman" w:hAnsi="Times New Roman" w:cs="Times New Roman"/>
          <w:lang w:eastAsia="en-CA"/>
        </w:rPr>
        <w:lastRenderedPageBreak/>
        <w:t xml:space="preserve">     In the end, despite criticisms from the political right-wing, the New Deal was a hodgepodge of pragmatic, non-ideological programs, some of which worked and some of which did not, to provide relief to the largest number of people possible. </w:t>
      </w:r>
    </w:p>
    <w:p w14:paraId="372C2F70" w14:textId="6BC35C49" w:rsidR="00B10FA3" w:rsidRPr="00850C6D" w:rsidRDefault="00B10FA3" w:rsidP="00DE34A1">
      <w:pPr>
        <w:spacing w:line="480" w:lineRule="auto"/>
        <w:rPr>
          <w:rFonts w:ascii="Times New Roman" w:eastAsia="Times New Roman" w:hAnsi="Times New Roman" w:cs="Times New Roman"/>
          <w:lang w:eastAsia="en-CA"/>
        </w:rPr>
      </w:pPr>
      <w:r w:rsidRPr="00850C6D">
        <w:rPr>
          <w:rFonts w:ascii="Times New Roman" w:eastAsia="Times New Roman" w:hAnsi="Times New Roman" w:cs="Times New Roman"/>
          <w:lang w:eastAsia="en-CA"/>
        </w:rPr>
        <w:t xml:space="preserve">     Two factors worked in Roosevelt’s favor. One, was that he had already been denounced as an enemy of his class by Republicans. This accusation bought him a certain amount of credibility with the middle and working classes. The second factor in apprising the New Deal is that few if any programs were focused exclusively on the plight of African-Americans. Roosevelt understood the volatility within the admixture of race and economics in American politics, and he steered clear of any programs that might hint of racial favoritism, or that might alienate a vital southern white segregationist Democratic constituency. </w:t>
      </w:r>
    </w:p>
    <w:p w14:paraId="480C5177" w14:textId="77777777" w:rsidR="00B10FA3" w:rsidRPr="00850C6D" w:rsidRDefault="00B10FA3" w:rsidP="00DE34A1">
      <w:pPr>
        <w:spacing w:line="480" w:lineRule="auto"/>
        <w:rPr>
          <w:rFonts w:ascii="Times New Roman" w:eastAsia="Times New Roman" w:hAnsi="Times New Roman" w:cs="Times New Roman"/>
          <w:lang w:eastAsia="en-CA"/>
        </w:rPr>
      </w:pPr>
      <w:r w:rsidRPr="00850C6D">
        <w:rPr>
          <w:rFonts w:ascii="Times New Roman" w:eastAsia="Times New Roman" w:hAnsi="Times New Roman" w:cs="Times New Roman"/>
          <w:lang w:eastAsia="en-CA"/>
        </w:rPr>
        <w:t xml:space="preserve">     By contrast, US senator Huey Long, who had developed a kind of personal fiefdom in Louisiana, demanded far greater reforms during the Great Depression; reforms that were aimed at actual overt wealth redistribution. For example, his Share Our Wealth program demanded that personal fortunes would be limited to $5 million, with any excess being expropriated by the US government.</w:t>
      </w:r>
    </w:p>
    <w:p w14:paraId="1B9E30AD" w14:textId="77777777" w:rsidR="00B10FA3" w:rsidRPr="00850C6D" w:rsidRDefault="00B10FA3" w:rsidP="00DE34A1">
      <w:pPr>
        <w:spacing w:line="480" w:lineRule="auto"/>
        <w:rPr>
          <w:rFonts w:ascii="Times New Roman" w:eastAsia="Times New Roman" w:hAnsi="Times New Roman" w:cs="Times New Roman"/>
          <w:lang w:eastAsia="en-CA"/>
        </w:rPr>
      </w:pPr>
      <w:r w:rsidRPr="00850C6D">
        <w:rPr>
          <w:rFonts w:ascii="Times New Roman" w:eastAsia="Times New Roman" w:hAnsi="Times New Roman" w:cs="Times New Roman"/>
          <w:lang w:eastAsia="en-CA"/>
        </w:rPr>
        <w:t xml:space="preserve">    Annual income would be limited to $1 million, and provisions would be made for pension funds and for assistance to veterans. Further, free education would be provided from kindergarten through college under the Share Our Wealth program. Finally, every American family would be provided with a $5000 grant along with various amenities and appliances for their home such as a car and a washing machine.</w:t>
      </w:r>
      <w:r w:rsidRPr="00850C6D">
        <w:rPr>
          <w:rStyle w:val="FootnoteReference"/>
          <w:rFonts w:ascii="Times New Roman" w:eastAsia="Times New Roman" w:hAnsi="Times New Roman" w:cs="Times New Roman"/>
          <w:lang w:eastAsia="en-CA"/>
        </w:rPr>
        <w:footnoteReference w:id="255"/>
      </w:r>
    </w:p>
    <w:p w14:paraId="1EBE2CA6" w14:textId="77777777" w:rsidR="00B10FA3" w:rsidRPr="00850C6D" w:rsidRDefault="00B10FA3" w:rsidP="00DE34A1">
      <w:pPr>
        <w:spacing w:line="480" w:lineRule="auto"/>
        <w:rPr>
          <w:rFonts w:ascii="Times New Roman" w:eastAsia="Times New Roman" w:hAnsi="Times New Roman" w:cs="Times New Roman"/>
          <w:lang w:eastAsia="en-CA"/>
        </w:rPr>
      </w:pPr>
      <w:r w:rsidRPr="00850C6D">
        <w:rPr>
          <w:rFonts w:ascii="Times New Roman" w:eastAsia="Times New Roman" w:hAnsi="Times New Roman" w:cs="Times New Roman"/>
          <w:lang w:eastAsia="en-CA"/>
        </w:rPr>
        <w:t xml:space="preserve">     As well-known, Huey Long did not live to see the continued promotion of his radical program, as he was assassinated in 1935. His radical redistribution proposals struck fear into the hearts of business and the upper classes, and likely served to improve the acceptability of </w:t>
      </w:r>
      <w:r w:rsidRPr="00850C6D">
        <w:rPr>
          <w:rFonts w:ascii="Times New Roman" w:eastAsia="Times New Roman" w:hAnsi="Times New Roman" w:cs="Times New Roman"/>
          <w:lang w:eastAsia="en-CA"/>
        </w:rPr>
        <w:lastRenderedPageBreak/>
        <w:t>the New Deal. In fact, today many historians consider the New Deal to be an essentially conservative attempt to prop up failing capitalism in the 1930s, rather than as a radical departure from the past.</w:t>
      </w:r>
    </w:p>
    <w:p w14:paraId="00C3A0F1" w14:textId="77777777" w:rsidR="00B10FA3" w:rsidRPr="00850C6D" w:rsidRDefault="00B10FA3" w:rsidP="00DE34A1">
      <w:pPr>
        <w:spacing w:line="480" w:lineRule="auto"/>
        <w:rPr>
          <w:rFonts w:ascii="Times New Roman" w:eastAsia="Times New Roman" w:hAnsi="Times New Roman" w:cs="Times New Roman"/>
          <w:lang w:eastAsia="en-CA"/>
        </w:rPr>
      </w:pPr>
    </w:p>
    <w:p w14:paraId="6C01FFB6" w14:textId="77777777" w:rsidR="00B10FA3" w:rsidRPr="00850C6D" w:rsidRDefault="00B10FA3" w:rsidP="00DE34A1">
      <w:pPr>
        <w:spacing w:line="480" w:lineRule="auto"/>
        <w:rPr>
          <w:rFonts w:ascii="Times New Roman" w:eastAsia="Times New Roman" w:hAnsi="Times New Roman" w:cs="Times New Roman"/>
          <w:b/>
          <w:bCs/>
          <w:lang w:eastAsia="en-CA"/>
        </w:rPr>
      </w:pPr>
      <w:r w:rsidRPr="00850C6D">
        <w:rPr>
          <w:rFonts w:ascii="Times New Roman" w:eastAsia="Times New Roman" w:hAnsi="Times New Roman" w:cs="Times New Roman"/>
          <w:lang w:eastAsia="en-CA"/>
        </w:rPr>
        <w:t xml:space="preserve">    </w:t>
      </w:r>
      <w:r w:rsidRPr="00850C6D">
        <w:rPr>
          <w:rFonts w:ascii="Times New Roman" w:eastAsia="Times New Roman" w:hAnsi="Times New Roman" w:cs="Times New Roman"/>
          <w:b/>
          <w:bCs/>
          <w:lang w:eastAsia="en-CA"/>
        </w:rPr>
        <w:t>JFK &amp;</w:t>
      </w:r>
      <w:r w:rsidRPr="00850C6D">
        <w:rPr>
          <w:rFonts w:ascii="Times New Roman" w:eastAsia="Times New Roman" w:hAnsi="Times New Roman" w:cs="Times New Roman"/>
          <w:lang w:eastAsia="en-CA"/>
        </w:rPr>
        <w:t xml:space="preserve"> </w:t>
      </w:r>
      <w:r w:rsidRPr="00850C6D">
        <w:rPr>
          <w:rFonts w:ascii="Times New Roman" w:eastAsia="Times New Roman" w:hAnsi="Times New Roman" w:cs="Times New Roman"/>
          <w:b/>
          <w:bCs/>
          <w:lang w:eastAsia="en-CA"/>
        </w:rPr>
        <w:t>LBJ</w:t>
      </w:r>
    </w:p>
    <w:p w14:paraId="23BBD1DF" w14:textId="77777777" w:rsidR="00B10FA3" w:rsidRPr="00850C6D" w:rsidRDefault="00B10FA3" w:rsidP="00DE34A1">
      <w:pPr>
        <w:spacing w:line="480" w:lineRule="auto"/>
        <w:rPr>
          <w:rFonts w:ascii="Times New Roman" w:hAnsi="Times New Roman" w:cs="Times New Roman"/>
        </w:rPr>
      </w:pPr>
      <w:r w:rsidRPr="00850C6D">
        <w:rPr>
          <w:rFonts w:ascii="Times New Roman" w:hAnsi="Times New Roman" w:cs="Times New Roman"/>
        </w:rPr>
        <w:t xml:space="preserve">  Let’s pick a controversial contemporary American political issue for a compact understanding of redistributive politics. How about poverty?  The social reforms of the 1960s, while couched in racial terms, were as much about </w:t>
      </w:r>
      <w:r w:rsidRPr="008F6575">
        <w:rPr>
          <w:rFonts w:ascii="Times New Roman" w:hAnsi="Times New Roman" w:cs="Times New Roman"/>
          <w:i/>
          <w:iCs/>
        </w:rPr>
        <w:t>class</w:t>
      </w:r>
      <w:r w:rsidRPr="00850C6D">
        <w:rPr>
          <w:rFonts w:ascii="Times New Roman" w:hAnsi="Times New Roman" w:cs="Times New Roman"/>
        </w:rPr>
        <w:t xml:space="preserve"> as they were about skin color. The JFK administration was largely silent about the issue (as it was about civil rights) during the first two years of his term. That could be expected; he was a young, inexperienced President, and Congress, especially in the House of Representatives, was beholden to a leadership that was disproportionately Southern and Conservative.</w:t>
      </w:r>
    </w:p>
    <w:p w14:paraId="776F147A" w14:textId="77777777" w:rsidR="00B10FA3" w:rsidRPr="00850C6D" w:rsidRDefault="00B10FA3" w:rsidP="00DE34A1">
      <w:pPr>
        <w:spacing w:line="480" w:lineRule="auto"/>
        <w:rPr>
          <w:rFonts w:ascii="Times New Roman" w:hAnsi="Times New Roman" w:cs="Times New Roman"/>
        </w:rPr>
      </w:pPr>
      <w:r w:rsidRPr="00850C6D">
        <w:rPr>
          <w:rFonts w:ascii="Times New Roman" w:hAnsi="Times New Roman" w:cs="Times New Roman"/>
        </w:rPr>
        <w:t xml:space="preserve">     By 1964, President Lyndon Johnson was able to commence a “redistribution of wealth from those who have it to those who don’t. have it,” through major federal initiatives of poverty alleviation, affecting African Americans, but also huge numbers of poor whites living in regions of Appalachia, Eastern Kentucky, northern Tennessee and West Virginia. Popular sentiment in the US was not as vociferous over the issue of poverty as it had been on the matter of civil and voting rights, but the initiatives moved forward regardless. What drove it?</w:t>
      </w:r>
      <w:r w:rsidRPr="00850C6D">
        <w:rPr>
          <w:rStyle w:val="FootnoteReference"/>
          <w:rFonts w:ascii="Times New Roman" w:hAnsi="Times New Roman" w:cs="Times New Roman"/>
        </w:rPr>
        <w:footnoteReference w:id="256"/>
      </w:r>
    </w:p>
    <w:p w14:paraId="4BC47E0C" w14:textId="3275A71E" w:rsidR="00B10FA3" w:rsidRPr="00850C6D" w:rsidRDefault="00B10FA3" w:rsidP="00DE34A1">
      <w:pPr>
        <w:spacing w:line="480" w:lineRule="auto"/>
        <w:rPr>
          <w:rFonts w:ascii="Times New Roman" w:hAnsi="Times New Roman" w:cs="Times New Roman"/>
        </w:rPr>
      </w:pPr>
      <w:r w:rsidRPr="00850C6D">
        <w:rPr>
          <w:rFonts w:ascii="Times New Roman" w:hAnsi="Times New Roman" w:cs="Times New Roman"/>
        </w:rPr>
        <w:t xml:space="preserve">     Subtle influence from the academic community, economists, and others such as John Kenneth Galbraith and Michael Harrington drew attention to the fact of poverty as a serious American shortcoming – one that flew in the face of the promise of American liberty </w:t>
      </w:r>
      <w:r w:rsidR="00C632F5">
        <w:rPr>
          <w:rFonts w:ascii="Times New Roman" w:hAnsi="Times New Roman" w:cs="Times New Roman"/>
        </w:rPr>
        <w:t>a</w:t>
      </w:r>
      <w:r w:rsidRPr="00850C6D">
        <w:rPr>
          <w:rFonts w:ascii="Times New Roman" w:hAnsi="Times New Roman" w:cs="Times New Roman"/>
        </w:rPr>
        <w:t xml:space="preserve">nd </w:t>
      </w:r>
      <w:r w:rsidR="00C632F5">
        <w:rPr>
          <w:rFonts w:ascii="Times New Roman" w:hAnsi="Times New Roman" w:cs="Times New Roman"/>
        </w:rPr>
        <w:lastRenderedPageBreak/>
        <w:t>u</w:t>
      </w:r>
      <w:r w:rsidRPr="00850C6D">
        <w:rPr>
          <w:rFonts w:ascii="Times New Roman" w:hAnsi="Times New Roman" w:cs="Times New Roman"/>
        </w:rPr>
        <w:t xml:space="preserve">pward mobility. Galbraith’s </w:t>
      </w:r>
      <w:r w:rsidRPr="00850C6D">
        <w:rPr>
          <w:rFonts w:ascii="Times New Roman" w:hAnsi="Times New Roman" w:cs="Times New Roman"/>
          <w:i/>
          <w:iCs/>
        </w:rPr>
        <w:t>The Affluent Society</w:t>
      </w:r>
      <w:r w:rsidRPr="00850C6D">
        <w:rPr>
          <w:rFonts w:ascii="Times New Roman" w:hAnsi="Times New Roman" w:cs="Times New Roman"/>
        </w:rPr>
        <w:t xml:space="preserve"> from 1958 and Harrington’s </w:t>
      </w:r>
      <w:r w:rsidRPr="00850C6D">
        <w:rPr>
          <w:rFonts w:ascii="Times New Roman" w:hAnsi="Times New Roman" w:cs="Times New Roman"/>
          <w:i/>
          <w:iCs/>
        </w:rPr>
        <w:t>The Other America</w:t>
      </w:r>
      <w:r w:rsidRPr="00850C6D">
        <w:rPr>
          <w:rFonts w:ascii="Times New Roman" w:hAnsi="Times New Roman" w:cs="Times New Roman"/>
        </w:rPr>
        <w:t xml:space="preserve">, published a few years later, drew attention to the level of squalor that significant numbers of Americans were subjected to. New Deal reforms in the social welfare system had, for the most part, prevented actual starvation, but fell far short of providing actual, sustainable means of opportunity for millions. The concept of </w:t>
      </w:r>
      <w:r w:rsidRPr="00850C6D">
        <w:rPr>
          <w:rFonts w:ascii="Times New Roman" w:hAnsi="Times New Roman" w:cs="Times New Roman"/>
          <w:i/>
          <w:iCs/>
        </w:rPr>
        <w:t>poverty as a cycle</w:t>
      </w:r>
      <w:r w:rsidRPr="00850C6D">
        <w:rPr>
          <w:rFonts w:ascii="Times New Roman" w:hAnsi="Times New Roman" w:cs="Times New Roman"/>
        </w:rPr>
        <w:t xml:space="preserve"> was introduced: individuals and families living in sub-standard conditions, with poor diet, medical care, education and employment potential, were not only more likely not to advance, but were destined to higher rates of addiction, sickness, job loss and despair that would impact their children and extended families. Poverty was a trap into which one only fell further generation upon generation.</w:t>
      </w:r>
      <w:r w:rsidRPr="00850C6D">
        <w:rPr>
          <w:rStyle w:val="FootnoteReference"/>
          <w:rFonts w:ascii="Times New Roman" w:hAnsi="Times New Roman" w:cs="Times New Roman"/>
        </w:rPr>
        <w:footnoteReference w:id="257"/>
      </w:r>
      <w:r w:rsidRPr="00850C6D">
        <w:rPr>
          <w:rFonts w:ascii="Times New Roman" w:hAnsi="Times New Roman" w:cs="Times New Roman"/>
        </w:rPr>
        <w:t xml:space="preserve">  </w:t>
      </w:r>
    </w:p>
    <w:p w14:paraId="4C247530" w14:textId="77777777" w:rsidR="00B10FA3" w:rsidRPr="00850C6D" w:rsidRDefault="00B10FA3" w:rsidP="00DE34A1">
      <w:pPr>
        <w:spacing w:line="480" w:lineRule="auto"/>
        <w:rPr>
          <w:rFonts w:ascii="Times New Roman" w:eastAsia="Times New Roman" w:hAnsi="Times New Roman" w:cs="Times New Roman"/>
          <w:b/>
          <w:bCs/>
          <w:lang w:eastAsia="en-CA"/>
        </w:rPr>
      </w:pPr>
      <w:r w:rsidRPr="00850C6D">
        <w:rPr>
          <w:rFonts w:ascii="Times New Roman" w:eastAsia="Times New Roman" w:hAnsi="Times New Roman" w:cs="Times New Roman"/>
          <w:b/>
          <w:bCs/>
          <w:lang w:eastAsia="en-CA"/>
        </w:rPr>
        <w:t xml:space="preserve">     </w:t>
      </w:r>
      <w:r w:rsidRPr="00850C6D">
        <w:rPr>
          <w:rFonts w:ascii="Times New Roman" w:eastAsia="Times New Roman" w:hAnsi="Times New Roman" w:cs="Times New Roman"/>
          <w:lang w:eastAsia="en-CA"/>
        </w:rPr>
        <w:t>The new attention to the complexity of poverty led to a better calibrating of the understanding the distinctions between economic and racial issues, a nuance that had largely been lost previously. Other insights from the period included the realization that anti-poverty measures might, in the long run, reduce federal and state expenditures in social welfare, as healthier, wealthier people require less government aid. Of course, lingering in the background was the Cold War; the USSR used American social problems as potent propaganda material as a means to demonstrate American hypocrisy.</w:t>
      </w:r>
      <w:r w:rsidRPr="00850C6D">
        <w:rPr>
          <w:rFonts w:ascii="Times New Roman" w:eastAsia="Times New Roman" w:hAnsi="Times New Roman" w:cs="Times New Roman"/>
          <w:b/>
          <w:bCs/>
          <w:lang w:eastAsia="en-CA"/>
        </w:rPr>
        <w:t xml:space="preserve"> </w:t>
      </w:r>
    </w:p>
    <w:p w14:paraId="2DB0A2AE" w14:textId="77777777" w:rsidR="00B10FA3" w:rsidRPr="00850C6D" w:rsidRDefault="00B10FA3" w:rsidP="00DE34A1">
      <w:pPr>
        <w:spacing w:line="480" w:lineRule="auto"/>
        <w:rPr>
          <w:rFonts w:ascii="Times New Roman" w:eastAsia="Times New Roman" w:hAnsi="Times New Roman" w:cs="Times New Roman"/>
          <w:b/>
          <w:bCs/>
          <w:lang w:eastAsia="en-CA"/>
        </w:rPr>
      </w:pPr>
    </w:p>
    <w:p w14:paraId="5F175E61" w14:textId="77777777" w:rsidR="00A23AC2" w:rsidRDefault="00A23AC2" w:rsidP="00DE34A1">
      <w:pPr>
        <w:spacing w:line="480" w:lineRule="auto"/>
        <w:rPr>
          <w:rFonts w:ascii="Times New Roman" w:eastAsia="Times New Roman" w:hAnsi="Times New Roman" w:cs="Times New Roman"/>
          <w:b/>
          <w:bCs/>
          <w:lang w:eastAsia="en-CA"/>
        </w:rPr>
      </w:pPr>
    </w:p>
    <w:p w14:paraId="13FB9D3B" w14:textId="77777777" w:rsidR="00A23AC2" w:rsidRDefault="00A23AC2" w:rsidP="00DE34A1">
      <w:pPr>
        <w:spacing w:line="480" w:lineRule="auto"/>
        <w:rPr>
          <w:rFonts w:ascii="Times New Roman" w:eastAsia="Times New Roman" w:hAnsi="Times New Roman" w:cs="Times New Roman"/>
          <w:b/>
          <w:bCs/>
          <w:lang w:eastAsia="en-CA"/>
        </w:rPr>
      </w:pPr>
    </w:p>
    <w:p w14:paraId="2E06D078" w14:textId="77777777" w:rsidR="008F6575" w:rsidRDefault="008F6575" w:rsidP="00DE34A1">
      <w:pPr>
        <w:spacing w:line="480" w:lineRule="auto"/>
        <w:rPr>
          <w:rFonts w:ascii="Times New Roman" w:eastAsia="Times New Roman" w:hAnsi="Times New Roman" w:cs="Times New Roman"/>
          <w:b/>
          <w:bCs/>
          <w:lang w:eastAsia="en-CA"/>
        </w:rPr>
      </w:pPr>
    </w:p>
    <w:p w14:paraId="618DBF60" w14:textId="77777777" w:rsidR="008F6575" w:rsidRDefault="008F6575" w:rsidP="00DE34A1">
      <w:pPr>
        <w:spacing w:line="480" w:lineRule="auto"/>
        <w:rPr>
          <w:rFonts w:ascii="Times New Roman" w:eastAsia="Times New Roman" w:hAnsi="Times New Roman" w:cs="Times New Roman"/>
          <w:b/>
          <w:bCs/>
          <w:lang w:eastAsia="en-CA"/>
        </w:rPr>
      </w:pPr>
    </w:p>
    <w:p w14:paraId="43730567" w14:textId="77777777" w:rsidR="008F6575" w:rsidRDefault="008F6575" w:rsidP="00DE34A1">
      <w:pPr>
        <w:spacing w:line="480" w:lineRule="auto"/>
        <w:rPr>
          <w:rFonts w:ascii="Times New Roman" w:eastAsia="Times New Roman" w:hAnsi="Times New Roman" w:cs="Times New Roman"/>
          <w:b/>
          <w:bCs/>
          <w:lang w:eastAsia="en-CA"/>
        </w:rPr>
      </w:pPr>
    </w:p>
    <w:p w14:paraId="6C5DCACB" w14:textId="1E8CA0A5" w:rsidR="00B10FA3" w:rsidRPr="00850C6D" w:rsidRDefault="00B10FA3" w:rsidP="00DE34A1">
      <w:pPr>
        <w:spacing w:line="480" w:lineRule="auto"/>
        <w:rPr>
          <w:rFonts w:ascii="Times New Roman" w:eastAsia="Times New Roman" w:hAnsi="Times New Roman" w:cs="Times New Roman"/>
          <w:b/>
          <w:bCs/>
          <w:lang w:eastAsia="en-CA"/>
        </w:rPr>
      </w:pPr>
      <w:r w:rsidRPr="00850C6D">
        <w:rPr>
          <w:rFonts w:ascii="Times New Roman" w:eastAsia="Times New Roman" w:hAnsi="Times New Roman" w:cs="Times New Roman"/>
          <w:b/>
          <w:bCs/>
          <w:lang w:eastAsia="en-CA"/>
        </w:rPr>
        <w:t>MLK</w:t>
      </w:r>
    </w:p>
    <w:p w14:paraId="74DE1D9C" w14:textId="2EA3280C" w:rsidR="00B10FA3" w:rsidRPr="00850C6D" w:rsidRDefault="00B10FA3" w:rsidP="00DE34A1">
      <w:pPr>
        <w:spacing w:line="480" w:lineRule="auto"/>
        <w:rPr>
          <w:rFonts w:ascii="Times New Roman" w:eastAsia="Times New Roman" w:hAnsi="Times New Roman" w:cs="Times New Roman"/>
          <w:lang w:eastAsia="en-CA"/>
        </w:rPr>
      </w:pPr>
      <w:r w:rsidRPr="00850C6D">
        <w:rPr>
          <w:rFonts w:ascii="Times New Roman" w:eastAsia="Times New Roman" w:hAnsi="Times New Roman" w:cs="Times New Roman"/>
          <w:b/>
          <w:bCs/>
          <w:lang w:eastAsia="en-CA"/>
        </w:rPr>
        <w:t xml:space="preserve">    </w:t>
      </w:r>
      <w:r w:rsidRPr="00850C6D">
        <w:rPr>
          <w:rFonts w:ascii="Times New Roman" w:eastAsia="Times New Roman" w:hAnsi="Times New Roman" w:cs="Times New Roman"/>
          <w:lang w:eastAsia="en-CA"/>
        </w:rPr>
        <w:t xml:space="preserve">The image of Martin Luther King has been thoroughly sanitized over the past 5 decades, to the point where the radicalism and controversy – not mention hatred – that he provoked, has been largely forgotten or glossed over. Race aside, one aspect of King’s thinking that has been shoved under the rug in its entirety is his scathing </w:t>
      </w:r>
      <w:r w:rsidRPr="00850C6D">
        <w:rPr>
          <w:rFonts w:ascii="Times New Roman" w:eastAsia="Times New Roman" w:hAnsi="Times New Roman" w:cs="Times New Roman"/>
          <w:i/>
          <w:iCs/>
          <w:lang w:eastAsia="en-CA"/>
        </w:rPr>
        <w:t>economic</w:t>
      </w:r>
      <w:r w:rsidRPr="00850C6D">
        <w:rPr>
          <w:rFonts w:ascii="Times New Roman" w:eastAsia="Times New Roman" w:hAnsi="Times New Roman" w:cs="Times New Roman"/>
          <w:lang w:eastAsia="en-CA"/>
        </w:rPr>
        <w:t xml:space="preserve"> critique of America. Deviating from arguments about racial bias, MLK delved into much murkier waters, claiming that the American economic system itself was responsible for the perpetuation of racism, and was in need to serious redistribution policies to rectify historical wrongs.</w:t>
      </w:r>
    </w:p>
    <w:p w14:paraId="0822F0FF" w14:textId="77777777" w:rsidR="00B10FA3" w:rsidRPr="00850C6D" w:rsidRDefault="00B10FA3" w:rsidP="00DE34A1">
      <w:pPr>
        <w:pStyle w:val="NormalWeb"/>
        <w:spacing w:line="480" w:lineRule="auto"/>
      </w:pPr>
      <w:r w:rsidRPr="00850C6D">
        <w:t xml:space="preserve">     Martin Luther King Jr. was assassinated just before his 40</w:t>
      </w:r>
      <w:r w:rsidRPr="00850C6D">
        <w:rPr>
          <w:vertAlign w:val="superscript"/>
        </w:rPr>
        <w:t>th</w:t>
      </w:r>
      <w:r w:rsidRPr="00850C6D">
        <w:t xml:space="preserve"> birthday. While lauded as a firebrand for racial equality, he isn’t as often remembered for his critically important and passionate call to redistribute wealth—for the health of both the individual and the nation, based on his research after having spent time in Scandinavia.</w:t>
      </w:r>
    </w:p>
    <w:p w14:paraId="3F841BE9" w14:textId="77777777" w:rsidR="00B10FA3" w:rsidRPr="00850C6D" w:rsidRDefault="00B10FA3" w:rsidP="00A23AC2">
      <w:pPr>
        <w:pStyle w:val="NormalWeb"/>
        <w:ind w:left="1699" w:right="1699"/>
        <w:contextualSpacing/>
      </w:pPr>
      <w:r w:rsidRPr="00850C6D">
        <w:t>This is the rallying cry that may have most alarmed America’s wealthy and powerful, that may have led to his assassination. And that is why what you are reading now is a love letter to the Atlanta native, father of four, who still challenges us today to name what is flawed and identify how to fix it.</w:t>
      </w:r>
    </w:p>
    <w:p w14:paraId="4A2F991A" w14:textId="77777777" w:rsidR="00B10FA3" w:rsidRPr="00850C6D" w:rsidRDefault="00B10FA3" w:rsidP="00A23AC2">
      <w:pPr>
        <w:pStyle w:val="container"/>
        <w:ind w:left="1699" w:right="1699"/>
      </w:pPr>
      <w:r w:rsidRPr="00850C6D">
        <w:t xml:space="preserve">There is nothing new about poverty. What is new, however, is that we have the resources to get rid of it. </w:t>
      </w:r>
    </w:p>
    <w:p w14:paraId="1F116406" w14:textId="77777777" w:rsidR="00B10FA3" w:rsidRPr="00850C6D" w:rsidRDefault="00B10FA3" w:rsidP="00A23AC2">
      <w:pPr>
        <w:pStyle w:val="container"/>
        <w:ind w:left="1699" w:right="1699"/>
      </w:pPr>
      <w:r w:rsidRPr="00850C6D">
        <w:t>Dr. Martin Luther King, Jr. 1964 Nobel Peace Prize address.</w:t>
      </w:r>
      <w:r w:rsidRPr="00850C6D">
        <w:rPr>
          <w:rStyle w:val="FootnoteReference"/>
          <w:rFonts w:eastAsiaTheme="majorEastAsia"/>
        </w:rPr>
        <w:footnoteReference w:id="258"/>
      </w:r>
    </w:p>
    <w:p w14:paraId="7936EB08" w14:textId="77777777" w:rsidR="00B10FA3" w:rsidRPr="00850C6D" w:rsidRDefault="00B10FA3" w:rsidP="007D603D">
      <w:pPr>
        <w:pStyle w:val="container"/>
        <w:ind w:left="1701" w:right="1701"/>
      </w:pPr>
    </w:p>
    <w:p w14:paraId="4AE37C3B" w14:textId="77777777" w:rsidR="00B10FA3" w:rsidRPr="00850C6D" w:rsidRDefault="00B10FA3" w:rsidP="007D603D">
      <w:pPr>
        <w:pStyle w:val="NormalWeb"/>
        <w:spacing w:line="480" w:lineRule="auto"/>
      </w:pPr>
      <w:r w:rsidRPr="00850C6D">
        <w:lastRenderedPageBreak/>
        <w:t xml:space="preserve">     Half a century after the Civil Rights Act, racial family income disparities in the United States remain almost exactly what they were in 1968. The unemployment rate for Black workers remains about twice what it is for white workers. By the end of 2019, the median income of a white worker was 28 percent more than the median income of a Black worker</w:t>
      </w:r>
      <w:bookmarkStart w:id="2" w:name="_ftnref1"/>
      <w:r w:rsidRPr="00850C6D">
        <w:t>.</w:t>
      </w:r>
      <w:r w:rsidRPr="00850C6D">
        <w:rPr>
          <w:rStyle w:val="FootnoteReference"/>
          <w:rFonts w:eastAsiaTheme="majorEastAsia"/>
        </w:rPr>
        <w:footnoteReference w:id="259"/>
      </w:r>
      <w:r w:rsidRPr="00850C6D">
        <w:t xml:space="preserve"> </w:t>
      </w:r>
    </w:p>
    <w:bookmarkEnd w:id="2"/>
    <w:p w14:paraId="1421B3AF" w14:textId="77777777" w:rsidR="00B10FA3" w:rsidRPr="00850C6D" w:rsidRDefault="00B10FA3" w:rsidP="007D603D">
      <w:pPr>
        <w:pStyle w:val="NormalWeb"/>
        <w:spacing w:line="480" w:lineRule="auto"/>
      </w:pPr>
      <w:r w:rsidRPr="00850C6D">
        <w:t xml:space="preserve">      Home ownership, a signal indication of class status in America, is bifurcated by race today more than ever. Black home ownership, a sign of the racial wealth gap, stands at about 40.6 percent, compared with 73.1 percent for whites. </w:t>
      </w:r>
    </w:p>
    <w:p w14:paraId="6BF708A7" w14:textId="77777777" w:rsidR="00B10FA3" w:rsidRPr="00850C6D" w:rsidRDefault="00B10FA3" w:rsidP="007D603D">
      <w:pPr>
        <w:pStyle w:val="NormalWeb"/>
        <w:ind w:left="1701" w:right="1701"/>
      </w:pPr>
      <w:r w:rsidRPr="00850C6D">
        <w:t>We may be economically rich, he would say, but we are morally destitute.</w:t>
      </w:r>
    </w:p>
    <w:p w14:paraId="7F13E4D4" w14:textId="77777777" w:rsidR="00B10FA3" w:rsidRPr="00850C6D" w:rsidRDefault="00B10FA3" w:rsidP="007D603D">
      <w:pPr>
        <w:pStyle w:val="container"/>
        <w:ind w:left="1701" w:right="1701"/>
      </w:pPr>
      <w:r w:rsidRPr="00850C6D">
        <w:t>We must rapidly begin the shift from a ‘thing‐oriented’ society to a ‘person‐oriented’ society. When machines and computers, profit motives and property rights are considered more important than people, the giant triplets of racism, materialism, and militarism are incapable of being conquered… A true revolution of values will soon look uneasily on the glaring contrast of poverty and wealth.</w:t>
      </w:r>
      <w:r w:rsidRPr="00850C6D">
        <w:rPr>
          <w:rStyle w:val="FootnoteReference"/>
          <w:rFonts w:eastAsiaTheme="majorEastAsia"/>
        </w:rPr>
        <w:footnoteReference w:id="260"/>
      </w:r>
    </w:p>
    <w:p w14:paraId="393E8417" w14:textId="77777777" w:rsidR="00B10FA3" w:rsidRPr="00850C6D" w:rsidRDefault="00B10FA3" w:rsidP="007D603D">
      <w:pPr>
        <w:pStyle w:val="container"/>
        <w:spacing w:line="480" w:lineRule="auto"/>
      </w:pPr>
    </w:p>
    <w:p w14:paraId="2E5E2F90" w14:textId="16DDDF16" w:rsidR="00B10FA3" w:rsidRPr="00850C6D" w:rsidRDefault="00B10FA3" w:rsidP="007D603D">
      <w:pPr>
        <w:pStyle w:val="NormalWeb"/>
        <w:spacing w:line="480" w:lineRule="auto"/>
      </w:pPr>
      <w:r w:rsidRPr="00850C6D">
        <w:t xml:space="preserve">    The idea that that Blacks and whites should be treated equally was radical enough for Dr. King to face death threats. But when he turned his focus to essential workers, supporting striking Memphis sanitation workers among others, he was tagged with economic radicalism. Yet, this sharp critic of “the American Dream,” also offers a way forward to us today through “coalitions of conscience” that unite those who share a vision of a more equitable world. As long as the powerful can convince working-class </w:t>
      </w:r>
      <w:r w:rsidR="00C632F5">
        <w:t>W</w:t>
      </w:r>
      <w:r w:rsidRPr="00850C6D">
        <w:t xml:space="preserve">hites that Blacks and Browns are their </w:t>
      </w:r>
      <w:r w:rsidRPr="00850C6D">
        <w:lastRenderedPageBreak/>
        <w:t>problem, he would remind us, the people will not focus on the 1 percent. They will not combine forces to change an inequitable system.</w:t>
      </w:r>
      <w:r w:rsidRPr="00850C6D">
        <w:rPr>
          <w:rStyle w:val="FootnoteReference"/>
          <w:rFonts w:eastAsiaTheme="majorEastAsia"/>
        </w:rPr>
        <w:footnoteReference w:id="261"/>
      </w:r>
    </w:p>
    <w:p w14:paraId="6E536C8B" w14:textId="77777777" w:rsidR="00B10FA3" w:rsidRDefault="00B10FA3" w:rsidP="007D603D">
      <w:pPr>
        <w:rPr>
          <w:rFonts w:eastAsia="Times New Roman"/>
          <w:lang w:eastAsia="en-CA"/>
        </w:rPr>
      </w:pPr>
    </w:p>
    <w:p w14:paraId="11780A68" w14:textId="77777777" w:rsidR="00B10FA3" w:rsidRPr="00416394" w:rsidRDefault="00B10FA3" w:rsidP="007D603D">
      <w:pPr>
        <w:rPr>
          <w:rFonts w:eastAsia="Times New Roman"/>
          <w:b/>
          <w:bCs/>
          <w:i/>
          <w:iCs/>
          <w:sz w:val="28"/>
          <w:szCs w:val="28"/>
          <w:lang w:eastAsia="en-CA"/>
        </w:rPr>
      </w:pPr>
      <w:r w:rsidRPr="00416394">
        <w:rPr>
          <w:rFonts w:eastAsia="Times New Roman"/>
          <w:sz w:val="28"/>
          <w:szCs w:val="28"/>
          <w:lang w:eastAsia="en-CA"/>
        </w:rPr>
        <w:t xml:space="preserve">    </w:t>
      </w:r>
      <w:r w:rsidRPr="00416394">
        <w:rPr>
          <w:rFonts w:eastAsia="Times New Roman"/>
          <w:b/>
          <w:bCs/>
          <w:i/>
          <w:iCs/>
          <w:sz w:val="28"/>
          <w:szCs w:val="28"/>
          <w:lang w:eastAsia="en-CA"/>
        </w:rPr>
        <w:t>Barack Obama</w:t>
      </w:r>
    </w:p>
    <w:p w14:paraId="4533FFA3" w14:textId="77777777" w:rsidR="00B10FA3" w:rsidRPr="008F6575" w:rsidRDefault="00B10FA3" w:rsidP="00141A66">
      <w:pPr>
        <w:spacing w:line="480" w:lineRule="auto"/>
        <w:rPr>
          <w:rFonts w:ascii="Times New Roman" w:eastAsia="Times New Roman" w:hAnsi="Times New Roman" w:cs="Times New Roman"/>
          <w:lang w:eastAsia="en-CA"/>
        </w:rPr>
      </w:pPr>
      <w:r w:rsidRPr="008F6575">
        <w:rPr>
          <w:rFonts w:ascii="Times New Roman" w:eastAsia="Times New Roman" w:hAnsi="Times New Roman" w:cs="Times New Roman"/>
          <w:lang w:eastAsia="en-CA"/>
        </w:rPr>
        <w:t xml:space="preserve">      A more recent example of a program accused of redistribution of wealth is the ACA, or Affordable Care Act, also known as Obamacare. This measure was intended to increase the number of people in the United States that could have access to affordable health care. Like the New Deal, Obamacare was attacked by some as a radical program of wealth redistribution. However, the administration bent over backwards to avoid the appearance of wealth transfer; in the end, a new tax was proposed on high earning Americans to help defray costs. In the end, the distributive effects of Obamacare appear modest at best:</w:t>
      </w:r>
    </w:p>
    <w:p w14:paraId="76E2F178" w14:textId="77777777" w:rsidR="00B10FA3" w:rsidRPr="00A23AC2" w:rsidRDefault="00B10FA3" w:rsidP="00A23AC2">
      <w:pPr>
        <w:spacing w:line="240" w:lineRule="auto"/>
        <w:ind w:left="1368" w:right="-58"/>
        <w:rPr>
          <w:rFonts w:ascii="Times New Roman" w:hAnsi="Times New Roman" w:cs="Times New Roman"/>
        </w:rPr>
      </w:pPr>
      <w:r>
        <w:br/>
      </w:r>
      <w:r w:rsidRPr="00A23AC2">
        <w:rPr>
          <w:rFonts w:ascii="Times New Roman" w:hAnsi="Times New Roman" w:cs="Times New Roman"/>
        </w:rPr>
        <w:t>Some observers describe the Patient Protection and Affordable</w:t>
      </w:r>
      <w:r w:rsidRPr="00A23AC2">
        <w:rPr>
          <w:rFonts w:ascii="Times New Roman" w:hAnsi="Times New Roman" w:cs="Times New Roman"/>
        </w:rPr>
        <w:br/>
        <w:t>Care Act (ACA) as involving a “massive redistribution of health</w:t>
      </w:r>
      <w:r w:rsidRPr="00A23AC2">
        <w:rPr>
          <w:rFonts w:ascii="Times New Roman" w:hAnsi="Times New Roman" w:cs="Times New Roman"/>
        </w:rPr>
        <w:br/>
        <w:t>resources” that caused “the largest wealth transfer in American</w:t>
      </w:r>
      <w:r w:rsidRPr="00A23AC2">
        <w:rPr>
          <w:rFonts w:ascii="Times New Roman" w:hAnsi="Times New Roman" w:cs="Times New Roman"/>
        </w:rPr>
        <w:br/>
        <w:t>history.” Such claims are exaggerated. The Congressional Budget</w:t>
      </w:r>
      <w:r w:rsidRPr="00A23AC2">
        <w:rPr>
          <w:rFonts w:ascii="Times New Roman" w:hAnsi="Times New Roman" w:cs="Times New Roman"/>
        </w:rPr>
        <w:br/>
        <w:t>Office (CBO) projects that, by 2019, the ACA’s Medicaid</w:t>
      </w:r>
      <w:r w:rsidRPr="00A23AC2">
        <w:rPr>
          <w:rFonts w:ascii="Times New Roman" w:hAnsi="Times New Roman" w:cs="Times New Roman"/>
        </w:rPr>
        <w:br/>
        <w:t>expansion and new subsidy system for low- and moderate-</w:t>
      </w:r>
      <w:r w:rsidRPr="00A23AC2">
        <w:rPr>
          <w:rFonts w:ascii="Times New Roman" w:hAnsi="Times New Roman" w:cs="Times New Roman"/>
        </w:rPr>
        <w:br/>
        <w:t>income consumers will spend just 0.9 percent of Gross</w:t>
      </w:r>
      <w:r w:rsidRPr="00A23AC2">
        <w:rPr>
          <w:rFonts w:ascii="Times New Roman" w:hAnsi="Times New Roman" w:cs="Times New Roman"/>
        </w:rPr>
        <w:br/>
        <w:t>Domestic Product (GDP). The tax preference for employer-</w:t>
      </w:r>
      <w:r w:rsidRPr="00A23AC2">
        <w:rPr>
          <w:rFonts w:ascii="Times New Roman" w:hAnsi="Times New Roman" w:cs="Times New Roman"/>
        </w:rPr>
        <w:br/>
        <w:t>sponsored insurance costs the Treasury more than twice as much,</w:t>
      </w:r>
      <w:r w:rsidRPr="00A23AC2">
        <w:rPr>
          <w:rFonts w:ascii="Times New Roman" w:hAnsi="Times New Roman" w:cs="Times New Roman"/>
        </w:rPr>
        <w:br/>
        <w:t>and Medicare and Social Security respectively spend 3.9 and 5.6</w:t>
      </w:r>
      <w:r w:rsidRPr="00A23AC2">
        <w:rPr>
          <w:rFonts w:ascii="Times New Roman" w:hAnsi="Times New Roman" w:cs="Times New Roman"/>
        </w:rPr>
        <w:br/>
        <w:t>times as much as the ACA. The ACA’s redistribution is thus real</w:t>
      </w:r>
      <w:r w:rsidRPr="00A23AC2">
        <w:rPr>
          <w:rFonts w:ascii="Times New Roman" w:hAnsi="Times New Roman" w:cs="Times New Roman"/>
        </w:rPr>
        <w:br/>
        <w:t>but modest in scope and far from unprecedented.</w:t>
      </w:r>
      <w:r w:rsidRPr="00A23AC2">
        <w:rPr>
          <w:rFonts w:ascii="Times New Roman" w:hAnsi="Times New Roman" w:cs="Times New Roman"/>
        </w:rPr>
        <w:br/>
      </w:r>
    </w:p>
    <w:p w14:paraId="4786A1E5" w14:textId="77777777" w:rsidR="00B10FA3" w:rsidRPr="00A23AC2" w:rsidRDefault="00B10FA3" w:rsidP="00A23AC2">
      <w:pPr>
        <w:spacing w:line="240" w:lineRule="auto"/>
        <w:ind w:left="1368" w:right="-58"/>
        <w:rPr>
          <w:rFonts w:ascii="Times New Roman" w:eastAsia="Times New Roman" w:hAnsi="Times New Roman" w:cs="Times New Roman"/>
          <w:lang w:eastAsia="en-CA"/>
        </w:rPr>
      </w:pPr>
      <w:r w:rsidRPr="00A23AC2">
        <w:rPr>
          <w:rFonts w:ascii="Times New Roman" w:hAnsi="Times New Roman" w:cs="Times New Roman"/>
        </w:rPr>
        <w:t>Higher-income Americans directly contribute only 16.9</w:t>
      </w:r>
      <w:r w:rsidRPr="00A23AC2">
        <w:rPr>
          <w:rFonts w:ascii="Times New Roman" w:hAnsi="Times New Roman" w:cs="Times New Roman"/>
        </w:rPr>
        <w:br/>
        <w:t>percent of all ACA funding, representing 0.2 percent of GDP.</w:t>
      </w:r>
      <w:r w:rsidRPr="00A23AC2">
        <w:rPr>
          <w:rFonts w:ascii="Times New Roman" w:hAnsi="Times New Roman" w:cs="Times New Roman"/>
        </w:rPr>
        <w:br/>
        <w:t>The vast bulk (84 percent) of ACA revenue that specifically comes</w:t>
      </w:r>
      <w:r w:rsidRPr="00A23AC2">
        <w:rPr>
          <w:rFonts w:ascii="Times New Roman" w:hAnsi="Times New Roman" w:cs="Times New Roman"/>
        </w:rPr>
        <w:br/>
        <w:t>from affluent Americans consists of new taxes on individuals and</w:t>
      </w:r>
      <w:r w:rsidRPr="00A23AC2">
        <w:rPr>
          <w:rFonts w:ascii="Times New Roman" w:hAnsi="Times New Roman" w:cs="Times New Roman"/>
        </w:rPr>
        <w:br/>
        <w:t>families with incomes above $200,000 and $250,000, respectively.</w:t>
      </w:r>
      <w:r w:rsidRPr="00A23AC2">
        <w:rPr>
          <w:rFonts w:ascii="Times New Roman" w:hAnsi="Times New Roman" w:cs="Times New Roman"/>
        </w:rPr>
        <w:br/>
        <w:t>These taxes apply to only 2.4 percent of tax-filers and average just</w:t>
      </w:r>
      <w:r w:rsidRPr="00A23AC2">
        <w:rPr>
          <w:rFonts w:ascii="Times New Roman" w:hAnsi="Times New Roman" w:cs="Times New Roman"/>
        </w:rPr>
        <w:br/>
        <w:t>0.5 percent of income.</w:t>
      </w:r>
      <w:r w:rsidRPr="00A23AC2">
        <w:rPr>
          <w:rStyle w:val="FootnoteReference"/>
          <w:rFonts w:ascii="Times New Roman" w:hAnsi="Times New Roman" w:cs="Times New Roman"/>
        </w:rPr>
        <w:footnoteReference w:id="262"/>
      </w:r>
      <w:r w:rsidRPr="00A23AC2">
        <w:rPr>
          <w:rFonts w:ascii="Times New Roman" w:eastAsia="Times New Roman" w:hAnsi="Times New Roman" w:cs="Times New Roman"/>
          <w:lang w:eastAsia="en-CA"/>
        </w:rPr>
        <w:br/>
      </w:r>
    </w:p>
    <w:p w14:paraId="12FD996C" w14:textId="77777777" w:rsidR="00B10FA3" w:rsidRPr="00953164" w:rsidRDefault="00B10FA3" w:rsidP="00141A66">
      <w:pPr>
        <w:spacing w:line="480" w:lineRule="auto"/>
        <w:rPr>
          <w:rFonts w:eastAsia="Times New Roman"/>
          <w:lang w:eastAsia="en-CA"/>
        </w:rPr>
      </w:pPr>
    </w:p>
    <w:p w14:paraId="25F385CC" w14:textId="77777777" w:rsidR="00B10FA3" w:rsidRPr="00A23AC2" w:rsidRDefault="00B10FA3" w:rsidP="00141A66">
      <w:pPr>
        <w:spacing w:line="480" w:lineRule="auto"/>
        <w:rPr>
          <w:rFonts w:ascii="Times New Roman" w:eastAsia="Times New Roman" w:hAnsi="Times New Roman" w:cs="Times New Roman"/>
          <w:lang w:eastAsia="en-CA"/>
        </w:rPr>
      </w:pPr>
      <w:r w:rsidRPr="00A23AC2">
        <w:rPr>
          <w:rFonts w:ascii="Times New Roman" w:eastAsia="Times New Roman" w:hAnsi="Times New Roman" w:cs="Times New Roman"/>
          <w:i/>
          <w:iCs/>
          <w:lang w:eastAsia="en-CA"/>
        </w:rPr>
        <w:t xml:space="preserve">     </w:t>
      </w:r>
      <w:r w:rsidRPr="00A23AC2">
        <w:rPr>
          <w:rFonts w:ascii="Times New Roman" w:eastAsia="Times New Roman" w:hAnsi="Times New Roman" w:cs="Times New Roman"/>
          <w:lang w:eastAsia="en-CA"/>
        </w:rPr>
        <w:t>The interesting thing about Obamacare specifically, and insurance in general is that, by its very nature,</w:t>
      </w:r>
      <w:r w:rsidRPr="00A23AC2">
        <w:rPr>
          <w:rFonts w:ascii="Times New Roman" w:eastAsia="Times New Roman" w:hAnsi="Times New Roman" w:cs="Times New Roman"/>
          <w:i/>
          <w:iCs/>
          <w:lang w:eastAsia="en-CA"/>
        </w:rPr>
        <w:t xml:space="preserve"> insurance is – and should be – redistributive</w:t>
      </w:r>
      <w:r w:rsidRPr="00A23AC2">
        <w:rPr>
          <w:rFonts w:ascii="Times New Roman" w:eastAsia="Times New Roman" w:hAnsi="Times New Roman" w:cs="Times New Roman"/>
          <w:lang w:eastAsia="en-CA"/>
        </w:rPr>
        <w:t xml:space="preserve">. It takes premiums and divvies up benefits based on need – need that is irrespective of class or income. Distribution is based on health calculations and luck; not much more. To return to an earlier point: redistribution can go upward </w:t>
      </w:r>
      <w:r w:rsidRPr="00A23AC2">
        <w:rPr>
          <w:rFonts w:ascii="Times New Roman" w:eastAsia="Times New Roman" w:hAnsi="Times New Roman" w:cs="Times New Roman"/>
          <w:i/>
          <w:iCs/>
          <w:lang w:eastAsia="en-CA"/>
        </w:rPr>
        <w:t>or</w:t>
      </w:r>
      <w:r w:rsidRPr="00A23AC2">
        <w:rPr>
          <w:rFonts w:ascii="Times New Roman" w:eastAsia="Times New Roman" w:hAnsi="Times New Roman" w:cs="Times New Roman"/>
          <w:lang w:eastAsia="en-CA"/>
        </w:rPr>
        <w:t xml:space="preserve"> downward. A welfare check or food stamp for an impoverished person is no less redistributive than a tax cut for a wealthy person, or a subsidy provided to an industry. </w:t>
      </w:r>
    </w:p>
    <w:p w14:paraId="0A60BA7B" w14:textId="77777777" w:rsidR="00B10FA3" w:rsidRDefault="00B10FA3" w:rsidP="00141A66">
      <w:pPr>
        <w:spacing w:line="480" w:lineRule="auto"/>
      </w:pPr>
    </w:p>
    <w:p w14:paraId="4FC7953C" w14:textId="77777777" w:rsidR="00B10FA3" w:rsidRDefault="00B10FA3" w:rsidP="00141A66">
      <w:pPr>
        <w:spacing w:line="480" w:lineRule="auto"/>
      </w:pPr>
    </w:p>
    <w:p w14:paraId="1F3125C8" w14:textId="77777777" w:rsidR="00B10FA3" w:rsidRDefault="00B10FA3" w:rsidP="00141A66">
      <w:pPr>
        <w:spacing w:line="480" w:lineRule="auto"/>
      </w:pPr>
    </w:p>
    <w:p w14:paraId="32011C01" w14:textId="77777777" w:rsidR="00B10FA3" w:rsidRDefault="00B10FA3" w:rsidP="00141A66">
      <w:pPr>
        <w:spacing w:line="480" w:lineRule="auto"/>
      </w:pPr>
    </w:p>
    <w:p w14:paraId="5495215B" w14:textId="77777777" w:rsidR="00B10FA3" w:rsidRDefault="00B10FA3" w:rsidP="00141A66">
      <w:pPr>
        <w:spacing w:line="480" w:lineRule="auto"/>
      </w:pPr>
    </w:p>
    <w:p w14:paraId="055F2A93" w14:textId="77777777" w:rsidR="00B10FA3" w:rsidRDefault="00B10FA3" w:rsidP="00141A66">
      <w:pPr>
        <w:spacing w:line="480" w:lineRule="auto"/>
      </w:pPr>
    </w:p>
    <w:p w14:paraId="6C33ABA7" w14:textId="77777777" w:rsidR="00B10FA3" w:rsidRDefault="00B10FA3" w:rsidP="00141A66">
      <w:pPr>
        <w:spacing w:line="480" w:lineRule="auto"/>
      </w:pPr>
    </w:p>
    <w:p w14:paraId="489F1132" w14:textId="77777777" w:rsidR="00B10FA3" w:rsidRDefault="00B10FA3" w:rsidP="00141A66">
      <w:pPr>
        <w:spacing w:line="480" w:lineRule="auto"/>
      </w:pPr>
    </w:p>
    <w:p w14:paraId="17AAC34B" w14:textId="77777777" w:rsidR="00B10FA3" w:rsidRDefault="00B10FA3" w:rsidP="00141A66">
      <w:pPr>
        <w:spacing w:line="480" w:lineRule="auto"/>
      </w:pPr>
    </w:p>
    <w:p w14:paraId="23570376" w14:textId="77777777" w:rsidR="00B10FA3" w:rsidRDefault="00B10FA3" w:rsidP="00141A66">
      <w:pPr>
        <w:spacing w:line="480" w:lineRule="auto"/>
      </w:pPr>
    </w:p>
    <w:p w14:paraId="32C1C4ED" w14:textId="77777777" w:rsidR="00B10FA3" w:rsidRDefault="00B10FA3" w:rsidP="00141A66">
      <w:pPr>
        <w:spacing w:line="480" w:lineRule="auto"/>
      </w:pPr>
    </w:p>
    <w:p w14:paraId="49374619" w14:textId="77777777" w:rsidR="00B10FA3" w:rsidRDefault="00B10FA3" w:rsidP="00141A66">
      <w:pPr>
        <w:spacing w:line="480" w:lineRule="auto"/>
      </w:pPr>
    </w:p>
    <w:p w14:paraId="6C2EB9A7" w14:textId="77777777" w:rsidR="00B10FA3" w:rsidRDefault="00B10FA3" w:rsidP="00141A66">
      <w:pPr>
        <w:spacing w:line="480" w:lineRule="auto"/>
      </w:pPr>
    </w:p>
    <w:p w14:paraId="126BD43E" w14:textId="77777777" w:rsidR="00B10FA3" w:rsidRDefault="00B10FA3" w:rsidP="00141A66">
      <w:pPr>
        <w:spacing w:line="480" w:lineRule="auto"/>
      </w:pPr>
    </w:p>
    <w:p w14:paraId="75D7158E" w14:textId="77777777" w:rsidR="00B10FA3" w:rsidRDefault="00B10FA3" w:rsidP="00141A66">
      <w:pPr>
        <w:spacing w:line="480" w:lineRule="auto"/>
      </w:pPr>
    </w:p>
    <w:p w14:paraId="0658D847" w14:textId="77777777" w:rsidR="00B10FA3" w:rsidRDefault="00B10FA3" w:rsidP="00141A66">
      <w:pPr>
        <w:spacing w:line="480" w:lineRule="auto"/>
      </w:pPr>
    </w:p>
    <w:p w14:paraId="6CEA831B" w14:textId="3882369C" w:rsidR="00B10FA3" w:rsidRDefault="00B10FA3" w:rsidP="00141A66">
      <w:pPr>
        <w:spacing w:line="480" w:lineRule="auto"/>
        <w:rPr>
          <w:rFonts w:ascii="Times New Roman" w:hAnsi="Times New Roman" w:cs="Times New Roman"/>
          <w:sz w:val="32"/>
          <w:szCs w:val="32"/>
        </w:rPr>
      </w:pPr>
      <w:r>
        <w:rPr>
          <w:rFonts w:ascii="Times New Roman" w:hAnsi="Times New Roman" w:cs="Times New Roman"/>
          <w:sz w:val="32"/>
          <w:szCs w:val="32"/>
        </w:rPr>
        <w:tab/>
      </w:r>
      <w:r>
        <w:rPr>
          <w:rFonts w:ascii="Times New Roman" w:hAnsi="Times New Roman" w:cs="Times New Roman"/>
          <w:sz w:val="32"/>
          <w:szCs w:val="32"/>
        </w:rPr>
        <w:tab/>
      </w:r>
      <w:r>
        <w:rPr>
          <w:rFonts w:ascii="Times New Roman" w:hAnsi="Times New Roman" w:cs="Times New Roman"/>
          <w:sz w:val="32"/>
          <w:szCs w:val="32"/>
        </w:rPr>
        <w:tab/>
      </w:r>
    </w:p>
    <w:p w14:paraId="09750A03" w14:textId="77777777" w:rsidR="00992708" w:rsidRDefault="000F5F76" w:rsidP="00992708">
      <w:pPr>
        <w:spacing w:line="480" w:lineRule="auto"/>
        <w:rPr>
          <w:rFonts w:ascii="Times New Roman" w:hAnsi="Times New Roman" w:cs="Times New Roman"/>
          <w:b/>
          <w:bCs/>
          <w:sz w:val="32"/>
          <w:szCs w:val="32"/>
        </w:rPr>
      </w:pPr>
      <w:r>
        <w:rPr>
          <w:rFonts w:ascii="Times New Roman" w:hAnsi="Times New Roman" w:cs="Times New Roman"/>
          <w:sz w:val="32"/>
          <w:szCs w:val="32"/>
        </w:rPr>
        <w:tab/>
      </w:r>
      <w:r>
        <w:rPr>
          <w:rFonts w:ascii="Times New Roman" w:hAnsi="Times New Roman" w:cs="Times New Roman"/>
          <w:sz w:val="32"/>
          <w:szCs w:val="32"/>
        </w:rPr>
        <w:tab/>
      </w:r>
      <w:r>
        <w:rPr>
          <w:rFonts w:ascii="Times New Roman" w:hAnsi="Times New Roman" w:cs="Times New Roman"/>
          <w:sz w:val="32"/>
          <w:szCs w:val="32"/>
        </w:rPr>
        <w:tab/>
      </w:r>
      <w:r>
        <w:rPr>
          <w:rFonts w:ascii="Times New Roman" w:hAnsi="Times New Roman" w:cs="Times New Roman"/>
          <w:sz w:val="32"/>
          <w:szCs w:val="32"/>
        </w:rPr>
        <w:tab/>
      </w:r>
      <w:r>
        <w:rPr>
          <w:rFonts w:ascii="Times New Roman" w:hAnsi="Times New Roman" w:cs="Times New Roman"/>
          <w:sz w:val="32"/>
          <w:szCs w:val="32"/>
        </w:rPr>
        <w:tab/>
      </w:r>
      <w:r w:rsidRPr="000F5F76">
        <w:rPr>
          <w:rFonts w:ascii="Times New Roman" w:hAnsi="Times New Roman" w:cs="Times New Roman"/>
          <w:b/>
          <w:bCs/>
          <w:sz w:val="32"/>
          <w:szCs w:val="32"/>
        </w:rPr>
        <w:t>Chapter 10</w:t>
      </w:r>
    </w:p>
    <w:p w14:paraId="67CD5DB3" w14:textId="4A32558D" w:rsidR="00B10FA3" w:rsidRDefault="00992708" w:rsidP="00992708">
      <w:pPr>
        <w:spacing w:line="480" w:lineRule="auto"/>
        <w:rPr>
          <w:rFonts w:ascii="Times New Roman" w:hAnsi="Times New Roman" w:cs="Times New Roman"/>
          <w:b/>
          <w:bCs/>
          <w:sz w:val="32"/>
          <w:szCs w:val="32"/>
        </w:rPr>
      </w:pPr>
      <w:r>
        <w:rPr>
          <w:rFonts w:ascii="Times New Roman" w:hAnsi="Times New Roman" w:cs="Times New Roman"/>
          <w:b/>
          <w:bCs/>
          <w:sz w:val="32"/>
          <w:szCs w:val="32"/>
        </w:rPr>
        <w:t xml:space="preserve">                                </w:t>
      </w:r>
      <w:r w:rsidR="00B10FA3" w:rsidRPr="00DE1CCF">
        <w:rPr>
          <w:rFonts w:ascii="Times New Roman" w:hAnsi="Times New Roman" w:cs="Times New Roman"/>
          <w:b/>
          <w:bCs/>
          <w:sz w:val="32"/>
          <w:szCs w:val="32"/>
        </w:rPr>
        <w:t>Redistribution</w:t>
      </w:r>
      <w:r>
        <w:rPr>
          <w:rFonts w:ascii="Times New Roman" w:hAnsi="Times New Roman" w:cs="Times New Roman"/>
          <w:b/>
          <w:bCs/>
          <w:sz w:val="32"/>
          <w:szCs w:val="32"/>
        </w:rPr>
        <w:t>: The Theory</w:t>
      </w:r>
      <w:r w:rsidR="000F5F76" w:rsidRPr="00DE1CCF">
        <w:rPr>
          <w:rFonts w:ascii="Times New Roman" w:hAnsi="Times New Roman" w:cs="Times New Roman"/>
          <w:b/>
          <w:bCs/>
          <w:sz w:val="32"/>
          <w:szCs w:val="32"/>
        </w:rPr>
        <w:t xml:space="preserve"> </w:t>
      </w:r>
    </w:p>
    <w:p w14:paraId="3D034026" w14:textId="39FC23DA" w:rsidR="00A23AC2" w:rsidRPr="00A23AC2" w:rsidRDefault="00A23AC2" w:rsidP="00141A66">
      <w:pPr>
        <w:spacing w:line="480" w:lineRule="auto"/>
        <w:ind w:left="2160" w:firstLine="720"/>
        <w:rPr>
          <w:rFonts w:ascii="Times New Roman" w:hAnsi="Times New Roman" w:cs="Times New Roman"/>
          <w:b/>
          <w:bCs/>
          <w:i/>
          <w:iCs/>
        </w:rPr>
      </w:pPr>
      <w:r>
        <w:rPr>
          <w:rFonts w:ascii="Times New Roman" w:hAnsi="Times New Roman" w:cs="Times New Roman"/>
          <w:b/>
          <w:bCs/>
          <w:sz w:val="32"/>
          <w:szCs w:val="32"/>
        </w:rPr>
        <w:t xml:space="preserve">               </w:t>
      </w:r>
      <w:r w:rsidRPr="00A23AC2">
        <w:rPr>
          <w:rFonts w:ascii="Times New Roman" w:hAnsi="Times New Roman" w:cs="Times New Roman"/>
          <w:b/>
          <w:bCs/>
          <w:i/>
          <w:iCs/>
        </w:rPr>
        <w:t>Part II</w:t>
      </w:r>
    </w:p>
    <w:p w14:paraId="3353C7D1" w14:textId="77777777" w:rsidR="000F5F76" w:rsidRDefault="000F5F76" w:rsidP="00141A66">
      <w:pPr>
        <w:spacing w:line="480" w:lineRule="auto"/>
        <w:ind w:left="2160" w:firstLine="720"/>
        <w:rPr>
          <w:rFonts w:ascii="Times New Roman" w:hAnsi="Times New Roman" w:cs="Times New Roman"/>
          <w:b/>
          <w:bCs/>
          <w:i/>
          <w:iCs/>
          <w:sz w:val="32"/>
          <w:szCs w:val="32"/>
        </w:rPr>
      </w:pPr>
    </w:p>
    <w:p w14:paraId="62D4B475" w14:textId="354A43F5" w:rsidR="00B10FA3" w:rsidRPr="00A23AC2" w:rsidRDefault="00B10FA3" w:rsidP="00141A66">
      <w:pPr>
        <w:spacing w:line="480" w:lineRule="auto"/>
        <w:rPr>
          <w:rFonts w:ascii="Times New Roman" w:hAnsi="Times New Roman" w:cs="Times New Roman"/>
          <w:b/>
          <w:bCs/>
          <w:i/>
          <w:iCs/>
          <w:sz w:val="32"/>
          <w:szCs w:val="32"/>
        </w:rPr>
      </w:pPr>
      <w:r>
        <w:rPr>
          <w:rFonts w:ascii="Times New Roman" w:hAnsi="Times New Roman" w:cs="Times New Roman"/>
          <w:b/>
          <w:bCs/>
          <w:i/>
          <w:iCs/>
          <w:sz w:val="32"/>
          <w:szCs w:val="32"/>
        </w:rPr>
        <w:tab/>
      </w:r>
      <w:r>
        <w:rPr>
          <w:rFonts w:ascii="Times New Roman" w:hAnsi="Times New Roman" w:cs="Times New Roman"/>
          <w:b/>
          <w:bCs/>
          <w:i/>
          <w:iCs/>
          <w:sz w:val="32"/>
          <w:szCs w:val="32"/>
        </w:rPr>
        <w:tab/>
      </w:r>
      <w:r>
        <w:rPr>
          <w:rFonts w:ascii="Times New Roman" w:hAnsi="Times New Roman" w:cs="Times New Roman"/>
          <w:b/>
          <w:bCs/>
          <w:i/>
          <w:iCs/>
          <w:sz w:val="32"/>
          <w:szCs w:val="32"/>
        </w:rPr>
        <w:tab/>
      </w:r>
      <w:r>
        <w:rPr>
          <w:rFonts w:ascii="Times New Roman" w:hAnsi="Times New Roman" w:cs="Times New Roman"/>
          <w:b/>
          <w:bCs/>
          <w:i/>
          <w:iCs/>
          <w:sz w:val="32"/>
          <w:szCs w:val="32"/>
        </w:rPr>
        <w:tab/>
        <w:t xml:space="preserve">       </w:t>
      </w:r>
      <w:r w:rsidR="00DE1CCF">
        <w:rPr>
          <w:rFonts w:ascii="Times New Roman" w:hAnsi="Times New Roman" w:cs="Times New Roman"/>
          <w:b/>
          <w:bCs/>
          <w:i/>
          <w:iCs/>
          <w:sz w:val="32"/>
          <w:szCs w:val="32"/>
        </w:rPr>
        <w:t xml:space="preserve">  </w:t>
      </w:r>
      <w:r>
        <w:rPr>
          <w:rFonts w:ascii="Times New Roman" w:hAnsi="Times New Roman" w:cs="Times New Roman"/>
          <w:b/>
          <w:bCs/>
          <w:i/>
          <w:iCs/>
          <w:sz w:val="32"/>
          <w:szCs w:val="32"/>
        </w:rPr>
        <w:t xml:space="preserve"> </w:t>
      </w:r>
    </w:p>
    <w:p w14:paraId="151BD7A8" w14:textId="77777777" w:rsidR="00B10FA3" w:rsidRPr="00D54FF9" w:rsidRDefault="00B10FA3" w:rsidP="00141A66">
      <w:pPr>
        <w:spacing w:line="480" w:lineRule="auto"/>
        <w:rPr>
          <w:rFonts w:ascii="Times New Roman" w:hAnsi="Times New Roman" w:cs="Times New Roman"/>
          <w:b/>
          <w:bCs/>
          <w:sz w:val="28"/>
          <w:szCs w:val="28"/>
        </w:rPr>
      </w:pPr>
    </w:p>
    <w:p w14:paraId="3544F3A6" w14:textId="77777777" w:rsidR="00F22197" w:rsidRDefault="00F22197" w:rsidP="00141A66">
      <w:pPr>
        <w:spacing w:line="480" w:lineRule="auto"/>
        <w:rPr>
          <w:rFonts w:ascii="Times New Roman" w:eastAsia="Times New Roman" w:hAnsi="Times New Roman" w:cs="Times New Roman"/>
          <w:b/>
          <w:bCs/>
          <w:sz w:val="28"/>
          <w:szCs w:val="28"/>
          <w:lang w:eastAsia="en-CA"/>
        </w:rPr>
      </w:pPr>
    </w:p>
    <w:p w14:paraId="17C7874F" w14:textId="77777777" w:rsidR="00F22197" w:rsidRDefault="00F22197" w:rsidP="00141A66">
      <w:pPr>
        <w:spacing w:line="480" w:lineRule="auto"/>
        <w:rPr>
          <w:rFonts w:ascii="Times New Roman" w:eastAsia="Times New Roman" w:hAnsi="Times New Roman" w:cs="Times New Roman"/>
          <w:b/>
          <w:bCs/>
          <w:sz w:val="28"/>
          <w:szCs w:val="28"/>
          <w:lang w:eastAsia="en-CA"/>
        </w:rPr>
      </w:pPr>
    </w:p>
    <w:p w14:paraId="4A7D34A4" w14:textId="77777777" w:rsidR="00F22197" w:rsidRDefault="00F22197" w:rsidP="00141A66">
      <w:pPr>
        <w:spacing w:line="480" w:lineRule="auto"/>
        <w:rPr>
          <w:rFonts w:ascii="Times New Roman" w:eastAsia="Times New Roman" w:hAnsi="Times New Roman" w:cs="Times New Roman"/>
          <w:b/>
          <w:bCs/>
          <w:sz w:val="28"/>
          <w:szCs w:val="28"/>
          <w:lang w:eastAsia="en-CA"/>
        </w:rPr>
      </w:pPr>
    </w:p>
    <w:p w14:paraId="3D8F87CD" w14:textId="77777777" w:rsidR="00F22197" w:rsidRDefault="00F22197" w:rsidP="00141A66">
      <w:pPr>
        <w:spacing w:line="480" w:lineRule="auto"/>
        <w:rPr>
          <w:rFonts w:ascii="Times New Roman" w:eastAsia="Times New Roman" w:hAnsi="Times New Roman" w:cs="Times New Roman"/>
          <w:b/>
          <w:bCs/>
          <w:sz w:val="28"/>
          <w:szCs w:val="28"/>
          <w:lang w:eastAsia="en-CA"/>
        </w:rPr>
      </w:pPr>
    </w:p>
    <w:p w14:paraId="781FCA48" w14:textId="77777777" w:rsidR="00F22197" w:rsidRDefault="00F22197" w:rsidP="00141A66">
      <w:pPr>
        <w:spacing w:line="480" w:lineRule="auto"/>
        <w:rPr>
          <w:rFonts w:ascii="Times New Roman" w:eastAsia="Times New Roman" w:hAnsi="Times New Roman" w:cs="Times New Roman"/>
          <w:b/>
          <w:bCs/>
          <w:sz w:val="28"/>
          <w:szCs w:val="28"/>
          <w:lang w:eastAsia="en-CA"/>
        </w:rPr>
      </w:pPr>
    </w:p>
    <w:p w14:paraId="78C46352" w14:textId="77777777" w:rsidR="00F22197" w:rsidRDefault="00F22197" w:rsidP="00141A66">
      <w:pPr>
        <w:spacing w:line="480" w:lineRule="auto"/>
        <w:rPr>
          <w:rFonts w:ascii="Times New Roman" w:eastAsia="Times New Roman" w:hAnsi="Times New Roman" w:cs="Times New Roman"/>
          <w:b/>
          <w:bCs/>
          <w:sz w:val="28"/>
          <w:szCs w:val="28"/>
          <w:lang w:eastAsia="en-CA"/>
        </w:rPr>
      </w:pPr>
    </w:p>
    <w:p w14:paraId="620DD02C" w14:textId="77777777" w:rsidR="00F22197" w:rsidRDefault="00F22197" w:rsidP="00141A66">
      <w:pPr>
        <w:spacing w:line="480" w:lineRule="auto"/>
        <w:rPr>
          <w:rFonts w:ascii="Times New Roman" w:eastAsia="Times New Roman" w:hAnsi="Times New Roman" w:cs="Times New Roman"/>
          <w:b/>
          <w:bCs/>
          <w:sz w:val="28"/>
          <w:szCs w:val="28"/>
          <w:lang w:eastAsia="en-CA"/>
        </w:rPr>
      </w:pPr>
    </w:p>
    <w:p w14:paraId="3567966F" w14:textId="77777777" w:rsidR="00F22197" w:rsidRDefault="00F22197" w:rsidP="00141A66">
      <w:pPr>
        <w:spacing w:line="480" w:lineRule="auto"/>
        <w:rPr>
          <w:rFonts w:ascii="Times New Roman" w:eastAsia="Times New Roman" w:hAnsi="Times New Roman" w:cs="Times New Roman"/>
          <w:b/>
          <w:bCs/>
          <w:sz w:val="28"/>
          <w:szCs w:val="28"/>
          <w:lang w:eastAsia="en-CA"/>
        </w:rPr>
      </w:pPr>
    </w:p>
    <w:p w14:paraId="271E909D" w14:textId="77777777" w:rsidR="00F22197" w:rsidRDefault="00F22197" w:rsidP="00141A66">
      <w:pPr>
        <w:spacing w:line="480" w:lineRule="auto"/>
        <w:rPr>
          <w:rFonts w:ascii="Times New Roman" w:eastAsia="Times New Roman" w:hAnsi="Times New Roman" w:cs="Times New Roman"/>
          <w:b/>
          <w:bCs/>
          <w:sz w:val="28"/>
          <w:szCs w:val="28"/>
          <w:lang w:eastAsia="en-CA"/>
        </w:rPr>
      </w:pPr>
    </w:p>
    <w:p w14:paraId="28CB184C" w14:textId="77777777" w:rsidR="00F22197" w:rsidRPr="00DD4B1E" w:rsidRDefault="00F22197" w:rsidP="00D54FF9">
      <w:pPr>
        <w:spacing w:line="480" w:lineRule="auto"/>
        <w:rPr>
          <w:rFonts w:ascii="Times New Roman" w:eastAsia="Times New Roman" w:hAnsi="Times New Roman" w:cs="Times New Roman"/>
          <w:b/>
          <w:bCs/>
          <w:sz w:val="28"/>
          <w:szCs w:val="28"/>
          <w:lang w:eastAsia="en-CA"/>
        </w:rPr>
      </w:pPr>
    </w:p>
    <w:p w14:paraId="3C481D11" w14:textId="74A63EFB" w:rsidR="00B10FA3" w:rsidRPr="00DD4B1E" w:rsidRDefault="00B10FA3" w:rsidP="00D54FF9">
      <w:pPr>
        <w:spacing w:line="480" w:lineRule="auto"/>
        <w:rPr>
          <w:rFonts w:ascii="Times New Roman" w:eastAsia="Times New Roman" w:hAnsi="Times New Roman" w:cs="Times New Roman"/>
          <w:b/>
          <w:bCs/>
          <w:i/>
          <w:iCs/>
          <w:sz w:val="28"/>
          <w:szCs w:val="28"/>
          <w:lang w:eastAsia="en-CA"/>
        </w:rPr>
      </w:pPr>
      <w:r w:rsidRPr="00DD4B1E">
        <w:rPr>
          <w:rFonts w:ascii="Times New Roman" w:eastAsia="Times New Roman" w:hAnsi="Times New Roman" w:cs="Times New Roman"/>
          <w:b/>
          <w:bCs/>
          <w:sz w:val="28"/>
          <w:szCs w:val="28"/>
          <w:lang w:eastAsia="en-CA"/>
        </w:rPr>
        <w:t xml:space="preserve">     </w:t>
      </w:r>
      <w:r w:rsidRPr="00DD4B1E">
        <w:rPr>
          <w:rFonts w:ascii="Times New Roman" w:eastAsia="Times New Roman" w:hAnsi="Times New Roman" w:cs="Times New Roman"/>
          <w:b/>
          <w:bCs/>
          <w:i/>
          <w:iCs/>
          <w:sz w:val="28"/>
          <w:szCs w:val="28"/>
          <w:lang w:eastAsia="en-CA"/>
        </w:rPr>
        <w:t>Theories of Redistribution</w:t>
      </w:r>
    </w:p>
    <w:p w14:paraId="6DE27D59" w14:textId="5B7C9202" w:rsidR="00B10FA3" w:rsidRPr="007942B7" w:rsidRDefault="00B10FA3" w:rsidP="007942B7">
      <w:pPr>
        <w:spacing w:line="480" w:lineRule="auto"/>
        <w:rPr>
          <w:rFonts w:ascii="Times New Roman" w:eastAsia="Times New Roman" w:hAnsi="Times New Roman" w:cs="Times New Roman"/>
          <w:lang w:eastAsia="en-CA"/>
        </w:rPr>
      </w:pPr>
      <w:r w:rsidRPr="007942B7">
        <w:rPr>
          <w:rFonts w:ascii="Times New Roman" w:eastAsia="Times New Roman" w:hAnsi="Times New Roman" w:cs="Times New Roman"/>
          <w:lang w:eastAsia="en-CA"/>
        </w:rPr>
        <w:t xml:space="preserve">    One of the perhaps more obvious aspects of the argument or argument regarding just redistribution is that, culturally, Americans rarely serious engage the theory or theoretical considerations behind the concept. This is no accident: many forces within the economic and political world work tirelessly to discourage such conversations, endeavoring to distract the general public with slogans such as anti-communism, anti-socialism, theories such as trickle</w:t>
      </w:r>
      <w:r w:rsidR="00992708">
        <w:rPr>
          <w:rFonts w:ascii="Times New Roman" w:eastAsia="Times New Roman" w:hAnsi="Times New Roman" w:cs="Times New Roman"/>
          <w:lang w:eastAsia="en-CA"/>
        </w:rPr>
        <w:t>-</w:t>
      </w:r>
      <w:r w:rsidRPr="007942B7">
        <w:rPr>
          <w:rFonts w:ascii="Times New Roman" w:eastAsia="Times New Roman" w:hAnsi="Times New Roman" w:cs="Times New Roman"/>
          <w:lang w:eastAsia="en-CA"/>
        </w:rPr>
        <w:t>down economics, frontier individualism, self</w:t>
      </w:r>
      <w:r w:rsidR="00992708">
        <w:rPr>
          <w:rFonts w:ascii="Times New Roman" w:eastAsia="Times New Roman" w:hAnsi="Times New Roman" w:cs="Times New Roman"/>
          <w:lang w:eastAsia="en-CA"/>
        </w:rPr>
        <w:t>-</w:t>
      </w:r>
      <w:r w:rsidRPr="007942B7">
        <w:rPr>
          <w:rFonts w:ascii="Times New Roman" w:eastAsia="Times New Roman" w:hAnsi="Times New Roman" w:cs="Times New Roman"/>
          <w:lang w:eastAsia="en-CA"/>
        </w:rPr>
        <w:t>made men, and, more insidiously, thinly veiled racialism intended to adhere negatively to the sacrosanct morality of the conventionally conceived American work ethic.</w:t>
      </w:r>
    </w:p>
    <w:p w14:paraId="24EFA65C" w14:textId="77777777" w:rsidR="00B10FA3" w:rsidRPr="00DD4B1E" w:rsidRDefault="00B10FA3" w:rsidP="007942B7">
      <w:pPr>
        <w:spacing w:line="480" w:lineRule="auto"/>
        <w:rPr>
          <w:rFonts w:ascii="Times New Roman" w:eastAsia="Times New Roman" w:hAnsi="Times New Roman" w:cs="Times New Roman"/>
          <w:b/>
          <w:bCs/>
          <w:i/>
          <w:iCs/>
          <w:lang w:eastAsia="en-CA"/>
        </w:rPr>
      </w:pPr>
    </w:p>
    <w:p w14:paraId="18CDE7F9" w14:textId="77777777" w:rsidR="00B10FA3" w:rsidRPr="00DD4B1E" w:rsidRDefault="00B10FA3" w:rsidP="007942B7">
      <w:pPr>
        <w:spacing w:line="480" w:lineRule="auto"/>
        <w:rPr>
          <w:rFonts w:ascii="Times New Roman" w:eastAsia="Times New Roman" w:hAnsi="Times New Roman" w:cs="Times New Roman"/>
          <w:b/>
          <w:bCs/>
          <w:i/>
          <w:iCs/>
          <w:lang w:eastAsia="en-CA"/>
        </w:rPr>
      </w:pPr>
      <w:r w:rsidRPr="00DD4B1E">
        <w:rPr>
          <w:rFonts w:ascii="Times New Roman" w:eastAsia="Times New Roman" w:hAnsi="Times New Roman" w:cs="Times New Roman"/>
          <w:b/>
          <w:bCs/>
          <w:i/>
          <w:iCs/>
          <w:lang w:eastAsia="en-CA"/>
        </w:rPr>
        <w:t>Recent Redistributive Theories</w:t>
      </w:r>
    </w:p>
    <w:p w14:paraId="2E48F90D" w14:textId="36F98817" w:rsidR="00B10FA3" w:rsidRPr="007942B7" w:rsidRDefault="00B10FA3" w:rsidP="007942B7">
      <w:pPr>
        <w:spacing w:line="480" w:lineRule="auto"/>
        <w:rPr>
          <w:rFonts w:ascii="Times New Roman" w:eastAsia="Times New Roman" w:hAnsi="Times New Roman" w:cs="Times New Roman"/>
          <w:lang w:eastAsia="en-CA"/>
        </w:rPr>
      </w:pPr>
      <w:r w:rsidRPr="007942B7">
        <w:rPr>
          <w:rFonts w:ascii="Times New Roman" w:eastAsia="Times New Roman" w:hAnsi="Times New Roman" w:cs="Times New Roman"/>
          <w:lang w:eastAsia="en-CA"/>
        </w:rPr>
        <w:t xml:space="preserve">     Here I hope to talk about some of the seminal research that has been done on the origins of actions for and consequences of redistributive ideas. The first theorist that we should take a look at is John Rawls. Rawls puts forth a theory that he termed the </w:t>
      </w:r>
      <w:r w:rsidRPr="007942B7">
        <w:rPr>
          <w:rFonts w:ascii="Times New Roman" w:eastAsia="Times New Roman" w:hAnsi="Times New Roman" w:cs="Times New Roman"/>
          <w:i/>
          <w:iCs/>
          <w:lang w:eastAsia="en-CA"/>
        </w:rPr>
        <w:t>Veil of Ignorance.</w:t>
      </w:r>
      <w:r w:rsidRPr="007942B7">
        <w:rPr>
          <w:rFonts w:ascii="Times New Roman" w:eastAsia="Times New Roman" w:hAnsi="Times New Roman" w:cs="Times New Roman"/>
          <w:lang w:eastAsia="en-CA"/>
        </w:rPr>
        <w:t xml:space="preserve">  </w:t>
      </w:r>
      <w:r w:rsidR="00C632F5">
        <w:rPr>
          <w:rFonts w:ascii="Times New Roman" w:eastAsia="Times New Roman" w:hAnsi="Times New Roman" w:cs="Times New Roman"/>
          <w:lang w:eastAsia="en-CA"/>
        </w:rPr>
        <w:t xml:space="preserve">In it, he argues that </w:t>
      </w:r>
      <w:r w:rsidRPr="007942B7">
        <w:rPr>
          <w:rFonts w:ascii="Times New Roman" w:eastAsia="Times New Roman" w:hAnsi="Times New Roman" w:cs="Times New Roman"/>
          <w:lang w:eastAsia="en-CA"/>
        </w:rPr>
        <w:t xml:space="preserve">people </w:t>
      </w:r>
      <w:r w:rsidR="00C632F5">
        <w:rPr>
          <w:rFonts w:ascii="Times New Roman" w:eastAsia="Times New Roman" w:hAnsi="Times New Roman" w:cs="Times New Roman"/>
          <w:lang w:eastAsia="en-CA"/>
        </w:rPr>
        <w:t xml:space="preserve">tend to be </w:t>
      </w:r>
      <w:r w:rsidRPr="007942B7">
        <w:rPr>
          <w:rFonts w:ascii="Times New Roman" w:eastAsia="Times New Roman" w:hAnsi="Times New Roman" w:cs="Times New Roman"/>
          <w:lang w:eastAsia="en-CA"/>
        </w:rPr>
        <w:t xml:space="preserve">biased by their </w:t>
      </w:r>
      <w:r w:rsidR="00C632F5">
        <w:rPr>
          <w:rFonts w:ascii="Times New Roman" w:eastAsia="Times New Roman" w:hAnsi="Times New Roman" w:cs="Times New Roman"/>
          <w:lang w:eastAsia="en-CA"/>
        </w:rPr>
        <w:t xml:space="preserve">born-into status, and this hard wires them into a world view perspective regarding pollical economy and </w:t>
      </w:r>
      <w:r w:rsidR="006466F3">
        <w:rPr>
          <w:rFonts w:ascii="Times New Roman" w:eastAsia="Times New Roman" w:hAnsi="Times New Roman" w:cs="Times New Roman"/>
          <w:lang w:eastAsia="en-CA"/>
        </w:rPr>
        <w:t xml:space="preserve">the distribution of societal resources. </w:t>
      </w:r>
      <w:r w:rsidRPr="007942B7">
        <w:rPr>
          <w:rFonts w:ascii="Times New Roman" w:eastAsia="Times New Roman" w:hAnsi="Times New Roman" w:cs="Times New Roman"/>
          <w:lang w:eastAsia="en-CA"/>
        </w:rPr>
        <w:t xml:space="preserve"> </w:t>
      </w:r>
    </w:p>
    <w:p w14:paraId="4087270A" w14:textId="79FD4C54" w:rsidR="00B10FA3" w:rsidRPr="007942B7" w:rsidRDefault="00B10FA3" w:rsidP="007942B7">
      <w:pPr>
        <w:spacing w:line="480" w:lineRule="auto"/>
        <w:rPr>
          <w:rFonts w:ascii="Times New Roman" w:eastAsia="Times New Roman" w:hAnsi="Times New Roman" w:cs="Times New Roman"/>
          <w:lang w:eastAsia="en-CA"/>
        </w:rPr>
      </w:pPr>
      <w:r w:rsidRPr="007942B7">
        <w:rPr>
          <w:rFonts w:ascii="Times New Roman" w:eastAsia="Times New Roman" w:hAnsi="Times New Roman" w:cs="Times New Roman"/>
          <w:lang w:eastAsia="en-CA"/>
        </w:rPr>
        <w:lastRenderedPageBreak/>
        <w:t xml:space="preserve">     Rawls suggested that we should imagine that we all sit behind what he called a </w:t>
      </w:r>
      <w:r w:rsidRPr="006466F3">
        <w:rPr>
          <w:rFonts w:ascii="Times New Roman" w:eastAsia="Times New Roman" w:hAnsi="Times New Roman" w:cs="Times New Roman"/>
          <w:i/>
          <w:iCs/>
          <w:lang w:eastAsia="en-CA"/>
        </w:rPr>
        <w:t>veil of ignorance</w:t>
      </w:r>
      <w:r w:rsidR="006466F3">
        <w:rPr>
          <w:rFonts w:ascii="Times New Roman" w:eastAsia="Times New Roman" w:hAnsi="Times New Roman" w:cs="Times New Roman"/>
          <w:i/>
          <w:iCs/>
          <w:lang w:eastAsia="en-CA"/>
        </w:rPr>
        <w:t xml:space="preserve">, </w:t>
      </w:r>
      <w:r w:rsidR="006466F3">
        <w:rPr>
          <w:rFonts w:ascii="Times New Roman" w:eastAsia="Times New Roman" w:hAnsi="Times New Roman" w:cs="Times New Roman"/>
          <w:lang w:eastAsia="en-CA"/>
        </w:rPr>
        <w:t>a blockage</w:t>
      </w:r>
      <w:r w:rsidRPr="007942B7">
        <w:rPr>
          <w:rFonts w:ascii="Times New Roman" w:eastAsia="Times New Roman" w:hAnsi="Times New Roman" w:cs="Times New Roman"/>
          <w:lang w:eastAsia="en-CA"/>
        </w:rPr>
        <w:t xml:space="preserve"> that keeps us from knowing who </w:t>
      </w:r>
      <w:r w:rsidR="006466F3">
        <w:rPr>
          <w:rFonts w:ascii="Times New Roman" w:eastAsia="Times New Roman" w:hAnsi="Times New Roman" w:cs="Times New Roman"/>
          <w:lang w:eastAsia="en-CA"/>
        </w:rPr>
        <w:t>we</w:t>
      </w:r>
      <w:r w:rsidRPr="007942B7">
        <w:rPr>
          <w:rFonts w:ascii="Times New Roman" w:eastAsia="Times New Roman" w:hAnsi="Times New Roman" w:cs="Times New Roman"/>
          <w:lang w:eastAsia="en-CA"/>
        </w:rPr>
        <w:t xml:space="preserve"> are</w:t>
      </w:r>
      <w:r w:rsidR="006466F3">
        <w:rPr>
          <w:rFonts w:ascii="Times New Roman" w:eastAsia="Times New Roman" w:hAnsi="Times New Roman" w:cs="Times New Roman"/>
          <w:lang w:eastAsia="en-CA"/>
        </w:rPr>
        <w:t xml:space="preserve"> economically,</w:t>
      </w:r>
      <w:r w:rsidRPr="007942B7">
        <w:rPr>
          <w:rFonts w:ascii="Times New Roman" w:eastAsia="Times New Roman" w:hAnsi="Times New Roman" w:cs="Times New Roman"/>
          <w:lang w:eastAsia="en-CA"/>
        </w:rPr>
        <w:t xml:space="preserve"> prevent</w:t>
      </w:r>
      <w:r w:rsidR="006466F3">
        <w:rPr>
          <w:rFonts w:ascii="Times New Roman" w:eastAsia="Times New Roman" w:hAnsi="Times New Roman" w:cs="Times New Roman"/>
          <w:lang w:eastAsia="en-CA"/>
        </w:rPr>
        <w:t>ing</w:t>
      </w:r>
      <w:r w:rsidRPr="007942B7">
        <w:rPr>
          <w:rFonts w:ascii="Times New Roman" w:eastAsia="Times New Roman" w:hAnsi="Times New Roman" w:cs="Times New Roman"/>
          <w:lang w:eastAsia="en-CA"/>
        </w:rPr>
        <w:t xml:space="preserve"> us from identifying with our own </w:t>
      </w:r>
      <w:r w:rsidR="006466F3">
        <w:rPr>
          <w:rFonts w:ascii="Times New Roman" w:eastAsia="Times New Roman" w:hAnsi="Times New Roman" w:cs="Times New Roman"/>
          <w:lang w:eastAsia="en-CA"/>
        </w:rPr>
        <w:t xml:space="preserve">(good or bad) </w:t>
      </w:r>
      <w:r w:rsidRPr="007942B7">
        <w:rPr>
          <w:rFonts w:ascii="Times New Roman" w:eastAsia="Times New Roman" w:hAnsi="Times New Roman" w:cs="Times New Roman"/>
          <w:lang w:eastAsia="en-CA"/>
        </w:rPr>
        <w:t xml:space="preserve">circumstances. </w:t>
      </w:r>
      <w:r w:rsidR="006466F3">
        <w:rPr>
          <w:rFonts w:ascii="Times New Roman" w:eastAsia="Times New Roman" w:hAnsi="Times New Roman" w:cs="Times New Roman"/>
          <w:lang w:eastAsia="en-CA"/>
        </w:rPr>
        <w:t>G</w:t>
      </w:r>
      <w:r w:rsidRPr="007942B7">
        <w:rPr>
          <w:rFonts w:ascii="Times New Roman" w:eastAsia="Times New Roman" w:hAnsi="Times New Roman" w:cs="Times New Roman"/>
          <w:lang w:eastAsia="en-CA"/>
        </w:rPr>
        <w:t>iven the fact that we have no knowledge of our own situation or status, th</w:t>
      </w:r>
      <w:r w:rsidR="006466F3">
        <w:rPr>
          <w:rFonts w:ascii="Times New Roman" w:eastAsia="Times New Roman" w:hAnsi="Times New Roman" w:cs="Times New Roman"/>
          <w:lang w:eastAsia="en-CA"/>
        </w:rPr>
        <w:t xml:space="preserve">ere is a </w:t>
      </w:r>
      <w:r w:rsidRPr="007942B7">
        <w:rPr>
          <w:rFonts w:ascii="Times New Roman" w:eastAsia="Times New Roman" w:hAnsi="Times New Roman" w:cs="Times New Roman"/>
          <w:lang w:eastAsia="en-CA"/>
        </w:rPr>
        <w:t xml:space="preserve">humbling </w:t>
      </w:r>
      <w:r w:rsidR="006466F3">
        <w:rPr>
          <w:rFonts w:ascii="Times New Roman" w:eastAsia="Times New Roman" w:hAnsi="Times New Roman" w:cs="Times New Roman"/>
          <w:lang w:eastAsia="en-CA"/>
        </w:rPr>
        <w:t xml:space="preserve">effect on </w:t>
      </w:r>
      <w:r w:rsidRPr="007942B7">
        <w:rPr>
          <w:rFonts w:ascii="Times New Roman" w:eastAsia="Times New Roman" w:hAnsi="Times New Roman" w:cs="Times New Roman"/>
          <w:lang w:eastAsia="en-CA"/>
        </w:rPr>
        <w:t>us that we may have a more rational consideration of how our social network should function</w:t>
      </w:r>
      <w:r w:rsidR="006466F3">
        <w:rPr>
          <w:rFonts w:ascii="Times New Roman" w:eastAsia="Times New Roman" w:hAnsi="Times New Roman" w:cs="Times New Roman"/>
          <w:lang w:eastAsia="en-CA"/>
        </w:rPr>
        <w:t>, along with the decisions that we make concerning those networks.</w:t>
      </w:r>
      <w:r w:rsidRPr="007942B7">
        <w:rPr>
          <w:rStyle w:val="FootnoteReference"/>
          <w:rFonts w:ascii="Times New Roman" w:eastAsia="Times New Roman" w:hAnsi="Times New Roman" w:cs="Times New Roman"/>
          <w:lang w:eastAsia="en-CA"/>
        </w:rPr>
        <w:footnoteReference w:id="263"/>
      </w:r>
      <w:r w:rsidRPr="007942B7">
        <w:rPr>
          <w:rFonts w:ascii="Times New Roman" w:eastAsia="Times New Roman" w:hAnsi="Times New Roman" w:cs="Times New Roman"/>
          <w:lang w:eastAsia="en-CA"/>
        </w:rPr>
        <w:t xml:space="preserve"> </w:t>
      </w:r>
    </w:p>
    <w:p w14:paraId="1BF170C5" w14:textId="77777777" w:rsidR="00B10FA3" w:rsidRPr="007942B7" w:rsidRDefault="00B10FA3" w:rsidP="007942B7">
      <w:pPr>
        <w:spacing w:line="480" w:lineRule="auto"/>
        <w:rPr>
          <w:rFonts w:ascii="Times New Roman" w:eastAsia="Times New Roman" w:hAnsi="Times New Roman" w:cs="Times New Roman"/>
          <w:lang w:eastAsia="en-CA"/>
        </w:rPr>
      </w:pPr>
      <w:r w:rsidRPr="007942B7">
        <w:rPr>
          <w:rFonts w:ascii="Times New Roman" w:eastAsia="Times New Roman" w:hAnsi="Times New Roman" w:cs="Times New Roman"/>
          <w:lang w:eastAsia="en-CA"/>
        </w:rPr>
        <w:t xml:space="preserve">     There are two principles that support roles of theory of the </w:t>
      </w:r>
      <w:r w:rsidRPr="007942B7">
        <w:rPr>
          <w:rFonts w:ascii="Times New Roman" w:eastAsia="Times New Roman" w:hAnsi="Times New Roman" w:cs="Times New Roman"/>
          <w:i/>
          <w:iCs/>
          <w:lang w:eastAsia="en-CA"/>
        </w:rPr>
        <w:t>Veil of Ignorance</w:t>
      </w:r>
      <w:r w:rsidRPr="007942B7">
        <w:rPr>
          <w:rFonts w:ascii="Times New Roman" w:eastAsia="Times New Roman" w:hAnsi="Times New Roman" w:cs="Times New Roman"/>
          <w:lang w:eastAsia="en-CA"/>
        </w:rPr>
        <w:t>. The first of these is what he calls the</w:t>
      </w:r>
      <w:r w:rsidRPr="007942B7">
        <w:rPr>
          <w:rFonts w:ascii="Times New Roman" w:eastAsia="Times New Roman" w:hAnsi="Times New Roman" w:cs="Times New Roman"/>
          <w:i/>
          <w:iCs/>
          <w:lang w:eastAsia="en-CA"/>
        </w:rPr>
        <w:t xml:space="preserve"> liberty</w:t>
      </w:r>
      <w:r w:rsidRPr="007942B7">
        <w:rPr>
          <w:rFonts w:ascii="Times New Roman" w:eastAsia="Times New Roman" w:hAnsi="Times New Roman" w:cs="Times New Roman"/>
          <w:lang w:eastAsia="en-CA"/>
        </w:rPr>
        <w:t xml:space="preserve"> principle, and the second is referred to as the </w:t>
      </w:r>
      <w:r w:rsidRPr="007942B7">
        <w:rPr>
          <w:rFonts w:ascii="Times New Roman" w:eastAsia="Times New Roman" w:hAnsi="Times New Roman" w:cs="Times New Roman"/>
          <w:i/>
          <w:iCs/>
          <w:lang w:eastAsia="en-CA"/>
        </w:rPr>
        <w:t>different</w:t>
      </w:r>
      <w:r w:rsidRPr="007942B7">
        <w:rPr>
          <w:rFonts w:ascii="Times New Roman" w:eastAsia="Times New Roman" w:hAnsi="Times New Roman" w:cs="Times New Roman"/>
          <w:lang w:eastAsia="en-CA"/>
        </w:rPr>
        <w:t xml:space="preserve"> principle. The liberty principle suggests that the social contract should try to guarantee that all enjoy liberty without in any way limiting the freedom of others. The second idea from Rawls, that is, the </w:t>
      </w:r>
      <w:r w:rsidRPr="007942B7">
        <w:rPr>
          <w:rFonts w:ascii="Times New Roman" w:eastAsia="Times New Roman" w:hAnsi="Times New Roman" w:cs="Times New Roman"/>
          <w:i/>
          <w:iCs/>
          <w:lang w:eastAsia="en-CA"/>
        </w:rPr>
        <w:t>different</w:t>
      </w:r>
      <w:r w:rsidRPr="007942B7">
        <w:rPr>
          <w:rFonts w:ascii="Times New Roman" w:eastAsia="Times New Roman" w:hAnsi="Times New Roman" w:cs="Times New Roman"/>
          <w:lang w:eastAsia="en-CA"/>
        </w:rPr>
        <w:t xml:space="preserve"> principle, suggest that the social contract should ensure that all are entitled to an equivalent level of opportunity.</w:t>
      </w:r>
      <w:r w:rsidRPr="007942B7">
        <w:rPr>
          <w:rStyle w:val="FootnoteReference"/>
          <w:rFonts w:ascii="Times New Roman" w:eastAsia="Times New Roman" w:hAnsi="Times New Roman" w:cs="Times New Roman"/>
          <w:lang w:eastAsia="en-CA"/>
        </w:rPr>
        <w:footnoteReference w:id="264"/>
      </w:r>
    </w:p>
    <w:p w14:paraId="187FE9A5" w14:textId="77777777" w:rsidR="00B10FA3" w:rsidRPr="007942B7" w:rsidRDefault="00B10FA3" w:rsidP="007942B7">
      <w:pPr>
        <w:spacing w:line="480" w:lineRule="auto"/>
        <w:rPr>
          <w:rFonts w:ascii="Times New Roman" w:eastAsia="Times New Roman" w:hAnsi="Times New Roman" w:cs="Times New Roman"/>
          <w:lang w:eastAsia="en-CA"/>
        </w:rPr>
      </w:pPr>
      <w:r w:rsidRPr="007942B7">
        <w:rPr>
          <w:rFonts w:ascii="Times New Roman" w:eastAsia="Times New Roman" w:hAnsi="Times New Roman" w:cs="Times New Roman"/>
          <w:lang w:eastAsia="en-CA"/>
        </w:rPr>
        <w:t xml:space="preserve">     Thus, should there exist differences, whether they be economic, political, or social, that the society holds a debt of responsibility to assist those who are in greatest need. In any event, the positive features of freedom and involvement within the social contract should be universal. </w:t>
      </w:r>
    </w:p>
    <w:p w14:paraId="7E331BA1" w14:textId="77777777" w:rsidR="00B10FA3" w:rsidRPr="007942B7" w:rsidRDefault="00B10FA3" w:rsidP="007942B7">
      <w:pPr>
        <w:spacing w:line="480" w:lineRule="auto"/>
        <w:rPr>
          <w:rFonts w:ascii="Times New Roman" w:eastAsia="Times New Roman" w:hAnsi="Times New Roman" w:cs="Times New Roman"/>
          <w:lang w:eastAsia="en-CA"/>
        </w:rPr>
      </w:pPr>
      <w:r>
        <w:rPr>
          <w:rFonts w:ascii="Times New Roman" w:eastAsia="Times New Roman" w:hAnsi="Times New Roman" w:cs="Times New Roman"/>
          <w:lang w:eastAsia="en-CA"/>
        </w:rPr>
        <w:t xml:space="preserve">     </w:t>
      </w:r>
      <w:r w:rsidRPr="007942B7">
        <w:rPr>
          <w:rFonts w:ascii="Times New Roman" w:eastAsia="Times New Roman" w:hAnsi="Times New Roman" w:cs="Times New Roman"/>
          <w:lang w:eastAsia="en-CA"/>
        </w:rPr>
        <w:t xml:space="preserve">Therefore, according to roles, we have another location within society to tackle our rudimentary social and political issues through A veil of ignorance, while applying the principles of equality that might assist us in determining in what manner the mores of our social and economic structures should be determined. In summary, Rawls would argue, </w:t>
      </w:r>
      <w:r w:rsidRPr="007942B7">
        <w:rPr>
          <w:rFonts w:ascii="Times New Roman" w:eastAsia="Times New Roman" w:hAnsi="Times New Roman" w:cs="Times New Roman"/>
          <w:i/>
          <w:iCs/>
          <w:lang w:eastAsia="en-CA"/>
        </w:rPr>
        <w:t xml:space="preserve">nothing is </w:t>
      </w:r>
      <w:r w:rsidRPr="006466F3">
        <w:rPr>
          <w:rFonts w:ascii="Times New Roman" w:eastAsia="Times New Roman" w:hAnsi="Times New Roman" w:cs="Times New Roman"/>
          <w:i/>
          <w:iCs/>
          <w:u w:val="single"/>
          <w:lang w:eastAsia="en-CA"/>
        </w:rPr>
        <w:t>deserved</w:t>
      </w:r>
      <w:r w:rsidRPr="006466F3">
        <w:rPr>
          <w:rFonts w:ascii="Times New Roman" w:eastAsia="Times New Roman" w:hAnsi="Times New Roman" w:cs="Times New Roman"/>
          <w:u w:val="single"/>
          <w:lang w:eastAsia="en-CA"/>
        </w:rPr>
        <w:t>,</w:t>
      </w:r>
      <w:r w:rsidRPr="007942B7">
        <w:rPr>
          <w:rFonts w:ascii="Times New Roman" w:eastAsia="Times New Roman" w:hAnsi="Times New Roman" w:cs="Times New Roman"/>
          <w:lang w:eastAsia="en-CA"/>
        </w:rPr>
        <w:t xml:space="preserve"> and that </w:t>
      </w:r>
      <w:r w:rsidRPr="00510A57">
        <w:rPr>
          <w:rFonts w:ascii="Times New Roman" w:eastAsia="Times New Roman" w:hAnsi="Times New Roman" w:cs="Times New Roman"/>
          <w:i/>
          <w:iCs/>
          <w:lang w:eastAsia="en-CA"/>
        </w:rPr>
        <w:t xml:space="preserve">the ‘luck’ of natural talent or good fortune </w:t>
      </w:r>
      <w:r w:rsidRPr="006466F3">
        <w:rPr>
          <w:rFonts w:ascii="Times New Roman" w:eastAsia="Times New Roman" w:hAnsi="Times New Roman" w:cs="Times New Roman"/>
          <w:b/>
          <w:bCs/>
          <w:i/>
          <w:iCs/>
          <w:lang w:eastAsia="en-CA"/>
        </w:rPr>
        <w:t>counts for zero</w:t>
      </w:r>
      <w:r w:rsidRPr="007942B7">
        <w:rPr>
          <w:rFonts w:ascii="Times New Roman" w:eastAsia="Times New Roman" w:hAnsi="Times New Roman" w:cs="Times New Roman"/>
          <w:lang w:eastAsia="en-CA"/>
        </w:rPr>
        <w:t>; his conception of relationships within the social contract guarantees, in fact, a just society.</w:t>
      </w:r>
      <w:r w:rsidRPr="007942B7">
        <w:rPr>
          <w:rStyle w:val="FootnoteReference"/>
          <w:rFonts w:ascii="Times New Roman" w:eastAsia="Times New Roman" w:hAnsi="Times New Roman" w:cs="Times New Roman"/>
          <w:lang w:eastAsia="en-CA"/>
        </w:rPr>
        <w:footnoteReference w:id="265"/>
      </w:r>
    </w:p>
    <w:p w14:paraId="09B7F4A4" w14:textId="77777777" w:rsidR="00B10FA3" w:rsidRPr="007942B7" w:rsidRDefault="00B10FA3" w:rsidP="007942B7">
      <w:pPr>
        <w:spacing w:line="480" w:lineRule="auto"/>
        <w:rPr>
          <w:rFonts w:ascii="Times New Roman" w:eastAsia="Times New Roman" w:hAnsi="Times New Roman" w:cs="Times New Roman"/>
          <w:lang w:eastAsia="en-CA"/>
        </w:rPr>
      </w:pPr>
      <w:r w:rsidRPr="007942B7">
        <w:rPr>
          <w:rFonts w:ascii="Times New Roman" w:eastAsia="Times New Roman" w:hAnsi="Times New Roman" w:cs="Times New Roman"/>
          <w:lang w:eastAsia="en-CA"/>
        </w:rPr>
        <w:lastRenderedPageBreak/>
        <w:t xml:space="preserve">     Contemporary liberal theory is unclear about many issues, ranging from the “woke” phenomenon, to the ever-changing LGBTQ semantics and terminologies. Some argue that Rawl’s conceptions of liberalism fail to respect freedom in the moral sphere but, they do hold to a moral autonomy the is pluralistic, </w:t>
      </w:r>
      <w:r w:rsidRPr="007942B7">
        <w:rPr>
          <w:rFonts w:ascii="Times New Roman" w:eastAsia="Times New Roman" w:hAnsi="Times New Roman" w:cs="Times New Roman"/>
          <w:i/>
          <w:iCs/>
          <w:lang w:eastAsia="en-CA"/>
        </w:rPr>
        <w:t>and</w:t>
      </w:r>
      <w:r w:rsidRPr="007942B7">
        <w:rPr>
          <w:rFonts w:ascii="Times New Roman" w:eastAsia="Times New Roman" w:hAnsi="Times New Roman" w:cs="Times New Roman"/>
          <w:lang w:eastAsia="en-CA"/>
        </w:rPr>
        <w:t xml:space="preserve"> which individuals can revise conceptions of what is good. This may fly in the face of the religious right wing, which tends to oppose the moral autonomy of the individual.</w:t>
      </w:r>
      <w:r w:rsidRPr="007942B7">
        <w:rPr>
          <w:rStyle w:val="FootnoteReference"/>
          <w:rFonts w:ascii="Times New Roman" w:eastAsia="Times New Roman" w:hAnsi="Times New Roman" w:cs="Times New Roman"/>
          <w:lang w:eastAsia="en-CA"/>
        </w:rPr>
        <w:footnoteReference w:id="266"/>
      </w:r>
    </w:p>
    <w:p w14:paraId="7B6E987F" w14:textId="26B6ADA3" w:rsidR="00B10FA3" w:rsidRPr="007942B7" w:rsidRDefault="00B10FA3" w:rsidP="007942B7">
      <w:pPr>
        <w:spacing w:line="480" w:lineRule="auto"/>
        <w:rPr>
          <w:rFonts w:ascii="Times New Roman" w:eastAsia="Times New Roman" w:hAnsi="Times New Roman" w:cs="Times New Roman"/>
          <w:lang w:eastAsia="en-CA"/>
        </w:rPr>
      </w:pPr>
      <w:r w:rsidRPr="007942B7">
        <w:rPr>
          <w:rFonts w:ascii="Times New Roman" w:eastAsia="Times New Roman" w:hAnsi="Times New Roman" w:cs="Times New Roman"/>
          <w:lang w:eastAsia="en-CA"/>
        </w:rPr>
        <w:t xml:space="preserve">     Rawl’s theories might not be interpreted as egalitarian, as the crux of his thesis is the uncertainty of the individual, as they experience their (random) position in society. The “Veil of </w:t>
      </w:r>
      <w:r w:rsidR="00DD4B1E">
        <w:rPr>
          <w:rFonts w:ascii="Times New Roman" w:eastAsia="Times New Roman" w:hAnsi="Times New Roman" w:cs="Times New Roman"/>
          <w:lang w:eastAsia="en-CA"/>
        </w:rPr>
        <w:t xml:space="preserve"> </w:t>
      </w:r>
      <w:r w:rsidRPr="007942B7">
        <w:rPr>
          <w:rFonts w:ascii="Times New Roman" w:eastAsia="Times New Roman" w:hAnsi="Times New Roman" w:cs="Times New Roman"/>
          <w:lang w:eastAsia="en-CA"/>
        </w:rPr>
        <w:t xml:space="preserve">Ignorance” tends, in the main, towards risk averse decision making. </w:t>
      </w:r>
      <w:r w:rsidRPr="00510A57">
        <w:rPr>
          <w:rFonts w:ascii="Times New Roman" w:eastAsia="Times New Roman" w:hAnsi="Times New Roman" w:cs="Times New Roman"/>
          <w:i/>
          <w:iCs/>
          <w:lang w:eastAsia="en-CA"/>
        </w:rPr>
        <w:t>Natural talent is only a function of luck, and should not be rewarded – except in one sense: “luck can be taxed</w:t>
      </w:r>
      <w:r w:rsidRPr="007942B7">
        <w:rPr>
          <w:rFonts w:ascii="Times New Roman" w:eastAsia="Times New Roman" w:hAnsi="Times New Roman" w:cs="Times New Roman"/>
          <w:lang w:eastAsia="en-CA"/>
        </w:rPr>
        <w:t>.”</w:t>
      </w:r>
      <w:r w:rsidRPr="007942B7">
        <w:rPr>
          <w:rStyle w:val="FootnoteReference"/>
          <w:rFonts w:ascii="Times New Roman" w:eastAsia="Times New Roman" w:hAnsi="Times New Roman" w:cs="Times New Roman"/>
          <w:lang w:eastAsia="en-CA"/>
        </w:rPr>
        <w:footnoteReference w:id="267"/>
      </w:r>
    </w:p>
    <w:p w14:paraId="5CDD4954" w14:textId="77777777" w:rsidR="00B10FA3" w:rsidRPr="007942B7" w:rsidRDefault="00B10FA3" w:rsidP="007942B7">
      <w:pPr>
        <w:spacing w:line="480" w:lineRule="auto"/>
        <w:rPr>
          <w:rFonts w:ascii="Times New Roman" w:eastAsia="Times New Roman" w:hAnsi="Times New Roman" w:cs="Times New Roman"/>
          <w:lang w:eastAsia="en-CA"/>
        </w:rPr>
      </w:pPr>
      <w:r w:rsidRPr="007942B7">
        <w:rPr>
          <w:rFonts w:ascii="Times New Roman" w:eastAsia="Times New Roman" w:hAnsi="Times New Roman" w:cs="Times New Roman"/>
          <w:lang w:eastAsia="en-CA"/>
        </w:rPr>
        <w:t xml:space="preserve">     Rawls supported the concept of helping the poorest and least advantaged portions of the population – as a moral principle. Early liberals, such as Jeremy Bentham and John Stuart Mill arrived at a different vantage point: to them, the </w:t>
      </w:r>
      <w:r w:rsidRPr="007942B7">
        <w:rPr>
          <w:rFonts w:ascii="Times New Roman" w:eastAsia="Times New Roman" w:hAnsi="Times New Roman" w:cs="Times New Roman"/>
          <w:i/>
          <w:iCs/>
          <w:lang w:eastAsia="en-CA"/>
        </w:rPr>
        <w:t>poor person would</w:t>
      </w:r>
      <w:r w:rsidRPr="007942B7">
        <w:rPr>
          <w:rFonts w:ascii="Times New Roman" w:eastAsia="Times New Roman" w:hAnsi="Times New Roman" w:cs="Times New Roman"/>
          <w:lang w:eastAsia="en-CA"/>
        </w:rPr>
        <w:t xml:space="preserve"> </w:t>
      </w:r>
      <w:r w:rsidRPr="007942B7">
        <w:rPr>
          <w:rFonts w:ascii="Times New Roman" w:eastAsia="Times New Roman" w:hAnsi="Times New Roman" w:cs="Times New Roman"/>
          <w:i/>
          <w:iCs/>
          <w:lang w:eastAsia="en-CA"/>
        </w:rPr>
        <w:t xml:space="preserve">gain more </w:t>
      </w:r>
      <w:r w:rsidRPr="006466F3">
        <w:rPr>
          <w:rFonts w:ascii="Times New Roman" w:eastAsia="Times New Roman" w:hAnsi="Times New Roman" w:cs="Times New Roman"/>
          <w:i/>
          <w:iCs/>
          <w:u w:val="single"/>
          <w:lang w:eastAsia="en-CA"/>
        </w:rPr>
        <w:t xml:space="preserve">utility </w:t>
      </w:r>
      <w:r w:rsidRPr="007942B7">
        <w:rPr>
          <w:rFonts w:ascii="Times New Roman" w:eastAsia="Times New Roman" w:hAnsi="Times New Roman" w:cs="Times New Roman"/>
          <w:i/>
          <w:iCs/>
          <w:lang w:eastAsia="en-CA"/>
        </w:rPr>
        <w:t xml:space="preserve">through public aid than the rich man would lose </w:t>
      </w:r>
      <w:r w:rsidRPr="007942B7">
        <w:rPr>
          <w:rFonts w:ascii="Times New Roman" w:eastAsia="Times New Roman" w:hAnsi="Times New Roman" w:cs="Times New Roman"/>
          <w:lang w:eastAsia="en-CA"/>
        </w:rPr>
        <w:t xml:space="preserve">from providing that aid. Add to that logic that many, if not most individuals in a capitalist culture benefit from the wealth of the previous generation; that their work within their own lifetime is not really the determinant of their economic status.  </w:t>
      </w:r>
    </w:p>
    <w:p w14:paraId="30530BD6" w14:textId="77777777" w:rsidR="00B10FA3" w:rsidRPr="007942B7" w:rsidRDefault="00B10FA3" w:rsidP="007942B7">
      <w:pPr>
        <w:spacing w:line="480" w:lineRule="auto"/>
        <w:rPr>
          <w:rFonts w:ascii="Times New Roman" w:eastAsia="Times New Roman" w:hAnsi="Times New Roman" w:cs="Times New Roman"/>
          <w:lang w:eastAsia="en-CA"/>
        </w:rPr>
      </w:pPr>
      <w:r w:rsidRPr="007942B7">
        <w:rPr>
          <w:rFonts w:ascii="Times New Roman" w:eastAsia="Times New Roman" w:hAnsi="Times New Roman" w:cs="Times New Roman"/>
          <w:lang w:eastAsia="en-CA"/>
        </w:rPr>
        <w:lastRenderedPageBreak/>
        <w:t xml:space="preserve">     Inequality is passed on from generation to generation, and, over time, the connection between the earner and the earned becomes more and more vague.  Here is a summary of wealth transmission in modern America: </w:t>
      </w:r>
    </w:p>
    <w:p w14:paraId="7CF9CEEE" w14:textId="77777777" w:rsidR="00B10FA3" w:rsidRPr="007942B7" w:rsidRDefault="00B10FA3" w:rsidP="007942B7">
      <w:pPr>
        <w:pStyle w:val="NormalWeb"/>
        <w:spacing w:line="480" w:lineRule="auto"/>
        <w:ind w:left="397" w:right="397"/>
      </w:pPr>
      <w:r w:rsidRPr="007942B7">
        <w:t>(The) Bank of America surveyed over 1,000 individuals who held over $3 million in investable assets. The report showed that almost 70% of wealthy individuals are over 56 -- either baby boomers or the silent generation. Younger generations are less likely to be self made as they haven't had time to build wealth in their own rights. </w:t>
      </w:r>
    </w:p>
    <w:p w14:paraId="16847786" w14:textId="77777777" w:rsidR="00B10FA3" w:rsidRPr="007942B7" w:rsidRDefault="00B10FA3" w:rsidP="007942B7">
      <w:pPr>
        <w:pStyle w:val="NormalWeb"/>
        <w:spacing w:line="480" w:lineRule="auto"/>
      </w:pPr>
      <w:r w:rsidRPr="007942B7">
        <w:t>According to data:</w:t>
      </w:r>
    </w:p>
    <w:p w14:paraId="72EA1B48" w14:textId="1A3366AA" w:rsidR="00B10FA3" w:rsidRPr="009051ED" w:rsidRDefault="00B10FA3" w:rsidP="00B10FA3">
      <w:pPr>
        <w:numPr>
          <w:ilvl w:val="0"/>
          <w:numId w:val="3"/>
        </w:numPr>
        <w:spacing w:before="100" w:beforeAutospacing="1" w:after="100" w:afterAutospacing="1" w:line="480" w:lineRule="auto"/>
        <w:rPr>
          <w:rFonts w:ascii="Times New Roman" w:hAnsi="Times New Roman" w:cs="Times New Roman"/>
        </w:rPr>
      </w:pPr>
      <w:r w:rsidRPr="009051ED">
        <w:rPr>
          <w:rFonts w:ascii="Times New Roman" w:hAnsi="Times New Roman" w:cs="Times New Roman"/>
          <w:b/>
          <w:bCs/>
        </w:rPr>
        <w:t>27% of the ultra</w:t>
      </w:r>
      <w:r w:rsidR="009051ED" w:rsidRPr="009051ED">
        <w:rPr>
          <w:rFonts w:ascii="Times New Roman" w:hAnsi="Times New Roman" w:cs="Times New Roman"/>
          <w:b/>
          <w:bCs/>
        </w:rPr>
        <w:t>-</w:t>
      </w:r>
      <w:r w:rsidRPr="009051ED">
        <w:rPr>
          <w:rFonts w:ascii="Times New Roman" w:hAnsi="Times New Roman" w:cs="Times New Roman"/>
          <w:b/>
          <w:bCs/>
        </w:rPr>
        <w:t>wealthy are self</w:t>
      </w:r>
      <w:r w:rsidR="009051ED" w:rsidRPr="009051ED">
        <w:rPr>
          <w:rFonts w:ascii="Times New Roman" w:hAnsi="Times New Roman" w:cs="Times New Roman"/>
          <w:b/>
          <w:bCs/>
        </w:rPr>
        <w:t>-</w:t>
      </w:r>
      <w:r w:rsidRPr="009051ED">
        <w:rPr>
          <w:rFonts w:ascii="Times New Roman" w:hAnsi="Times New Roman" w:cs="Times New Roman"/>
          <w:b/>
          <w:bCs/>
        </w:rPr>
        <w:t>made:</w:t>
      </w:r>
      <w:r w:rsidRPr="009051ED">
        <w:rPr>
          <w:rFonts w:ascii="Times New Roman" w:hAnsi="Times New Roman" w:cs="Times New Roman"/>
        </w:rPr>
        <w:t xml:space="preserve"> It defines them as people with a "middle-class or poor upbringing and no inheritance."</w:t>
      </w:r>
    </w:p>
    <w:p w14:paraId="1A257D90" w14:textId="4519B2A1" w:rsidR="00B10FA3" w:rsidRPr="009051ED" w:rsidRDefault="00B10FA3" w:rsidP="00B10FA3">
      <w:pPr>
        <w:pStyle w:val="ListParagraph"/>
        <w:numPr>
          <w:ilvl w:val="0"/>
          <w:numId w:val="4"/>
        </w:numPr>
        <w:spacing w:before="100" w:beforeAutospacing="1" w:after="100" w:afterAutospacing="1" w:line="480" w:lineRule="auto"/>
        <w:rPr>
          <w:rFonts w:ascii="Times New Roman" w:hAnsi="Times New Roman" w:cs="Times New Roman"/>
        </w:rPr>
      </w:pPr>
      <w:r w:rsidRPr="009051ED">
        <w:rPr>
          <w:rFonts w:ascii="Times New Roman" w:hAnsi="Times New Roman" w:cs="Times New Roman"/>
          <w:b/>
          <w:bCs/>
        </w:rPr>
        <w:t>46% have a head start:</w:t>
      </w:r>
      <w:r w:rsidRPr="009051ED">
        <w:rPr>
          <w:rFonts w:ascii="Times New Roman" w:hAnsi="Times New Roman" w:cs="Times New Roman"/>
        </w:rPr>
        <w:t xml:space="preserve"> Almost half the super</w:t>
      </w:r>
      <w:r w:rsidR="009051ED" w:rsidRPr="009051ED">
        <w:rPr>
          <w:rFonts w:ascii="Times New Roman" w:hAnsi="Times New Roman" w:cs="Times New Roman"/>
        </w:rPr>
        <w:t>-</w:t>
      </w:r>
      <w:r w:rsidRPr="009051ED">
        <w:rPr>
          <w:rFonts w:ascii="Times New Roman" w:hAnsi="Times New Roman" w:cs="Times New Roman"/>
        </w:rPr>
        <w:t>rich people surveyed either had some inherited wealth or an affluent upbringing.</w:t>
      </w:r>
    </w:p>
    <w:p w14:paraId="2B4EC013" w14:textId="77777777" w:rsidR="00B10FA3" w:rsidRPr="009051ED" w:rsidRDefault="00B10FA3" w:rsidP="00B10FA3">
      <w:pPr>
        <w:numPr>
          <w:ilvl w:val="0"/>
          <w:numId w:val="3"/>
        </w:numPr>
        <w:spacing w:before="100" w:beforeAutospacing="1" w:after="100" w:afterAutospacing="1" w:line="480" w:lineRule="auto"/>
        <w:rPr>
          <w:rFonts w:ascii="Times New Roman" w:hAnsi="Times New Roman" w:cs="Times New Roman"/>
        </w:rPr>
      </w:pPr>
      <w:r w:rsidRPr="009051ED">
        <w:rPr>
          <w:rFonts w:ascii="Times New Roman" w:hAnsi="Times New Roman" w:cs="Times New Roman"/>
          <w:b/>
          <w:bCs/>
        </w:rPr>
        <w:t>28% have legacy wealth:</w:t>
      </w:r>
      <w:r w:rsidRPr="009051ED">
        <w:rPr>
          <w:rFonts w:ascii="Times New Roman" w:hAnsi="Times New Roman" w:cs="Times New Roman"/>
        </w:rPr>
        <w:t xml:space="preserve"> People with both an affluent background and inherited money.</w:t>
      </w:r>
      <w:r w:rsidRPr="009051ED">
        <w:rPr>
          <w:rStyle w:val="FootnoteReference"/>
          <w:rFonts w:ascii="Times New Roman" w:hAnsi="Times New Roman" w:cs="Times New Roman"/>
        </w:rPr>
        <w:footnoteReference w:id="268"/>
      </w:r>
    </w:p>
    <w:p w14:paraId="072B6CAD" w14:textId="77777777" w:rsidR="00B10FA3" w:rsidRPr="007942B7" w:rsidRDefault="00B10FA3" w:rsidP="007942B7">
      <w:pPr>
        <w:pStyle w:val="NormalWeb"/>
        <w:spacing w:line="480" w:lineRule="auto"/>
      </w:pPr>
    </w:p>
    <w:p w14:paraId="27F4DF2C" w14:textId="77777777" w:rsidR="00B10FA3" w:rsidRPr="007942B7" w:rsidRDefault="00B10FA3" w:rsidP="007942B7">
      <w:pPr>
        <w:pStyle w:val="NormalWeb"/>
        <w:spacing w:line="480" w:lineRule="auto"/>
      </w:pPr>
      <w:r w:rsidRPr="007942B7">
        <w:t xml:space="preserve">       The numbers above are quite revealing, especially when contrasted with the prevalent mythologies of ‘hard work,’ ‘individualism,’ and ‘responsibility’ that continue to dominate American popular rhetoric in the political realm.</w:t>
      </w:r>
    </w:p>
    <w:p w14:paraId="1F53A343" w14:textId="77777777" w:rsidR="00510A57" w:rsidRDefault="00510A57" w:rsidP="007942B7">
      <w:pPr>
        <w:spacing w:line="480" w:lineRule="auto"/>
        <w:rPr>
          <w:rFonts w:ascii="Times New Roman" w:eastAsia="Times New Roman" w:hAnsi="Times New Roman" w:cs="Times New Roman"/>
          <w:b/>
          <w:bCs/>
          <w:lang w:eastAsia="en-CA"/>
        </w:rPr>
      </w:pPr>
    </w:p>
    <w:p w14:paraId="48593DC5" w14:textId="77777777" w:rsidR="00510A57" w:rsidRDefault="00510A57" w:rsidP="007942B7">
      <w:pPr>
        <w:spacing w:line="480" w:lineRule="auto"/>
        <w:rPr>
          <w:rFonts w:ascii="Times New Roman" w:eastAsia="Times New Roman" w:hAnsi="Times New Roman" w:cs="Times New Roman"/>
          <w:b/>
          <w:bCs/>
          <w:lang w:eastAsia="en-CA"/>
        </w:rPr>
      </w:pPr>
    </w:p>
    <w:p w14:paraId="782268E8" w14:textId="66AAFA82" w:rsidR="00B10FA3" w:rsidRPr="00510A57" w:rsidRDefault="00B10FA3" w:rsidP="007942B7">
      <w:pPr>
        <w:spacing w:line="480" w:lineRule="auto"/>
        <w:rPr>
          <w:rFonts w:ascii="Times New Roman" w:eastAsia="Times New Roman" w:hAnsi="Times New Roman" w:cs="Times New Roman"/>
          <w:b/>
          <w:bCs/>
          <w:i/>
          <w:iCs/>
          <w:lang w:eastAsia="en-CA"/>
        </w:rPr>
      </w:pPr>
      <w:r w:rsidRPr="00510A57">
        <w:rPr>
          <w:rFonts w:ascii="Times New Roman" w:eastAsia="Times New Roman" w:hAnsi="Times New Roman" w:cs="Times New Roman"/>
          <w:b/>
          <w:bCs/>
          <w:i/>
          <w:iCs/>
          <w:lang w:eastAsia="en-CA"/>
        </w:rPr>
        <w:t>The Prosperity Gospel</w:t>
      </w:r>
    </w:p>
    <w:p w14:paraId="5B1F88E3" w14:textId="77777777" w:rsidR="00B10FA3" w:rsidRPr="007942B7" w:rsidRDefault="00B10FA3" w:rsidP="007942B7">
      <w:pPr>
        <w:spacing w:line="480" w:lineRule="auto"/>
        <w:rPr>
          <w:rFonts w:ascii="Times New Roman" w:eastAsia="Times New Roman" w:hAnsi="Times New Roman" w:cs="Times New Roman"/>
          <w:lang w:eastAsia="en-CA"/>
        </w:rPr>
      </w:pPr>
      <w:r w:rsidRPr="007942B7">
        <w:rPr>
          <w:rFonts w:ascii="Times New Roman" w:eastAsia="Times New Roman" w:hAnsi="Times New Roman" w:cs="Times New Roman"/>
          <w:lang w:eastAsia="en-CA"/>
        </w:rPr>
        <w:t xml:space="preserve">     Today, the “</w:t>
      </w:r>
      <w:r w:rsidRPr="007942B7">
        <w:rPr>
          <w:rFonts w:ascii="Times New Roman" w:eastAsia="Times New Roman" w:hAnsi="Times New Roman" w:cs="Times New Roman"/>
          <w:i/>
          <w:iCs/>
          <w:lang w:eastAsia="en-CA"/>
        </w:rPr>
        <w:t>prosperity gospel</w:t>
      </w:r>
      <w:r w:rsidRPr="007942B7">
        <w:rPr>
          <w:rFonts w:ascii="Times New Roman" w:eastAsia="Times New Roman" w:hAnsi="Times New Roman" w:cs="Times New Roman"/>
          <w:lang w:eastAsia="en-CA"/>
        </w:rPr>
        <w:t xml:space="preserve">” prevails </w:t>
      </w:r>
      <w:r>
        <w:rPr>
          <w:rFonts w:ascii="Times New Roman" w:eastAsia="Times New Roman" w:hAnsi="Times New Roman" w:cs="Times New Roman"/>
          <w:lang w:eastAsia="en-CA"/>
        </w:rPr>
        <w:t xml:space="preserve">today </w:t>
      </w:r>
      <w:r w:rsidRPr="007942B7">
        <w:rPr>
          <w:rFonts w:ascii="Times New Roman" w:eastAsia="Times New Roman" w:hAnsi="Times New Roman" w:cs="Times New Roman"/>
          <w:lang w:eastAsia="en-CA"/>
        </w:rPr>
        <w:t xml:space="preserve">in some conservative quarters. The basic idea behind this newfangled </w:t>
      </w:r>
      <w:r>
        <w:rPr>
          <w:rFonts w:ascii="Times New Roman" w:eastAsia="Times New Roman" w:hAnsi="Times New Roman" w:cs="Times New Roman"/>
          <w:lang w:eastAsia="en-CA"/>
        </w:rPr>
        <w:t>re-</w:t>
      </w:r>
      <w:r w:rsidRPr="007942B7">
        <w:rPr>
          <w:rFonts w:ascii="Times New Roman" w:eastAsia="Times New Roman" w:hAnsi="Times New Roman" w:cs="Times New Roman"/>
          <w:lang w:eastAsia="en-CA"/>
        </w:rPr>
        <w:t xml:space="preserve">working of classical liberalism is that wealth is </w:t>
      </w:r>
      <w:r w:rsidRPr="0054355A">
        <w:rPr>
          <w:rFonts w:ascii="Times New Roman" w:eastAsia="Times New Roman" w:hAnsi="Times New Roman" w:cs="Times New Roman"/>
          <w:i/>
          <w:iCs/>
          <w:lang w:eastAsia="en-CA"/>
        </w:rPr>
        <w:t>deserved</w:t>
      </w:r>
      <w:r w:rsidRPr="007942B7">
        <w:rPr>
          <w:rFonts w:ascii="Times New Roman" w:eastAsia="Times New Roman" w:hAnsi="Times New Roman" w:cs="Times New Roman"/>
          <w:lang w:eastAsia="en-CA"/>
        </w:rPr>
        <w:t xml:space="preserve">, and those who have deserve what they have, and their status is sanctioned from above.  </w:t>
      </w:r>
    </w:p>
    <w:p w14:paraId="63D34900" w14:textId="77777777" w:rsidR="00B10FA3" w:rsidRPr="007942B7" w:rsidRDefault="00B10FA3" w:rsidP="007942B7">
      <w:pPr>
        <w:spacing w:line="480" w:lineRule="auto"/>
        <w:rPr>
          <w:rFonts w:ascii="Times New Roman" w:eastAsia="Times New Roman" w:hAnsi="Times New Roman" w:cs="Times New Roman"/>
          <w:lang w:eastAsia="en-CA"/>
        </w:rPr>
      </w:pPr>
      <w:r w:rsidRPr="007942B7">
        <w:rPr>
          <w:rFonts w:ascii="Times New Roman" w:eastAsia="Times New Roman" w:hAnsi="Times New Roman" w:cs="Times New Roman"/>
          <w:lang w:eastAsia="en-CA"/>
        </w:rPr>
        <w:t xml:space="preserve">     A variation of this new theology is that one who ‘plants a seed’ within his or her congregation of belief will reap benefits in the future. To no surprise, the ‘benefits’ referred to are not enlightened or ethereal; no, they are the mundanity of cash, status and materialism, once the antitheses of organized religion.</w:t>
      </w:r>
    </w:p>
    <w:p w14:paraId="3BA46B5A" w14:textId="77777777" w:rsidR="00B10FA3" w:rsidRPr="007942B7" w:rsidRDefault="00B10FA3" w:rsidP="007942B7">
      <w:pPr>
        <w:spacing w:line="480" w:lineRule="auto"/>
        <w:rPr>
          <w:rFonts w:ascii="Times New Roman" w:eastAsia="Times New Roman" w:hAnsi="Times New Roman" w:cs="Times New Roman"/>
          <w:lang w:eastAsia="en-CA"/>
        </w:rPr>
      </w:pPr>
      <w:r w:rsidRPr="007942B7">
        <w:rPr>
          <w:rFonts w:ascii="Times New Roman" w:eastAsia="Times New Roman" w:hAnsi="Times New Roman" w:cs="Times New Roman"/>
          <w:lang w:eastAsia="en-CA"/>
        </w:rPr>
        <w:t xml:space="preserve">     This ideology is not without its precedents: In the late 19</w:t>
      </w:r>
      <w:r w:rsidRPr="007942B7">
        <w:rPr>
          <w:rFonts w:ascii="Times New Roman" w:eastAsia="Times New Roman" w:hAnsi="Times New Roman" w:cs="Times New Roman"/>
          <w:vertAlign w:val="superscript"/>
          <w:lang w:eastAsia="en-CA"/>
        </w:rPr>
        <w:t>th</w:t>
      </w:r>
      <w:r w:rsidRPr="007942B7">
        <w:rPr>
          <w:rFonts w:ascii="Times New Roman" w:eastAsia="Times New Roman" w:hAnsi="Times New Roman" w:cs="Times New Roman"/>
          <w:lang w:eastAsia="en-CA"/>
        </w:rPr>
        <w:t xml:space="preserve"> century, during a period of heightened antisemitism, racism and colonialism, there was, in the US, a movement that cobbled capitalist success with moral freedom. Boosted by the theories of Jeremy Bentham, economic prosperity became, by the latter part of the 19th century, associated with pleasure.</w:t>
      </w:r>
      <w:r w:rsidRPr="007942B7">
        <w:rPr>
          <w:rStyle w:val="FootnoteReference"/>
          <w:rFonts w:ascii="Times New Roman" w:eastAsia="Times New Roman" w:hAnsi="Times New Roman" w:cs="Times New Roman"/>
          <w:lang w:eastAsia="en-CA"/>
        </w:rPr>
        <w:footnoteReference w:id="269"/>
      </w:r>
      <w:r w:rsidRPr="007942B7">
        <w:rPr>
          <w:rFonts w:ascii="Times New Roman" w:eastAsia="Times New Roman" w:hAnsi="Times New Roman" w:cs="Times New Roman"/>
          <w:lang w:eastAsia="en-CA"/>
        </w:rPr>
        <w:t>The tropes and symbols of the movement, unlike the Prosperity Gospel, were secular and material, but their goals bore the same lust for material gain.</w:t>
      </w:r>
    </w:p>
    <w:p w14:paraId="2DB73A2E" w14:textId="215AF500" w:rsidR="00B10FA3" w:rsidRPr="007942B7" w:rsidRDefault="00B10FA3" w:rsidP="007942B7">
      <w:pPr>
        <w:spacing w:line="480" w:lineRule="auto"/>
        <w:rPr>
          <w:rFonts w:ascii="Times New Roman" w:eastAsia="Times New Roman" w:hAnsi="Times New Roman" w:cs="Times New Roman"/>
          <w:lang w:eastAsia="en-CA"/>
        </w:rPr>
      </w:pPr>
      <w:r w:rsidRPr="007942B7">
        <w:rPr>
          <w:rFonts w:ascii="Times New Roman" w:eastAsia="Times New Roman" w:hAnsi="Times New Roman" w:cs="Times New Roman"/>
          <w:lang w:eastAsia="en-CA"/>
        </w:rPr>
        <w:t xml:space="preserve">     Looking back to the 19</w:t>
      </w:r>
      <w:r w:rsidRPr="007942B7">
        <w:rPr>
          <w:rFonts w:ascii="Times New Roman" w:eastAsia="Times New Roman" w:hAnsi="Times New Roman" w:cs="Times New Roman"/>
          <w:vertAlign w:val="superscript"/>
          <w:lang w:eastAsia="en-CA"/>
        </w:rPr>
        <w:t>th</w:t>
      </w:r>
      <w:r w:rsidRPr="007942B7">
        <w:rPr>
          <w:rFonts w:ascii="Times New Roman" w:eastAsia="Times New Roman" w:hAnsi="Times New Roman" w:cs="Times New Roman"/>
          <w:lang w:eastAsia="en-CA"/>
        </w:rPr>
        <w:t xml:space="preserve"> century, we can see that none other than John Calhoun, a strict theorist of racial separatism, disavowed the natural rights philosophy of Jefferson and Madison, as his views of men were tempered by race. Calhoun was a great theorist of both the defense of slavery and for the sanctity of states’ rights. Mankind desired both liberty and freedom, but, in Calhoun</w:t>
      </w:r>
      <w:r w:rsidR="009051ED">
        <w:rPr>
          <w:rFonts w:ascii="Times New Roman" w:eastAsia="Times New Roman" w:hAnsi="Times New Roman" w:cs="Times New Roman"/>
          <w:lang w:eastAsia="en-CA"/>
        </w:rPr>
        <w:t>’</w:t>
      </w:r>
      <w:r w:rsidRPr="007942B7">
        <w:rPr>
          <w:rFonts w:ascii="Times New Roman" w:eastAsia="Times New Roman" w:hAnsi="Times New Roman" w:cs="Times New Roman"/>
          <w:lang w:eastAsia="en-CA"/>
        </w:rPr>
        <w:t xml:space="preserve">s worldview, the latter was of significantly more importance. Nor did he endorse a philosophy of equality; people everywhere, he stated, were born subject to authority, whether it be to parents or to the law and society. As such, he dismissed the natural </w:t>
      </w:r>
      <w:r w:rsidRPr="007942B7">
        <w:rPr>
          <w:rFonts w:ascii="Times New Roman" w:eastAsia="Times New Roman" w:hAnsi="Times New Roman" w:cs="Times New Roman"/>
          <w:lang w:eastAsia="en-CA"/>
        </w:rPr>
        <w:lastRenderedPageBreak/>
        <w:t>rights philosophy of John Locke, arguing that no ‘state of nature’ had ever existed for mankind to graduate from, by contract, into a modern society of rights and law. Freedom was not a natural right, but, rather, a social reward. Predating Marx by some decades, Calhoun shared assumptions of class conflict, though his means of preventing social chaos led him to radically different conclusions.</w:t>
      </w:r>
      <w:r w:rsidRPr="007942B7">
        <w:rPr>
          <w:rStyle w:val="FootnoteReference"/>
          <w:rFonts w:ascii="Times New Roman" w:eastAsia="Times New Roman" w:hAnsi="Times New Roman" w:cs="Times New Roman"/>
          <w:lang w:eastAsia="en-CA"/>
        </w:rPr>
        <w:footnoteReference w:id="270"/>
      </w:r>
    </w:p>
    <w:p w14:paraId="50785FA9" w14:textId="22A381AA" w:rsidR="00B10FA3" w:rsidRPr="007942B7" w:rsidRDefault="00B10FA3" w:rsidP="007942B7">
      <w:pPr>
        <w:spacing w:line="480" w:lineRule="auto"/>
        <w:rPr>
          <w:rFonts w:ascii="Times New Roman" w:eastAsia="Times New Roman" w:hAnsi="Times New Roman" w:cs="Times New Roman"/>
          <w:lang w:eastAsia="en-CA"/>
        </w:rPr>
      </w:pPr>
      <w:r w:rsidRPr="007942B7">
        <w:rPr>
          <w:rFonts w:ascii="Times New Roman" w:eastAsia="Times New Roman" w:hAnsi="Times New Roman" w:cs="Times New Roman"/>
          <w:lang w:eastAsia="en-CA"/>
        </w:rPr>
        <w:t xml:space="preserve">     Ironically, Charles Darwin, in the </w:t>
      </w:r>
      <w:r w:rsidRPr="007942B7">
        <w:rPr>
          <w:rFonts w:ascii="Times New Roman" w:eastAsia="Times New Roman" w:hAnsi="Times New Roman" w:cs="Times New Roman"/>
          <w:i/>
          <w:iCs/>
          <w:lang w:eastAsia="en-CA"/>
        </w:rPr>
        <w:t>Origin of the Species</w:t>
      </w:r>
      <w:r w:rsidRPr="007942B7">
        <w:rPr>
          <w:rFonts w:ascii="Times New Roman" w:eastAsia="Times New Roman" w:hAnsi="Times New Roman" w:cs="Times New Roman"/>
          <w:lang w:eastAsia="en-CA"/>
        </w:rPr>
        <w:t>, in 1859, promoted the idea of natural biological selection, leading to some retrograde conceptions as the 20</w:t>
      </w:r>
      <w:r w:rsidRPr="007942B7">
        <w:rPr>
          <w:rFonts w:ascii="Times New Roman" w:eastAsia="Times New Roman" w:hAnsi="Times New Roman" w:cs="Times New Roman"/>
          <w:vertAlign w:val="superscript"/>
          <w:lang w:eastAsia="en-CA"/>
        </w:rPr>
        <w:t>th</w:t>
      </w:r>
      <w:r w:rsidRPr="007942B7">
        <w:rPr>
          <w:rFonts w:ascii="Times New Roman" w:eastAsia="Times New Roman" w:hAnsi="Times New Roman" w:cs="Times New Roman"/>
          <w:lang w:eastAsia="en-CA"/>
        </w:rPr>
        <w:t xml:space="preserve"> century approached. The subsequent, late 19</w:t>
      </w:r>
      <w:r w:rsidRPr="007942B7">
        <w:rPr>
          <w:rFonts w:ascii="Times New Roman" w:eastAsia="Times New Roman" w:hAnsi="Times New Roman" w:cs="Times New Roman"/>
          <w:vertAlign w:val="superscript"/>
          <w:lang w:eastAsia="en-CA"/>
        </w:rPr>
        <w:t>th</w:t>
      </w:r>
      <w:r w:rsidRPr="007942B7">
        <w:rPr>
          <w:rFonts w:ascii="Times New Roman" w:eastAsia="Times New Roman" w:hAnsi="Times New Roman" w:cs="Times New Roman"/>
          <w:lang w:eastAsia="en-CA"/>
        </w:rPr>
        <w:t xml:space="preserve"> century doctrine of </w:t>
      </w:r>
      <w:r w:rsidRPr="007942B7">
        <w:rPr>
          <w:rFonts w:ascii="Times New Roman" w:eastAsia="Times New Roman" w:hAnsi="Times New Roman" w:cs="Times New Roman"/>
          <w:i/>
          <w:iCs/>
          <w:lang w:eastAsia="en-CA"/>
        </w:rPr>
        <w:t>Social Darwinism</w:t>
      </w:r>
      <w:r w:rsidRPr="007942B7">
        <w:rPr>
          <w:rFonts w:ascii="Times New Roman" w:eastAsia="Times New Roman" w:hAnsi="Times New Roman" w:cs="Times New Roman"/>
          <w:lang w:eastAsia="en-CA"/>
        </w:rPr>
        <w:t xml:space="preserve"> provided an aggressive assault on class, in the name of science. Social Darwinism took Darwin’s scientific conclusions about natural selection and tried to apply them to culture and society, often in a very cynical manner. Its legacy continues in US politics today. In England, social Darwinism was led by Herbert Spencer; in the US, it was W.G. Sumner. Both of these opportunists saw an open window to rewarding success with success and punishing poverty with condemnation – what could be more convenient?</w:t>
      </w:r>
      <w:r w:rsidRPr="007942B7">
        <w:rPr>
          <w:rStyle w:val="FootnoteReference"/>
          <w:rFonts w:ascii="Times New Roman" w:eastAsia="Times New Roman" w:hAnsi="Times New Roman" w:cs="Times New Roman"/>
          <w:lang w:eastAsia="en-CA"/>
        </w:rPr>
        <w:footnoteReference w:id="271"/>
      </w:r>
    </w:p>
    <w:p w14:paraId="34FABBD9" w14:textId="1C026B01" w:rsidR="00B10FA3" w:rsidRPr="007942B7" w:rsidRDefault="00B10FA3" w:rsidP="007942B7">
      <w:pPr>
        <w:spacing w:line="480" w:lineRule="auto"/>
        <w:rPr>
          <w:rFonts w:ascii="Times New Roman" w:eastAsia="Times New Roman" w:hAnsi="Times New Roman" w:cs="Times New Roman"/>
          <w:lang w:eastAsia="en-CA"/>
        </w:rPr>
      </w:pPr>
      <w:r w:rsidRPr="007942B7">
        <w:rPr>
          <w:rFonts w:ascii="Times New Roman" w:eastAsia="Times New Roman" w:hAnsi="Times New Roman" w:cs="Times New Roman"/>
          <w:lang w:eastAsia="en-CA"/>
        </w:rPr>
        <w:t xml:space="preserve">     Simply put, some in positions of influence decided that wealth was self</w:t>
      </w:r>
      <w:r w:rsidR="009051ED">
        <w:rPr>
          <w:rFonts w:ascii="Times New Roman" w:eastAsia="Times New Roman" w:hAnsi="Times New Roman" w:cs="Times New Roman"/>
          <w:lang w:eastAsia="en-CA"/>
        </w:rPr>
        <w:t>-</w:t>
      </w:r>
      <w:r w:rsidRPr="007942B7">
        <w:rPr>
          <w:rFonts w:ascii="Times New Roman" w:eastAsia="Times New Roman" w:hAnsi="Times New Roman" w:cs="Times New Roman"/>
          <w:lang w:eastAsia="en-CA"/>
        </w:rPr>
        <w:t>defining, and that poverty was equally so. In essence, you are what you were meant to be – by force of nature. Wealth defined itself, as did poverty; nothing could be done to mitigate such phenomena. The doctrine was enormously self</w:t>
      </w:r>
      <w:r w:rsidR="009051ED">
        <w:rPr>
          <w:rFonts w:ascii="Times New Roman" w:eastAsia="Times New Roman" w:hAnsi="Times New Roman" w:cs="Times New Roman"/>
          <w:lang w:eastAsia="en-CA"/>
        </w:rPr>
        <w:t>-</w:t>
      </w:r>
      <w:r w:rsidRPr="007942B7">
        <w:rPr>
          <w:rFonts w:ascii="Times New Roman" w:eastAsia="Times New Roman" w:hAnsi="Times New Roman" w:cs="Times New Roman"/>
          <w:lang w:eastAsia="en-CA"/>
        </w:rPr>
        <w:t xml:space="preserve">serving to class interests, providing a justification for withholding social benefits or opportunities to the middling and lower classes, as they were presumed doomed to extinction anyway. </w:t>
      </w:r>
    </w:p>
    <w:p w14:paraId="12054B6D" w14:textId="77777777" w:rsidR="00B10FA3" w:rsidRPr="007942B7" w:rsidRDefault="00B10FA3" w:rsidP="007942B7">
      <w:pPr>
        <w:spacing w:line="480" w:lineRule="auto"/>
        <w:rPr>
          <w:rFonts w:ascii="Times New Roman" w:eastAsia="Times New Roman" w:hAnsi="Times New Roman" w:cs="Times New Roman"/>
          <w:lang w:eastAsia="en-CA"/>
        </w:rPr>
      </w:pPr>
      <w:r w:rsidRPr="007942B7">
        <w:rPr>
          <w:rFonts w:ascii="Times New Roman" w:eastAsia="Times New Roman" w:hAnsi="Times New Roman" w:cs="Times New Roman"/>
          <w:lang w:eastAsia="en-CA"/>
        </w:rPr>
        <w:t xml:space="preserve">      </w:t>
      </w:r>
      <w:r>
        <w:rPr>
          <w:rFonts w:ascii="Times New Roman" w:eastAsia="Times New Roman" w:hAnsi="Times New Roman" w:cs="Times New Roman"/>
          <w:lang w:eastAsia="en-CA"/>
        </w:rPr>
        <w:t>One might say; j</w:t>
      </w:r>
      <w:r w:rsidRPr="007942B7">
        <w:rPr>
          <w:rFonts w:ascii="Times New Roman" w:eastAsia="Times New Roman" w:hAnsi="Times New Roman" w:cs="Times New Roman"/>
          <w:lang w:eastAsia="en-CA"/>
        </w:rPr>
        <w:t xml:space="preserve">ust leave well enough alone; one reaps what one sows. An ideology that allows one a good night’s rest, without requiring too much reflection or introspection. It </w:t>
      </w:r>
      <w:r w:rsidRPr="007942B7">
        <w:rPr>
          <w:rFonts w:ascii="Times New Roman" w:eastAsia="Times New Roman" w:hAnsi="Times New Roman" w:cs="Times New Roman"/>
          <w:lang w:eastAsia="en-CA"/>
        </w:rPr>
        <w:lastRenderedPageBreak/>
        <w:t>appealed to many, as it dug in deep to trends in American Protestantism, as exemplified by Max Weber’s comparison of capitalism and religious sentiment.</w:t>
      </w:r>
    </w:p>
    <w:p w14:paraId="702B5509" w14:textId="77777777" w:rsidR="00B10FA3" w:rsidRDefault="00B10FA3" w:rsidP="007942B7">
      <w:pPr>
        <w:spacing w:line="480" w:lineRule="auto"/>
        <w:rPr>
          <w:rFonts w:ascii="Times New Roman" w:eastAsia="Times New Roman" w:hAnsi="Times New Roman" w:cs="Times New Roman"/>
          <w:b/>
          <w:bCs/>
          <w:lang w:eastAsia="en-CA"/>
        </w:rPr>
      </w:pPr>
    </w:p>
    <w:p w14:paraId="496A1C33" w14:textId="77777777" w:rsidR="00B10FA3" w:rsidRPr="007942B7" w:rsidRDefault="00B10FA3" w:rsidP="007942B7">
      <w:pPr>
        <w:spacing w:line="480" w:lineRule="auto"/>
        <w:rPr>
          <w:rFonts w:ascii="Times New Roman" w:eastAsia="Times New Roman" w:hAnsi="Times New Roman" w:cs="Times New Roman"/>
          <w:lang w:eastAsia="en-CA"/>
        </w:rPr>
      </w:pPr>
      <w:r w:rsidRPr="007942B7">
        <w:rPr>
          <w:rFonts w:ascii="Times New Roman" w:eastAsia="Times New Roman" w:hAnsi="Times New Roman" w:cs="Times New Roman"/>
          <w:b/>
          <w:bCs/>
          <w:lang w:eastAsia="en-CA"/>
        </w:rPr>
        <w:t>The Early Thinkers: 18</w:t>
      </w:r>
      <w:r w:rsidRPr="007942B7">
        <w:rPr>
          <w:rFonts w:ascii="Times New Roman" w:eastAsia="Times New Roman" w:hAnsi="Times New Roman" w:cs="Times New Roman"/>
          <w:b/>
          <w:bCs/>
          <w:vertAlign w:val="superscript"/>
          <w:lang w:eastAsia="en-CA"/>
        </w:rPr>
        <w:t>th</w:t>
      </w:r>
      <w:r w:rsidRPr="007942B7">
        <w:rPr>
          <w:rFonts w:ascii="Times New Roman" w:eastAsia="Times New Roman" w:hAnsi="Times New Roman" w:cs="Times New Roman"/>
          <w:b/>
          <w:bCs/>
          <w:lang w:eastAsia="en-CA"/>
        </w:rPr>
        <w:t xml:space="preserve"> Century Ideas</w:t>
      </w:r>
    </w:p>
    <w:p w14:paraId="5D928EEB" w14:textId="46C9D19F" w:rsidR="00B10FA3" w:rsidRPr="007942B7" w:rsidRDefault="00B10FA3" w:rsidP="007942B7">
      <w:pPr>
        <w:spacing w:line="480" w:lineRule="auto"/>
        <w:rPr>
          <w:rFonts w:ascii="Times New Roman" w:eastAsia="Times New Roman" w:hAnsi="Times New Roman" w:cs="Times New Roman"/>
          <w:lang w:eastAsia="en-CA"/>
        </w:rPr>
      </w:pPr>
      <w:r w:rsidRPr="007942B7">
        <w:rPr>
          <w:rFonts w:ascii="Times New Roman" w:eastAsia="Times New Roman" w:hAnsi="Times New Roman" w:cs="Times New Roman"/>
          <w:lang w:eastAsia="en-CA"/>
        </w:rPr>
        <w:t xml:space="preserve">    The economic ideas of Adam Smith may be, arguably, some of the most misunderstood of the modern era. Smith is routinely held up as an advocate of the free market, of the ‘invisible hand’ of the market place, of small government and of laissez faire economics. In the first place, Smith wanted to prevent a hyper concentration of wealth in the economy, as he perceived it as a corrupting influence on society. Smith was against </w:t>
      </w:r>
      <w:r w:rsidRPr="007942B7">
        <w:rPr>
          <w:rFonts w:ascii="Times New Roman" w:eastAsia="Times New Roman" w:hAnsi="Times New Roman" w:cs="Times New Roman"/>
          <w:i/>
          <w:iCs/>
          <w:lang w:eastAsia="en-CA"/>
        </w:rPr>
        <w:t>mercantilism</w:t>
      </w:r>
      <w:r w:rsidRPr="007942B7">
        <w:rPr>
          <w:rFonts w:ascii="Times New Roman" w:eastAsia="Times New Roman" w:hAnsi="Times New Roman" w:cs="Times New Roman"/>
          <w:lang w:eastAsia="en-CA"/>
        </w:rPr>
        <w:t xml:space="preserve">, which preceded modern capitalism, as it proposed an essentially zero-sum game in politics and economics. </w:t>
      </w:r>
      <w:r w:rsidR="00510A57">
        <w:rPr>
          <w:rFonts w:ascii="Times New Roman" w:eastAsia="Times New Roman" w:hAnsi="Times New Roman" w:cs="Times New Roman"/>
          <w:lang w:eastAsia="en-CA"/>
        </w:rPr>
        <w:t xml:space="preserve">What I gain, you, by definition, lose. Wealth is a fixed commodity, that cannot be increased or decreased. </w:t>
      </w:r>
      <w:r w:rsidRPr="007942B7">
        <w:rPr>
          <w:rFonts w:ascii="Times New Roman" w:eastAsia="Times New Roman" w:hAnsi="Times New Roman" w:cs="Times New Roman"/>
          <w:lang w:eastAsia="en-CA"/>
        </w:rPr>
        <w:t>Wealth creation was not possible; there is merely a fixed amount of wealth, and what is mine remains that way only through force, lest it become yours.</w:t>
      </w:r>
      <w:r w:rsidRPr="007942B7">
        <w:rPr>
          <w:rStyle w:val="FootnoteReference"/>
          <w:rFonts w:ascii="Times New Roman" w:eastAsia="Times New Roman" w:hAnsi="Times New Roman" w:cs="Times New Roman"/>
          <w:lang w:eastAsia="en-CA"/>
        </w:rPr>
        <w:footnoteReference w:id="272"/>
      </w:r>
    </w:p>
    <w:p w14:paraId="5A81BFEF" w14:textId="77777777" w:rsidR="00B10FA3" w:rsidRDefault="00B10FA3" w:rsidP="007942B7">
      <w:pPr>
        <w:spacing w:line="480" w:lineRule="auto"/>
        <w:rPr>
          <w:rFonts w:ascii="Times New Roman" w:eastAsia="Times New Roman" w:hAnsi="Times New Roman" w:cs="Times New Roman"/>
          <w:lang w:eastAsia="en-CA"/>
        </w:rPr>
      </w:pPr>
      <w:r w:rsidRPr="007942B7">
        <w:rPr>
          <w:rFonts w:ascii="Times New Roman" w:eastAsia="Times New Roman" w:hAnsi="Times New Roman" w:cs="Times New Roman"/>
          <w:lang w:eastAsia="en-CA"/>
        </w:rPr>
        <w:t xml:space="preserve">     Smith was opposed to the idea that one should live off of profit; in fact, he believed that high profits represented a kind of social pathology. An opponent of slavery, Smith argued that well paid workers produce more – and that slavery was an inefficient means of conducting business, resulting in low productivity.</w:t>
      </w:r>
      <w:r w:rsidRPr="007942B7">
        <w:rPr>
          <w:rStyle w:val="FootnoteReference"/>
          <w:rFonts w:ascii="Times New Roman" w:eastAsia="Times New Roman" w:hAnsi="Times New Roman" w:cs="Times New Roman"/>
          <w:lang w:eastAsia="en-CA"/>
        </w:rPr>
        <w:footnoteReference w:id="273"/>
      </w:r>
      <w:r w:rsidRPr="007942B7">
        <w:rPr>
          <w:rFonts w:ascii="Times New Roman" w:eastAsia="Times New Roman" w:hAnsi="Times New Roman" w:cs="Times New Roman"/>
          <w:lang w:eastAsia="en-CA"/>
        </w:rPr>
        <w:t xml:space="preserve"> Finally, Smith was skeptical about human nature, believing that passions limited the decision-making power of individuals; he had no illusions about human nature or markets, and believed that human societies are flawed – that people make errors. </w:t>
      </w:r>
    </w:p>
    <w:p w14:paraId="6E289D9F" w14:textId="77777777" w:rsidR="00510A57" w:rsidRDefault="00510A57" w:rsidP="007942B7">
      <w:pPr>
        <w:spacing w:line="480" w:lineRule="auto"/>
        <w:rPr>
          <w:rFonts w:ascii="Times New Roman" w:eastAsia="Times New Roman" w:hAnsi="Times New Roman" w:cs="Times New Roman"/>
          <w:lang w:eastAsia="en-CA"/>
        </w:rPr>
      </w:pPr>
    </w:p>
    <w:p w14:paraId="08388985" w14:textId="77777777" w:rsidR="00510A57" w:rsidRDefault="00510A57" w:rsidP="007942B7">
      <w:pPr>
        <w:spacing w:line="480" w:lineRule="auto"/>
        <w:rPr>
          <w:rFonts w:ascii="Times New Roman" w:eastAsia="Times New Roman" w:hAnsi="Times New Roman" w:cs="Times New Roman"/>
          <w:lang w:eastAsia="en-CA"/>
        </w:rPr>
      </w:pPr>
    </w:p>
    <w:p w14:paraId="33D6898D" w14:textId="77777777" w:rsidR="00510A57" w:rsidRPr="007942B7" w:rsidRDefault="00510A57" w:rsidP="007942B7">
      <w:pPr>
        <w:spacing w:line="480" w:lineRule="auto"/>
        <w:rPr>
          <w:rFonts w:ascii="Times New Roman" w:eastAsia="Times New Roman" w:hAnsi="Times New Roman" w:cs="Times New Roman"/>
          <w:lang w:eastAsia="en-CA"/>
        </w:rPr>
      </w:pPr>
    </w:p>
    <w:p w14:paraId="3EAD299D" w14:textId="77777777" w:rsidR="00B10FA3" w:rsidRPr="007942B7" w:rsidRDefault="00B10FA3" w:rsidP="007942B7">
      <w:pPr>
        <w:spacing w:line="480" w:lineRule="auto"/>
        <w:rPr>
          <w:rFonts w:ascii="Times New Roman" w:eastAsia="Times New Roman" w:hAnsi="Times New Roman" w:cs="Times New Roman"/>
          <w:b/>
          <w:bCs/>
          <w:lang w:eastAsia="en-CA"/>
        </w:rPr>
      </w:pPr>
      <w:r w:rsidRPr="007942B7">
        <w:rPr>
          <w:rFonts w:ascii="Times New Roman" w:eastAsia="Times New Roman" w:hAnsi="Times New Roman" w:cs="Times New Roman"/>
          <w:b/>
          <w:bCs/>
          <w:lang w:eastAsia="en-CA"/>
        </w:rPr>
        <w:t>The Dynamics of Redistribution</w:t>
      </w:r>
    </w:p>
    <w:p w14:paraId="5FE31D75" w14:textId="77777777" w:rsidR="00536123" w:rsidRDefault="00B10FA3" w:rsidP="00536123">
      <w:pPr>
        <w:spacing w:line="480" w:lineRule="auto"/>
        <w:rPr>
          <w:rFonts w:ascii="Times New Roman" w:eastAsia="Times New Roman" w:hAnsi="Times New Roman" w:cs="Times New Roman"/>
          <w:lang w:eastAsia="en-CA"/>
        </w:rPr>
      </w:pPr>
      <w:r w:rsidRPr="007942B7">
        <w:rPr>
          <w:rFonts w:ascii="Times New Roman" w:eastAsia="Times New Roman" w:hAnsi="Times New Roman" w:cs="Times New Roman"/>
          <w:lang w:eastAsia="en-CA"/>
        </w:rPr>
        <w:t xml:space="preserve">What drives the process of income transfer from one group to another? I would suggest these three motives at least: the desire to transfer, for political gain among specific constituencies, the use of charitable contributions, either for religious of social concerns, and the desire to rectify social and economic inequality. The theme of envy can drive the latter. </w:t>
      </w:r>
      <w:r w:rsidR="00536123">
        <w:rPr>
          <w:rFonts w:ascii="Times New Roman" w:eastAsia="Times New Roman" w:hAnsi="Times New Roman" w:cs="Times New Roman"/>
          <w:lang w:eastAsia="en-CA"/>
        </w:rPr>
        <w:t xml:space="preserve">        </w:t>
      </w:r>
    </w:p>
    <w:p w14:paraId="14223432" w14:textId="7C3652BE" w:rsidR="00B10FA3" w:rsidRPr="007942B7" w:rsidRDefault="00536123" w:rsidP="00536123">
      <w:pPr>
        <w:spacing w:line="480" w:lineRule="auto"/>
        <w:rPr>
          <w:rFonts w:ascii="Times New Roman" w:eastAsia="Times New Roman" w:hAnsi="Times New Roman" w:cs="Times New Roman"/>
          <w:b/>
          <w:bCs/>
          <w:i/>
          <w:iCs/>
          <w:lang w:eastAsia="en-CA"/>
        </w:rPr>
      </w:pPr>
      <w:r>
        <w:rPr>
          <w:rFonts w:ascii="Times New Roman" w:eastAsia="Times New Roman" w:hAnsi="Times New Roman" w:cs="Times New Roman"/>
          <w:lang w:eastAsia="en-CA"/>
        </w:rPr>
        <w:t xml:space="preserve">     </w:t>
      </w:r>
      <w:r w:rsidR="00B10FA3" w:rsidRPr="007942B7">
        <w:rPr>
          <w:rFonts w:ascii="Times New Roman" w:eastAsia="Times New Roman" w:hAnsi="Times New Roman" w:cs="Times New Roman"/>
          <w:lang w:eastAsia="en-CA"/>
        </w:rPr>
        <w:t xml:space="preserve">Within the US, most income transfers, oddly, are </w:t>
      </w:r>
      <w:r w:rsidR="00B10FA3" w:rsidRPr="007942B7">
        <w:rPr>
          <w:rFonts w:ascii="Times New Roman" w:eastAsia="Times New Roman" w:hAnsi="Times New Roman" w:cs="Times New Roman"/>
          <w:i/>
          <w:iCs/>
          <w:lang w:eastAsia="en-CA"/>
        </w:rPr>
        <w:t>up</w:t>
      </w:r>
      <w:r w:rsidR="00B10FA3" w:rsidRPr="007942B7">
        <w:rPr>
          <w:rFonts w:ascii="Times New Roman" w:eastAsia="Times New Roman" w:hAnsi="Times New Roman" w:cs="Times New Roman"/>
          <w:lang w:eastAsia="en-CA"/>
        </w:rPr>
        <w:t xml:space="preserve">, not down. Reasons for this are complex, ranging from lack of public knowledge and awareness about </w:t>
      </w:r>
      <w:r>
        <w:rPr>
          <w:rFonts w:ascii="Times New Roman" w:eastAsia="Times New Roman" w:hAnsi="Times New Roman" w:cs="Times New Roman"/>
          <w:lang w:eastAsia="en-CA"/>
        </w:rPr>
        <w:t xml:space="preserve">the nature and characteristics of </w:t>
      </w:r>
      <w:r w:rsidR="00B10FA3" w:rsidRPr="007942B7">
        <w:rPr>
          <w:rFonts w:ascii="Times New Roman" w:eastAsia="Times New Roman" w:hAnsi="Times New Roman" w:cs="Times New Roman"/>
          <w:lang w:eastAsia="en-CA"/>
        </w:rPr>
        <w:t xml:space="preserve">government expenditure, to the oft refrained American truism cultural truism that ‘one would rather lose a benefit than give to an underserving group,’ a mentality </w:t>
      </w:r>
      <w:r>
        <w:rPr>
          <w:rFonts w:ascii="Times New Roman" w:eastAsia="Times New Roman" w:hAnsi="Times New Roman" w:cs="Times New Roman"/>
          <w:lang w:eastAsia="en-CA"/>
        </w:rPr>
        <w:t>-</w:t>
      </w:r>
      <w:r w:rsidR="00B10FA3" w:rsidRPr="007942B7">
        <w:rPr>
          <w:rFonts w:ascii="Times New Roman" w:eastAsia="Times New Roman" w:hAnsi="Times New Roman" w:cs="Times New Roman"/>
          <w:lang w:eastAsia="en-CA"/>
        </w:rPr>
        <w:t xml:space="preserve"> often racially tinged - that holds sway in many sectors of American society</w:t>
      </w:r>
      <w:r w:rsidR="00B10FA3" w:rsidRPr="007942B7">
        <w:rPr>
          <w:rFonts w:ascii="Times New Roman" w:eastAsia="Times New Roman" w:hAnsi="Times New Roman" w:cs="Times New Roman"/>
          <w:b/>
          <w:bCs/>
          <w:i/>
          <w:iCs/>
          <w:lang w:eastAsia="en-CA"/>
        </w:rPr>
        <w:t xml:space="preserve">. </w:t>
      </w:r>
    </w:p>
    <w:p w14:paraId="7F391290" w14:textId="51D2C9A3" w:rsidR="00B10FA3" w:rsidRPr="007942B7" w:rsidRDefault="00B10FA3" w:rsidP="007942B7">
      <w:pPr>
        <w:spacing w:line="480" w:lineRule="auto"/>
        <w:rPr>
          <w:rFonts w:ascii="Times New Roman" w:eastAsia="Times New Roman" w:hAnsi="Times New Roman" w:cs="Times New Roman"/>
          <w:lang w:eastAsia="en-CA"/>
        </w:rPr>
      </w:pPr>
      <w:r w:rsidRPr="007942B7">
        <w:rPr>
          <w:rFonts w:ascii="Times New Roman" w:eastAsia="Times New Roman" w:hAnsi="Times New Roman" w:cs="Times New Roman"/>
          <w:b/>
          <w:bCs/>
          <w:i/>
          <w:iCs/>
          <w:lang w:eastAsia="en-CA"/>
        </w:rPr>
        <w:t xml:space="preserve">     </w:t>
      </w:r>
      <w:r w:rsidRPr="007942B7">
        <w:rPr>
          <w:rFonts w:ascii="Times New Roman" w:eastAsia="Times New Roman" w:hAnsi="Times New Roman" w:cs="Times New Roman"/>
          <w:lang w:eastAsia="en-CA"/>
        </w:rPr>
        <w:t>In the main, most Americans, while casually throwing around terms like “socialism,” “communism,” “fascism,” “trickle</w:t>
      </w:r>
      <w:r w:rsidR="009051ED">
        <w:rPr>
          <w:rFonts w:ascii="Times New Roman" w:eastAsia="Times New Roman" w:hAnsi="Times New Roman" w:cs="Times New Roman"/>
          <w:lang w:eastAsia="en-CA"/>
        </w:rPr>
        <w:t>-</w:t>
      </w:r>
      <w:r w:rsidRPr="007942B7">
        <w:rPr>
          <w:rFonts w:ascii="Times New Roman" w:eastAsia="Times New Roman" w:hAnsi="Times New Roman" w:cs="Times New Roman"/>
          <w:lang w:eastAsia="en-CA"/>
        </w:rPr>
        <w:t xml:space="preserve">down economics” have little if any knowledge about the meaning of the terms themselves. If they did, they would recognize that the United States has a major piece of its economic and national security order that is </w:t>
      </w:r>
      <w:r w:rsidRPr="007942B7">
        <w:rPr>
          <w:rFonts w:ascii="Times New Roman" w:eastAsia="Times New Roman" w:hAnsi="Times New Roman" w:cs="Times New Roman"/>
          <w:i/>
          <w:iCs/>
          <w:lang w:eastAsia="en-CA"/>
        </w:rPr>
        <w:t>pure socialist</w:t>
      </w:r>
      <w:r w:rsidRPr="007942B7">
        <w:rPr>
          <w:rFonts w:ascii="Times New Roman" w:eastAsia="Times New Roman" w:hAnsi="Times New Roman" w:cs="Times New Roman"/>
          <w:lang w:eastAsia="en-CA"/>
        </w:rPr>
        <w:t>, and that is the US military. Housing, salary, childcare, and health insurance are all socialized and provided for military members. A military recruit offers his or her life in return for a complete government subsidy of their term in service. Weapons systems may be designed and built by private corporations, but they are subsidized fully by the US government. Without US government funding, the entire industry would likely disintegrate.</w:t>
      </w:r>
      <w:r w:rsidRPr="007942B7">
        <w:rPr>
          <w:rStyle w:val="FootnoteReference"/>
          <w:rFonts w:ascii="Times New Roman" w:eastAsia="Times New Roman" w:hAnsi="Times New Roman" w:cs="Times New Roman"/>
          <w:lang w:eastAsia="en-CA"/>
        </w:rPr>
        <w:t xml:space="preserve"> </w:t>
      </w:r>
      <w:r w:rsidRPr="007942B7">
        <w:rPr>
          <w:rStyle w:val="FootnoteReference"/>
          <w:rFonts w:ascii="Times New Roman" w:eastAsia="Times New Roman" w:hAnsi="Times New Roman" w:cs="Times New Roman"/>
          <w:lang w:eastAsia="en-CA"/>
        </w:rPr>
        <w:footnoteReference w:id="274"/>
      </w:r>
    </w:p>
    <w:p w14:paraId="4B8A2B8D" w14:textId="77777777" w:rsidR="00B10FA3" w:rsidRPr="007942B7" w:rsidRDefault="00B10FA3" w:rsidP="007942B7">
      <w:pPr>
        <w:spacing w:line="480" w:lineRule="auto"/>
        <w:rPr>
          <w:rFonts w:ascii="Times New Roman" w:eastAsia="Times New Roman" w:hAnsi="Times New Roman" w:cs="Times New Roman"/>
          <w:b/>
          <w:bCs/>
          <w:i/>
          <w:iCs/>
          <w:lang w:eastAsia="en-CA"/>
        </w:rPr>
      </w:pPr>
      <w:r w:rsidRPr="007942B7">
        <w:rPr>
          <w:rFonts w:ascii="Times New Roman" w:eastAsia="Times New Roman" w:hAnsi="Times New Roman" w:cs="Times New Roman"/>
          <w:b/>
          <w:bCs/>
          <w:i/>
          <w:iCs/>
          <w:lang w:eastAsia="en-CA"/>
        </w:rPr>
        <w:lastRenderedPageBreak/>
        <w:t>The Church Weighs In</w:t>
      </w:r>
    </w:p>
    <w:p w14:paraId="0EB5A933" w14:textId="77777777" w:rsidR="00B10FA3" w:rsidRPr="007942B7" w:rsidRDefault="00B10FA3" w:rsidP="007942B7">
      <w:pPr>
        <w:spacing w:line="480" w:lineRule="auto"/>
        <w:rPr>
          <w:rFonts w:ascii="Times New Roman" w:eastAsia="Times New Roman" w:hAnsi="Times New Roman" w:cs="Times New Roman"/>
          <w:lang w:eastAsia="en-CA"/>
        </w:rPr>
      </w:pPr>
      <w:r w:rsidRPr="007942B7">
        <w:rPr>
          <w:rFonts w:ascii="Times New Roman" w:eastAsia="Times New Roman" w:hAnsi="Times New Roman" w:cs="Times New Roman"/>
          <w:lang w:eastAsia="en-CA"/>
        </w:rPr>
        <w:t xml:space="preserve">     The Catholic Church declared, in an 1891 encyclical, that materialism was a modern danger, and that justice was a matter of personal conduct. Pope Leo XIII stated that the moral life was of principal importance, with economics only second. He condemned both capitalism and socialism as materialist and preoccupied with wealth. Instead, he suggested that voluntary efforts to help others would lead to a greater sense of human fulfillment.</w:t>
      </w:r>
      <w:r w:rsidRPr="007942B7">
        <w:rPr>
          <w:rStyle w:val="FootnoteReference"/>
          <w:rFonts w:ascii="Times New Roman" w:eastAsia="Times New Roman" w:hAnsi="Times New Roman" w:cs="Times New Roman"/>
          <w:lang w:eastAsia="en-CA"/>
        </w:rPr>
        <w:footnoteReference w:id="275"/>
      </w:r>
      <w:r w:rsidRPr="007942B7">
        <w:rPr>
          <w:rFonts w:ascii="Times New Roman" w:eastAsia="Times New Roman" w:hAnsi="Times New Roman" w:cs="Times New Roman"/>
          <w:lang w:eastAsia="en-CA"/>
        </w:rPr>
        <w:t xml:space="preserve"> </w:t>
      </w:r>
    </w:p>
    <w:p w14:paraId="3AA7E15A" w14:textId="4792772F" w:rsidR="00B10FA3" w:rsidRPr="007942B7" w:rsidRDefault="00B10FA3" w:rsidP="007942B7">
      <w:pPr>
        <w:spacing w:line="480" w:lineRule="auto"/>
        <w:rPr>
          <w:rFonts w:ascii="Times New Roman" w:eastAsia="Times New Roman" w:hAnsi="Times New Roman" w:cs="Times New Roman"/>
          <w:lang w:eastAsia="en-CA"/>
        </w:rPr>
      </w:pPr>
      <w:r w:rsidRPr="007942B7">
        <w:rPr>
          <w:rFonts w:ascii="Times New Roman" w:eastAsia="Times New Roman" w:hAnsi="Times New Roman" w:cs="Times New Roman"/>
          <w:lang w:eastAsia="en-CA"/>
        </w:rPr>
        <w:t xml:space="preserve">     However, it is argued in some circles that redistribution is not a major factor in religious doctrine. One study claimed that, among Protestants, that there is a divide between both the black and mainstream members, as well as with evangelicals. Mainstream Protestants, together with black Protestants, are typically supportive of social services, whereas evangelical groups are generally not. </w:t>
      </w:r>
      <w:r w:rsidRPr="00536123">
        <w:rPr>
          <w:rFonts w:ascii="Times New Roman" w:eastAsia="Times New Roman" w:hAnsi="Times New Roman" w:cs="Times New Roman"/>
          <w:i/>
          <w:iCs/>
          <w:lang w:eastAsia="en-CA"/>
        </w:rPr>
        <w:t>Evangelical southern whites are particularly resistant to public aid for the indigent,</w:t>
      </w:r>
      <w:r w:rsidRPr="007942B7">
        <w:rPr>
          <w:rFonts w:ascii="Times New Roman" w:eastAsia="Times New Roman" w:hAnsi="Times New Roman" w:cs="Times New Roman"/>
          <w:lang w:eastAsia="en-CA"/>
        </w:rPr>
        <w:t xml:space="preserve"> preferring private charity as a remedy. In the end, the study finds little correlation between religious belief and redistributive efforts – except among evangelicals, who tend to oppose state sponsored assistance.</w:t>
      </w:r>
      <w:r w:rsidRPr="007942B7">
        <w:rPr>
          <w:rStyle w:val="FootnoteReference"/>
          <w:rFonts w:ascii="Times New Roman" w:eastAsia="Times New Roman" w:hAnsi="Times New Roman" w:cs="Times New Roman"/>
          <w:lang w:eastAsia="en-CA"/>
        </w:rPr>
        <w:footnoteReference w:id="276"/>
      </w:r>
      <w:r w:rsidRPr="007942B7">
        <w:rPr>
          <w:rFonts w:ascii="Times New Roman" w:eastAsia="Times New Roman" w:hAnsi="Times New Roman" w:cs="Times New Roman"/>
          <w:lang w:eastAsia="en-CA"/>
        </w:rPr>
        <w:t xml:space="preserve"> This may stem from the fact that evangelicals tend to support the use of private charity, and to de-emphasize the use of government aid. </w:t>
      </w:r>
    </w:p>
    <w:p w14:paraId="557D06DF" w14:textId="77777777" w:rsidR="00B10FA3" w:rsidRPr="007942B7" w:rsidRDefault="00B10FA3" w:rsidP="007942B7">
      <w:pPr>
        <w:spacing w:line="480" w:lineRule="auto"/>
        <w:rPr>
          <w:rFonts w:ascii="Times New Roman" w:eastAsia="Times New Roman" w:hAnsi="Times New Roman" w:cs="Times New Roman"/>
          <w:b/>
          <w:bCs/>
          <w:lang w:eastAsia="en-CA"/>
        </w:rPr>
      </w:pPr>
      <w:r w:rsidRPr="007942B7">
        <w:rPr>
          <w:rFonts w:ascii="Times New Roman" w:eastAsia="Times New Roman" w:hAnsi="Times New Roman" w:cs="Times New Roman"/>
          <w:lang w:eastAsia="en-CA"/>
        </w:rPr>
        <w:t xml:space="preserve">          </w:t>
      </w:r>
    </w:p>
    <w:p w14:paraId="387D764C" w14:textId="77777777" w:rsidR="00B10FA3" w:rsidRPr="00536123" w:rsidRDefault="00B10FA3" w:rsidP="007942B7">
      <w:pPr>
        <w:spacing w:line="480" w:lineRule="auto"/>
        <w:rPr>
          <w:rFonts w:ascii="Times New Roman" w:eastAsia="Times New Roman" w:hAnsi="Times New Roman" w:cs="Times New Roman"/>
          <w:b/>
          <w:bCs/>
          <w:i/>
          <w:iCs/>
          <w:lang w:eastAsia="en-CA"/>
        </w:rPr>
      </w:pPr>
      <w:r w:rsidRPr="00536123">
        <w:rPr>
          <w:rFonts w:ascii="Times New Roman" w:eastAsia="Times New Roman" w:hAnsi="Times New Roman" w:cs="Times New Roman"/>
          <w:b/>
          <w:bCs/>
          <w:i/>
          <w:iCs/>
          <w:lang w:eastAsia="en-CA"/>
        </w:rPr>
        <w:t>Methods and Limits of Redistribution</w:t>
      </w:r>
    </w:p>
    <w:p w14:paraId="403020EB" w14:textId="77777777" w:rsidR="00B10FA3" w:rsidRPr="007942B7" w:rsidRDefault="00B10FA3" w:rsidP="007942B7">
      <w:pPr>
        <w:spacing w:line="480" w:lineRule="auto"/>
        <w:rPr>
          <w:rFonts w:ascii="Times New Roman" w:eastAsia="Times New Roman" w:hAnsi="Times New Roman" w:cs="Times New Roman"/>
          <w:lang w:eastAsia="en-CA"/>
        </w:rPr>
      </w:pPr>
      <w:r w:rsidRPr="007942B7">
        <w:rPr>
          <w:rFonts w:ascii="Times New Roman" w:eastAsia="Times New Roman" w:hAnsi="Times New Roman" w:cs="Times New Roman"/>
          <w:lang w:eastAsia="en-CA"/>
        </w:rPr>
        <w:t xml:space="preserve">     What are the motives behind the transfer of societal resources? Well, one study finds three motives: the first is the </w:t>
      </w:r>
      <w:r w:rsidRPr="007942B7">
        <w:rPr>
          <w:rFonts w:ascii="Times New Roman" w:eastAsia="Times New Roman" w:hAnsi="Times New Roman" w:cs="Times New Roman"/>
          <w:i/>
          <w:iCs/>
          <w:lang w:eastAsia="en-CA"/>
        </w:rPr>
        <w:t>desire to receive transfers</w:t>
      </w:r>
      <w:r w:rsidRPr="007942B7">
        <w:rPr>
          <w:rFonts w:ascii="Times New Roman" w:eastAsia="Times New Roman" w:hAnsi="Times New Roman" w:cs="Times New Roman"/>
          <w:lang w:eastAsia="en-CA"/>
        </w:rPr>
        <w:t xml:space="preserve">; this is an administrative and political drive </w:t>
      </w:r>
      <w:r w:rsidRPr="007942B7">
        <w:rPr>
          <w:rFonts w:ascii="Times New Roman" w:eastAsia="Times New Roman" w:hAnsi="Times New Roman" w:cs="Times New Roman"/>
          <w:lang w:eastAsia="en-CA"/>
        </w:rPr>
        <w:lastRenderedPageBreak/>
        <w:t xml:space="preserve">behind redistribution, and rewards political representatives for bringing home the bacon. Constituencies enjoy being appeased, and politicians are rewarded for their appeasement. </w:t>
      </w:r>
    </w:p>
    <w:p w14:paraId="116BB303" w14:textId="77777777" w:rsidR="00B10FA3" w:rsidRPr="007942B7" w:rsidRDefault="00B10FA3" w:rsidP="007942B7">
      <w:pPr>
        <w:spacing w:line="480" w:lineRule="auto"/>
        <w:rPr>
          <w:rFonts w:ascii="Times New Roman" w:eastAsia="Times New Roman" w:hAnsi="Times New Roman" w:cs="Times New Roman"/>
          <w:lang w:eastAsia="en-CA"/>
        </w:rPr>
      </w:pPr>
      <w:r w:rsidRPr="007942B7">
        <w:rPr>
          <w:rFonts w:ascii="Times New Roman" w:eastAsia="Times New Roman" w:hAnsi="Times New Roman" w:cs="Times New Roman"/>
          <w:lang w:eastAsia="en-CA"/>
        </w:rPr>
        <w:t xml:space="preserve">     Second, there is the matter of</w:t>
      </w:r>
      <w:r w:rsidRPr="007942B7">
        <w:rPr>
          <w:rFonts w:ascii="Times New Roman" w:eastAsia="Times New Roman" w:hAnsi="Times New Roman" w:cs="Times New Roman"/>
          <w:i/>
          <w:iCs/>
          <w:lang w:eastAsia="en-CA"/>
        </w:rPr>
        <w:t xml:space="preserve"> charity</w:t>
      </w:r>
      <w:r w:rsidRPr="007942B7">
        <w:rPr>
          <w:rFonts w:ascii="Times New Roman" w:eastAsia="Times New Roman" w:hAnsi="Times New Roman" w:cs="Times New Roman"/>
          <w:lang w:eastAsia="en-CA"/>
        </w:rPr>
        <w:t xml:space="preserve">. Charity is, generally, not a policy mechanism. It is not, as a rule, forward looking, but rather, attempts to alleviate an extant situation. It is unenforceable; most charitable contributions are voluntary, one-time contributions, or at best, sporadic efforts at aid. </w:t>
      </w:r>
    </w:p>
    <w:p w14:paraId="211B7BA7" w14:textId="58F32CBA" w:rsidR="00B10FA3" w:rsidRPr="007942B7" w:rsidRDefault="00B10FA3" w:rsidP="007942B7">
      <w:pPr>
        <w:spacing w:line="480" w:lineRule="auto"/>
        <w:rPr>
          <w:rFonts w:ascii="Times New Roman" w:eastAsia="Times New Roman" w:hAnsi="Times New Roman" w:cs="Times New Roman"/>
          <w:lang w:eastAsia="en-CA"/>
        </w:rPr>
      </w:pPr>
      <w:r w:rsidRPr="007942B7">
        <w:rPr>
          <w:rFonts w:ascii="Times New Roman" w:eastAsia="Times New Roman" w:hAnsi="Times New Roman" w:cs="Times New Roman"/>
          <w:lang w:eastAsia="en-CA"/>
        </w:rPr>
        <w:t xml:space="preserve">     The third motive for transference of income is </w:t>
      </w:r>
      <w:r w:rsidRPr="007942B7">
        <w:rPr>
          <w:rFonts w:ascii="Times New Roman" w:eastAsia="Times New Roman" w:hAnsi="Times New Roman" w:cs="Times New Roman"/>
          <w:i/>
          <w:iCs/>
          <w:lang w:eastAsia="en-CA"/>
        </w:rPr>
        <w:t>envy</w:t>
      </w:r>
      <w:r w:rsidRPr="007942B7">
        <w:rPr>
          <w:rFonts w:ascii="Times New Roman" w:eastAsia="Times New Roman" w:hAnsi="Times New Roman" w:cs="Times New Roman"/>
          <w:lang w:eastAsia="en-CA"/>
        </w:rPr>
        <w:t xml:space="preserve">, based on the idea that some have been denied basic equality in the social, economic of political realm, and that the only means of rectifying such a situation is through a transfer from one group to another. The </w:t>
      </w:r>
      <w:r w:rsidRPr="002D39C5">
        <w:rPr>
          <w:rFonts w:ascii="Times New Roman" w:eastAsia="Times New Roman" w:hAnsi="Times New Roman" w:cs="Times New Roman"/>
          <w:i/>
          <w:iCs/>
          <w:lang w:eastAsia="en-CA"/>
        </w:rPr>
        <w:t xml:space="preserve">reparations movement </w:t>
      </w:r>
      <w:r w:rsidRPr="007942B7">
        <w:rPr>
          <w:rFonts w:ascii="Times New Roman" w:eastAsia="Times New Roman" w:hAnsi="Times New Roman" w:cs="Times New Roman"/>
          <w:lang w:eastAsia="en-CA"/>
        </w:rPr>
        <w:t>in the United States for the descendants of slaves has resonance in this matter. Only a transfer, it is said, will contribute to leveling the playing field, allowing for the extensions of democratic freedoms to groups that have been historically denied such freedoms.</w:t>
      </w:r>
      <w:r w:rsidRPr="007942B7">
        <w:rPr>
          <w:rStyle w:val="FootnoteReference"/>
          <w:rFonts w:ascii="Times New Roman" w:eastAsia="Times New Roman" w:hAnsi="Times New Roman" w:cs="Times New Roman"/>
          <w:lang w:eastAsia="en-CA"/>
        </w:rPr>
        <w:footnoteReference w:id="277"/>
      </w:r>
    </w:p>
    <w:p w14:paraId="36636699" w14:textId="77777777" w:rsidR="00B10FA3" w:rsidRPr="007942B7" w:rsidRDefault="00B10FA3" w:rsidP="007942B7">
      <w:pPr>
        <w:spacing w:line="480" w:lineRule="auto"/>
        <w:rPr>
          <w:rFonts w:ascii="Times New Roman" w:eastAsia="Times New Roman" w:hAnsi="Times New Roman" w:cs="Times New Roman"/>
          <w:lang w:eastAsia="en-CA"/>
        </w:rPr>
      </w:pPr>
      <w:r w:rsidRPr="007942B7">
        <w:rPr>
          <w:rFonts w:ascii="Times New Roman" w:eastAsia="Times New Roman" w:hAnsi="Times New Roman" w:cs="Times New Roman"/>
          <w:lang w:eastAsia="en-CA"/>
        </w:rPr>
        <w:t xml:space="preserve">     Keeping in mind that much income redistribution moves </w:t>
      </w:r>
      <w:r w:rsidRPr="007942B7">
        <w:rPr>
          <w:rFonts w:ascii="Times New Roman" w:eastAsia="Times New Roman" w:hAnsi="Times New Roman" w:cs="Times New Roman"/>
          <w:i/>
          <w:iCs/>
          <w:lang w:eastAsia="en-CA"/>
        </w:rPr>
        <w:t>up</w:t>
      </w:r>
      <w:r w:rsidRPr="007942B7">
        <w:rPr>
          <w:rFonts w:ascii="Times New Roman" w:eastAsia="Times New Roman" w:hAnsi="Times New Roman" w:cs="Times New Roman"/>
          <w:lang w:eastAsia="en-CA"/>
        </w:rPr>
        <w:t xml:space="preserve"> rather than down, let us look at some contemporary (and not so contemporary) interpretations of the logic and utility of redistribution, starting with 18</w:t>
      </w:r>
      <w:r w:rsidRPr="007942B7">
        <w:rPr>
          <w:rFonts w:ascii="Times New Roman" w:eastAsia="Times New Roman" w:hAnsi="Times New Roman" w:cs="Times New Roman"/>
          <w:vertAlign w:val="superscript"/>
          <w:lang w:eastAsia="en-CA"/>
        </w:rPr>
        <w:t>th</w:t>
      </w:r>
      <w:r w:rsidRPr="007942B7">
        <w:rPr>
          <w:rFonts w:ascii="Times New Roman" w:eastAsia="Times New Roman" w:hAnsi="Times New Roman" w:cs="Times New Roman"/>
          <w:lang w:eastAsia="en-CA"/>
        </w:rPr>
        <w:t xml:space="preserve"> century theorist Jeremy Bentham. As noted before, Bentham’s conception of wealth distribution in society was predicated on the idea that the more pleasure that is created – and the more pain that is alleviated – the more just an equitable the society. His thinking was based on the notion of </w:t>
      </w:r>
      <w:r w:rsidRPr="007942B7">
        <w:rPr>
          <w:rFonts w:ascii="Times New Roman" w:eastAsia="Times New Roman" w:hAnsi="Times New Roman" w:cs="Times New Roman"/>
          <w:i/>
          <w:iCs/>
          <w:lang w:eastAsia="en-CA"/>
        </w:rPr>
        <w:t>utility</w:t>
      </w:r>
      <w:r w:rsidRPr="007942B7">
        <w:rPr>
          <w:rFonts w:ascii="Times New Roman" w:eastAsia="Times New Roman" w:hAnsi="Times New Roman" w:cs="Times New Roman"/>
          <w:lang w:eastAsia="en-CA"/>
        </w:rPr>
        <w:t xml:space="preserve">; that which could be gained as an economic advantage. For example, addressing the issues of the poor was, for Bentham, a simple moral equation, as amelioration of a poor person’s condition creates more utility than the loss (through tax or other mandate) incurred by the person with means. Philosopher John Stuart Mill reached similar conclusions. </w:t>
      </w:r>
      <w:r w:rsidRPr="007942B7">
        <w:rPr>
          <w:rStyle w:val="FootnoteReference"/>
          <w:rFonts w:ascii="Times New Roman" w:eastAsia="Times New Roman" w:hAnsi="Times New Roman" w:cs="Times New Roman"/>
          <w:lang w:eastAsia="en-CA"/>
        </w:rPr>
        <w:footnoteReference w:id="278"/>
      </w:r>
    </w:p>
    <w:p w14:paraId="1E63C683" w14:textId="77777777" w:rsidR="00B10FA3" w:rsidRPr="007942B7" w:rsidRDefault="00B10FA3" w:rsidP="007942B7">
      <w:pPr>
        <w:spacing w:line="480" w:lineRule="auto"/>
        <w:rPr>
          <w:rFonts w:ascii="Times New Roman" w:eastAsia="Times New Roman" w:hAnsi="Times New Roman" w:cs="Times New Roman"/>
          <w:lang w:eastAsia="en-CA"/>
        </w:rPr>
      </w:pPr>
      <w:r w:rsidRPr="007942B7">
        <w:rPr>
          <w:rFonts w:ascii="Times New Roman" w:eastAsia="Times New Roman" w:hAnsi="Times New Roman" w:cs="Times New Roman"/>
          <w:lang w:eastAsia="en-CA"/>
        </w:rPr>
        <w:lastRenderedPageBreak/>
        <w:t xml:space="preserve">     As discussed, John Rawls argued for lifting up the least well of members of society by means of a moral exercise that questioned the ‘justice of circumstance’ of the individual. In his view, ‘natural endowments’ were unearned and irrelevant. (This could include inheritance, station, connections and innate personal characteristics.) </w:t>
      </w:r>
    </w:p>
    <w:p w14:paraId="059F8A6F" w14:textId="5C088AF3" w:rsidR="00B10FA3" w:rsidRPr="007942B7" w:rsidRDefault="00B10FA3" w:rsidP="007942B7">
      <w:pPr>
        <w:spacing w:line="480" w:lineRule="auto"/>
        <w:rPr>
          <w:rFonts w:ascii="Times New Roman" w:eastAsia="Times New Roman" w:hAnsi="Times New Roman" w:cs="Times New Roman"/>
          <w:lang w:eastAsia="en-CA"/>
        </w:rPr>
      </w:pPr>
      <w:r w:rsidRPr="007942B7">
        <w:rPr>
          <w:rFonts w:ascii="Times New Roman" w:eastAsia="Times New Roman" w:hAnsi="Times New Roman" w:cs="Times New Roman"/>
          <w:lang w:eastAsia="en-CA"/>
        </w:rPr>
        <w:t xml:space="preserve">     Gordon Tullock makes the point that, all things being equal, that self</w:t>
      </w:r>
      <w:r w:rsidR="00F31BC0">
        <w:rPr>
          <w:rFonts w:ascii="Times New Roman" w:eastAsia="Times New Roman" w:hAnsi="Times New Roman" w:cs="Times New Roman"/>
          <w:lang w:eastAsia="en-CA"/>
        </w:rPr>
        <w:t>-</w:t>
      </w:r>
      <w:r w:rsidRPr="007942B7">
        <w:rPr>
          <w:rFonts w:ascii="Times New Roman" w:eastAsia="Times New Roman" w:hAnsi="Times New Roman" w:cs="Times New Roman"/>
          <w:lang w:eastAsia="en-CA"/>
        </w:rPr>
        <w:t xml:space="preserve">interest is the key to giving, whether it be charitable or otherwise. Further, he argues that political interests have a stake in their own advancement by supporting transfers of wealth downward; a growing middle class, enhanced by some help from the government can provide political benefit for generations – witness the New Deal Coalition of workers, large elements of the middle class, blacks, portions of the South, and Roman Catholics; a coalition that held together for </w:t>
      </w:r>
      <w:r w:rsidR="00D65816">
        <w:rPr>
          <w:rFonts w:ascii="Times New Roman" w:eastAsia="Times New Roman" w:hAnsi="Times New Roman" w:cs="Times New Roman"/>
          <w:lang w:eastAsia="en-CA"/>
        </w:rPr>
        <w:t xml:space="preserve">over 50 </w:t>
      </w:r>
      <w:r w:rsidRPr="007942B7">
        <w:rPr>
          <w:rFonts w:ascii="Times New Roman" w:eastAsia="Times New Roman" w:hAnsi="Times New Roman" w:cs="Times New Roman"/>
          <w:lang w:eastAsia="en-CA"/>
        </w:rPr>
        <w:t xml:space="preserve">years. </w:t>
      </w:r>
    </w:p>
    <w:p w14:paraId="548E6E82" w14:textId="77777777" w:rsidR="00B10FA3" w:rsidRPr="007942B7" w:rsidRDefault="00B10FA3" w:rsidP="007942B7">
      <w:pPr>
        <w:spacing w:line="480" w:lineRule="auto"/>
        <w:rPr>
          <w:rFonts w:ascii="Times New Roman" w:eastAsia="Times New Roman" w:hAnsi="Times New Roman" w:cs="Times New Roman"/>
          <w:lang w:eastAsia="en-CA"/>
        </w:rPr>
      </w:pPr>
      <w:r w:rsidRPr="007942B7">
        <w:rPr>
          <w:rFonts w:ascii="Times New Roman" w:eastAsia="Times New Roman" w:hAnsi="Times New Roman" w:cs="Times New Roman"/>
          <w:lang w:eastAsia="en-CA"/>
        </w:rPr>
        <w:t xml:space="preserve">     Towards the left of the political spectrum, the issue of </w:t>
      </w:r>
      <w:r w:rsidRPr="007942B7">
        <w:rPr>
          <w:rFonts w:ascii="Times New Roman" w:eastAsia="Times New Roman" w:hAnsi="Times New Roman" w:cs="Times New Roman"/>
          <w:i/>
          <w:iCs/>
          <w:lang w:eastAsia="en-CA"/>
        </w:rPr>
        <w:t>deserved</w:t>
      </w:r>
      <w:r w:rsidRPr="007942B7">
        <w:rPr>
          <w:rFonts w:ascii="Times New Roman" w:eastAsia="Times New Roman" w:hAnsi="Times New Roman" w:cs="Times New Roman"/>
          <w:lang w:eastAsia="en-CA"/>
        </w:rPr>
        <w:t xml:space="preserve"> wealth is prominent; an avowed Marxist would argue that wage labor is mere theft; the producer steals from his employees as a means to furthering his enterprise, and the theft is baked into the system itself. In essence, it is argued, the employee creates a certain value in a product and the employer removes a portion of the value (if not most of the value) for himself. </w:t>
      </w:r>
    </w:p>
    <w:p w14:paraId="7732552E" w14:textId="77777777" w:rsidR="00B10FA3" w:rsidRPr="007942B7" w:rsidRDefault="00B10FA3" w:rsidP="007942B7">
      <w:pPr>
        <w:spacing w:line="480" w:lineRule="auto"/>
        <w:rPr>
          <w:rFonts w:ascii="Times New Roman" w:eastAsia="Times New Roman" w:hAnsi="Times New Roman" w:cs="Times New Roman"/>
          <w:lang w:eastAsia="en-CA"/>
        </w:rPr>
      </w:pPr>
      <w:r w:rsidRPr="007942B7">
        <w:rPr>
          <w:rFonts w:ascii="Times New Roman" w:eastAsia="Times New Roman" w:hAnsi="Times New Roman" w:cs="Times New Roman"/>
          <w:lang w:eastAsia="en-CA"/>
        </w:rPr>
        <w:t xml:space="preserve">     P. Ketty argues for raising the taxes on the rich, based on the notion that capitalism is inherently unequal. The rich may own capital, but, by and large, that capital is not deserved. Perhaps it was created on the backs of underpaid workers, or, commensurately, it may have simple dropped into the lap of the capitalist through inheritance. Ketty reminds so-called laissez faire liberals and conservatives of the ‘pull yourself up by the bootstraps’ variety that true initiative come from the individual, without the unearned gift of inheritance – and </w:t>
      </w:r>
      <w:r w:rsidRPr="007942B7">
        <w:rPr>
          <w:rFonts w:ascii="Times New Roman" w:eastAsia="Times New Roman" w:hAnsi="Times New Roman" w:cs="Times New Roman"/>
          <w:lang w:eastAsia="en-CA"/>
        </w:rPr>
        <w:lastRenderedPageBreak/>
        <w:t>phenomenon that allows some to push the starting line a bit forward. Such underserved wealth should be made available to the neediest sectors of society.</w:t>
      </w:r>
      <w:r w:rsidRPr="007942B7">
        <w:rPr>
          <w:rStyle w:val="FootnoteReference"/>
          <w:rFonts w:ascii="Times New Roman" w:eastAsia="Times New Roman" w:hAnsi="Times New Roman" w:cs="Times New Roman"/>
          <w:lang w:eastAsia="en-CA"/>
        </w:rPr>
        <w:footnoteReference w:id="279"/>
      </w:r>
    </w:p>
    <w:p w14:paraId="0B8DE18A" w14:textId="5361F8D3" w:rsidR="00B10FA3" w:rsidRPr="007942B7" w:rsidRDefault="00B10FA3" w:rsidP="007942B7">
      <w:pPr>
        <w:spacing w:line="480" w:lineRule="auto"/>
        <w:rPr>
          <w:rFonts w:ascii="Times New Roman" w:eastAsia="Times New Roman" w:hAnsi="Times New Roman" w:cs="Times New Roman"/>
          <w:lang w:eastAsia="en-CA"/>
        </w:rPr>
      </w:pPr>
      <w:r w:rsidRPr="007942B7">
        <w:rPr>
          <w:rFonts w:ascii="Times New Roman" w:eastAsia="Times New Roman" w:hAnsi="Times New Roman" w:cs="Times New Roman"/>
          <w:lang w:eastAsia="en-CA"/>
        </w:rPr>
        <w:t xml:space="preserve">     Of course, theory does not sell redistributive schemes; politics does. In the tumult of the American world, in which racial and class resentment can often be extreme, selling even the hint of a transfer of wealth can be fraught with peril. ‘Welfare’ programs are often sold with caveats; that the recipient must play by certain rules – perhaps a work requirement (proposed for Medicaid), or a limit on consumerism (Food Stamp limitations on certain types of purchases, such as cigarettes, junk food or alcohol). Such rules are often the result of contemporary prejudices, although this this may not be stated explicitly. </w:t>
      </w:r>
    </w:p>
    <w:p w14:paraId="5D12262D" w14:textId="6B60F333" w:rsidR="00B10FA3" w:rsidRPr="007942B7" w:rsidRDefault="00B10FA3" w:rsidP="007942B7">
      <w:pPr>
        <w:spacing w:line="480" w:lineRule="auto"/>
        <w:rPr>
          <w:rFonts w:ascii="Times New Roman" w:eastAsia="Times New Roman" w:hAnsi="Times New Roman" w:cs="Times New Roman"/>
          <w:lang w:eastAsia="en-CA"/>
        </w:rPr>
      </w:pPr>
      <w:r w:rsidRPr="007942B7">
        <w:rPr>
          <w:rFonts w:ascii="Times New Roman" w:eastAsia="Times New Roman" w:hAnsi="Times New Roman" w:cs="Times New Roman"/>
          <w:lang w:eastAsia="en-CA"/>
        </w:rPr>
        <w:t xml:space="preserve">     </w:t>
      </w:r>
      <w:r w:rsidRPr="002D39C5">
        <w:rPr>
          <w:rFonts w:ascii="Times New Roman" w:eastAsia="Times New Roman" w:hAnsi="Times New Roman" w:cs="Times New Roman"/>
          <w:i/>
          <w:iCs/>
          <w:lang w:eastAsia="en-CA"/>
        </w:rPr>
        <w:t>Race</w:t>
      </w:r>
      <w:r w:rsidRPr="007942B7">
        <w:rPr>
          <w:rFonts w:ascii="Times New Roman" w:eastAsia="Times New Roman" w:hAnsi="Times New Roman" w:cs="Times New Roman"/>
          <w:lang w:eastAsia="en-CA"/>
        </w:rPr>
        <w:t xml:space="preserve"> can create restrictive terms towards welfare policies</w:t>
      </w:r>
      <w:r w:rsidR="00D65816">
        <w:rPr>
          <w:rFonts w:ascii="Times New Roman" w:eastAsia="Times New Roman" w:hAnsi="Times New Roman" w:cs="Times New Roman"/>
          <w:lang w:eastAsia="en-CA"/>
        </w:rPr>
        <w:t>, as is</w:t>
      </w:r>
      <w:r w:rsidRPr="007942B7">
        <w:rPr>
          <w:rFonts w:ascii="Times New Roman" w:eastAsia="Times New Roman" w:hAnsi="Times New Roman" w:cs="Times New Roman"/>
          <w:lang w:eastAsia="en-CA"/>
        </w:rPr>
        <w:t xml:space="preserve"> the so-called undeserving poor</w:t>
      </w:r>
      <w:r w:rsidR="00D65816">
        <w:rPr>
          <w:rFonts w:ascii="Times New Roman" w:eastAsia="Times New Roman" w:hAnsi="Times New Roman" w:cs="Times New Roman"/>
          <w:lang w:eastAsia="en-CA"/>
        </w:rPr>
        <w:t>,</w:t>
      </w:r>
      <w:r w:rsidRPr="007942B7">
        <w:rPr>
          <w:rFonts w:ascii="Times New Roman" w:eastAsia="Times New Roman" w:hAnsi="Times New Roman" w:cs="Times New Roman"/>
          <w:lang w:eastAsia="en-CA"/>
        </w:rPr>
        <w:t xml:space="preserve"> a term used in the 1990s was, was a means to scale back welfare benefits for certain poor and minority groups</w:t>
      </w:r>
      <w:r w:rsidR="00D65816">
        <w:rPr>
          <w:rFonts w:ascii="Times New Roman" w:eastAsia="Times New Roman" w:hAnsi="Times New Roman" w:cs="Times New Roman"/>
          <w:lang w:eastAsia="en-CA"/>
        </w:rPr>
        <w:t>. T</w:t>
      </w:r>
      <w:r w:rsidRPr="007942B7">
        <w:rPr>
          <w:rFonts w:ascii="Times New Roman" w:eastAsia="Times New Roman" w:hAnsi="Times New Roman" w:cs="Times New Roman"/>
          <w:lang w:eastAsia="en-CA"/>
        </w:rPr>
        <w:t xml:space="preserve">he unspoken yet understood </w:t>
      </w:r>
      <w:r w:rsidR="00D65816">
        <w:rPr>
          <w:rFonts w:ascii="Times New Roman" w:eastAsia="Times New Roman" w:hAnsi="Times New Roman" w:cs="Times New Roman"/>
          <w:lang w:eastAsia="en-CA"/>
        </w:rPr>
        <w:t>r</w:t>
      </w:r>
      <w:r w:rsidRPr="007942B7">
        <w:rPr>
          <w:rFonts w:ascii="Times New Roman" w:eastAsia="Times New Roman" w:hAnsi="Times New Roman" w:cs="Times New Roman"/>
          <w:lang w:eastAsia="en-CA"/>
        </w:rPr>
        <w:t xml:space="preserve">eference is to the notion that black men are irresponsible towards their families, and that black women are </w:t>
      </w:r>
      <w:r w:rsidR="00D65816">
        <w:rPr>
          <w:rFonts w:ascii="Times New Roman" w:eastAsia="Times New Roman" w:hAnsi="Times New Roman" w:cs="Times New Roman"/>
          <w:lang w:eastAsia="en-CA"/>
        </w:rPr>
        <w:t xml:space="preserve">incapable </w:t>
      </w:r>
      <w:r w:rsidRPr="007942B7">
        <w:rPr>
          <w:rFonts w:ascii="Times New Roman" w:eastAsia="Times New Roman" w:hAnsi="Times New Roman" w:cs="Times New Roman"/>
          <w:lang w:eastAsia="en-CA"/>
        </w:rPr>
        <w:t>and unwilling to control their reproductive choices</w:t>
      </w:r>
    </w:p>
    <w:p w14:paraId="1C4F6B49" w14:textId="70C725FF" w:rsidR="00B10FA3" w:rsidRPr="007942B7" w:rsidRDefault="00B10FA3" w:rsidP="007942B7">
      <w:pPr>
        <w:spacing w:line="480" w:lineRule="auto"/>
        <w:rPr>
          <w:rFonts w:ascii="Times New Roman" w:eastAsia="Times New Roman" w:hAnsi="Times New Roman" w:cs="Times New Roman"/>
          <w:lang w:eastAsia="en-CA"/>
        </w:rPr>
      </w:pPr>
      <w:r w:rsidRPr="007942B7">
        <w:rPr>
          <w:rFonts w:ascii="Times New Roman" w:eastAsia="Times New Roman" w:hAnsi="Times New Roman" w:cs="Times New Roman"/>
          <w:lang w:eastAsia="en-CA"/>
        </w:rPr>
        <w:t xml:space="preserve">     One way that American politicians from the cent</w:t>
      </w:r>
      <w:r w:rsidR="00F31BC0">
        <w:rPr>
          <w:rFonts w:ascii="Times New Roman" w:eastAsia="Times New Roman" w:hAnsi="Times New Roman" w:cs="Times New Roman"/>
          <w:lang w:eastAsia="en-CA"/>
        </w:rPr>
        <w:t>er</w:t>
      </w:r>
      <w:r w:rsidRPr="007942B7">
        <w:rPr>
          <w:rFonts w:ascii="Times New Roman" w:eastAsia="Times New Roman" w:hAnsi="Times New Roman" w:cs="Times New Roman"/>
          <w:lang w:eastAsia="en-CA"/>
        </w:rPr>
        <w:t xml:space="preserve">-left have tried to get around the prejudices surrounding the extension of wealth welfare programs is to market, or promote those programs to constituencies that are less controversial. For example, the CHIP program, </w:t>
      </w:r>
      <w:r w:rsidR="00D65816">
        <w:rPr>
          <w:rFonts w:ascii="Times New Roman" w:eastAsia="Times New Roman" w:hAnsi="Times New Roman" w:cs="Times New Roman"/>
          <w:lang w:eastAsia="en-CA"/>
        </w:rPr>
        <w:t>a</w:t>
      </w:r>
      <w:r w:rsidRPr="007942B7">
        <w:rPr>
          <w:rFonts w:ascii="Times New Roman" w:eastAsia="Times New Roman" w:hAnsi="Times New Roman" w:cs="Times New Roman"/>
          <w:lang w:eastAsia="en-CA"/>
        </w:rPr>
        <w:t xml:space="preserve"> health insurance </w:t>
      </w:r>
      <w:r w:rsidR="00D65816">
        <w:rPr>
          <w:rFonts w:ascii="Times New Roman" w:eastAsia="Times New Roman" w:hAnsi="Times New Roman" w:cs="Times New Roman"/>
          <w:lang w:eastAsia="en-CA"/>
        </w:rPr>
        <w:t>initiative</w:t>
      </w:r>
      <w:r w:rsidRPr="007942B7">
        <w:rPr>
          <w:rFonts w:ascii="Times New Roman" w:eastAsia="Times New Roman" w:hAnsi="Times New Roman" w:cs="Times New Roman"/>
          <w:lang w:eastAsia="en-CA"/>
        </w:rPr>
        <w:t>, is designed specifically for children; this renders the program largely immune from attack whether by racial or ideological means.</w:t>
      </w:r>
      <w:r w:rsidRPr="007942B7">
        <w:rPr>
          <w:rStyle w:val="FootnoteReference"/>
          <w:rFonts w:ascii="Times New Roman" w:eastAsia="Times New Roman" w:hAnsi="Times New Roman" w:cs="Times New Roman"/>
          <w:lang w:eastAsia="en-CA"/>
        </w:rPr>
        <w:footnoteReference w:id="280"/>
      </w:r>
      <w:r w:rsidRPr="007942B7">
        <w:rPr>
          <w:rFonts w:ascii="Times New Roman" w:eastAsia="Times New Roman" w:hAnsi="Times New Roman" w:cs="Times New Roman"/>
          <w:lang w:eastAsia="en-CA"/>
        </w:rPr>
        <w:t xml:space="preserve"> </w:t>
      </w:r>
    </w:p>
    <w:p w14:paraId="2DD38851" w14:textId="45A9A3E7" w:rsidR="00B10FA3" w:rsidRPr="007942B7" w:rsidRDefault="00B10FA3" w:rsidP="007942B7">
      <w:pPr>
        <w:spacing w:line="480" w:lineRule="auto"/>
        <w:rPr>
          <w:rFonts w:ascii="Times New Roman" w:eastAsia="Times New Roman" w:hAnsi="Times New Roman" w:cs="Times New Roman"/>
          <w:lang w:eastAsia="en-CA"/>
        </w:rPr>
      </w:pPr>
      <w:r w:rsidRPr="007942B7">
        <w:rPr>
          <w:rFonts w:ascii="Times New Roman" w:eastAsia="Times New Roman" w:hAnsi="Times New Roman" w:cs="Times New Roman"/>
          <w:lang w:eastAsia="en-CA"/>
        </w:rPr>
        <w:t xml:space="preserve">     In some cases, </w:t>
      </w:r>
      <w:r w:rsidRPr="00942DA4">
        <w:rPr>
          <w:rFonts w:ascii="Times New Roman" w:eastAsia="Times New Roman" w:hAnsi="Times New Roman" w:cs="Times New Roman"/>
          <w:i/>
          <w:iCs/>
          <w:lang w:eastAsia="en-CA"/>
        </w:rPr>
        <w:t>redistribution is encouraged by major economic players themselves</w:t>
      </w:r>
      <w:r w:rsidR="00D65816">
        <w:rPr>
          <w:rFonts w:ascii="Times New Roman" w:eastAsia="Times New Roman" w:hAnsi="Times New Roman" w:cs="Times New Roman"/>
          <w:lang w:eastAsia="en-CA"/>
        </w:rPr>
        <w:t>. F</w:t>
      </w:r>
      <w:r w:rsidRPr="007942B7">
        <w:rPr>
          <w:rFonts w:ascii="Times New Roman" w:eastAsia="Times New Roman" w:hAnsi="Times New Roman" w:cs="Times New Roman"/>
          <w:lang w:eastAsia="en-CA"/>
        </w:rPr>
        <w:t xml:space="preserve">or example in the United States, </w:t>
      </w:r>
      <w:r w:rsidR="00D65816">
        <w:rPr>
          <w:rFonts w:ascii="Times New Roman" w:eastAsia="Times New Roman" w:hAnsi="Times New Roman" w:cs="Times New Roman"/>
          <w:lang w:eastAsia="en-CA"/>
        </w:rPr>
        <w:t xml:space="preserve">major </w:t>
      </w:r>
      <w:r w:rsidRPr="007942B7">
        <w:rPr>
          <w:rFonts w:ascii="Times New Roman" w:eastAsia="Times New Roman" w:hAnsi="Times New Roman" w:cs="Times New Roman"/>
          <w:lang w:eastAsia="en-CA"/>
        </w:rPr>
        <w:t xml:space="preserve">agricultural interests support the Food Stamp program as </w:t>
      </w:r>
      <w:r w:rsidRPr="007942B7">
        <w:rPr>
          <w:rFonts w:ascii="Times New Roman" w:eastAsia="Times New Roman" w:hAnsi="Times New Roman" w:cs="Times New Roman"/>
          <w:lang w:eastAsia="en-CA"/>
        </w:rPr>
        <w:lastRenderedPageBreak/>
        <w:t xml:space="preserve">it furthers their own economic goals and relieves problems associated with agricultural over production. </w:t>
      </w:r>
    </w:p>
    <w:p w14:paraId="45650853" w14:textId="0ECD52D9" w:rsidR="00B10FA3" w:rsidRPr="007942B7" w:rsidRDefault="00B10FA3" w:rsidP="007942B7">
      <w:pPr>
        <w:spacing w:line="480" w:lineRule="auto"/>
        <w:rPr>
          <w:rFonts w:ascii="Times New Roman" w:eastAsia="Times New Roman" w:hAnsi="Times New Roman" w:cs="Times New Roman"/>
          <w:lang w:eastAsia="en-CA"/>
        </w:rPr>
      </w:pPr>
      <w:r w:rsidRPr="007942B7">
        <w:rPr>
          <w:rFonts w:ascii="Times New Roman" w:eastAsia="Times New Roman" w:hAnsi="Times New Roman" w:cs="Times New Roman"/>
          <w:lang w:eastAsia="en-CA"/>
        </w:rPr>
        <w:t xml:space="preserve">     In other cases, vested interests work tooth and nail to oppose redistributive programs and ideas.  Take for example the American Medical Association, which has, for over half a century, opposed universal healthcare as a threat to its own interests and income. Interestingly, however, the American Medical Association supports the CHIP program as the child focus appears to trump other considerations within the realm of redistribution.</w:t>
      </w:r>
      <w:r w:rsidRPr="007942B7">
        <w:rPr>
          <w:rStyle w:val="FootnoteReference"/>
          <w:rFonts w:ascii="Times New Roman" w:eastAsia="Times New Roman" w:hAnsi="Times New Roman" w:cs="Times New Roman"/>
          <w:lang w:eastAsia="en-CA"/>
        </w:rPr>
        <w:footnoteReference w:id="281"/>
      </w:r>
    </w:p>
    <w:p w14:paraId="65264E1D" w14:textId="303E527C" w:rsidR="00B10FA3" w:rsidRPr="007942B7" w:rsidRDefault="00B10FA3" w:rsidP="007942B7">
      <w:pPr>
        <w:spacing w:line="480" w:lineRule="auto"/>
        <w:rPr>
          <w:rFonts w:ascii="Times New Roman" w:eastAsia="Times New Roman" w:hAnsi="Times New Roman" w:cs="Times New Roman"/>
          <w:lang w:eastAsia="en-CA"/>
        </w:rPr>
      </w:pPr>
      <w:r w:rsidRPr="007942B7">
        <w:rPr>
          <w:rFonts w:ascii="Times New Roman" w:eastAsia="Times New Roman" w:hAnsi="Times New Roman" w:cs="Times New Roman"/>
          <w:lang w:eastAsia="en-CA"/>
        </w:rPr>
        <w:t xml:space="preserve">     There appears to questions on the issue of redistribution that need to be addressed.</w:t>
      </w:r>
      <w:r w:rsidR="006820E4">
        <w:rPr>
          <w:rFonts w:ascii="Times New Roman" w:eastAsia="Times New Roman" w:hAnsi="Times New Roman" w:cs="Times New Roman"/>
          <w:lang w:eastAsia="en-CA"/>
        </w:rPr>
        <w:t xml:space="preserve"> </w:t>
      </w:r>
      <w:r w:rsidRPr="007942B7">
        <w:rPr>
          <w:rFonts w:ascii="Times New Roman" w:eastAsia="Times New Roman" w:hAnsi="Times New Roman" w:cs="Times New Roman"/>
          <w:lang w:eastAsia="en-CA"/>
        </w:rPr>
        <w:t xml:space="preserve">The first of these is the question of how to facilitate redistribution. </w:t>
      </w:r>
      <w:r w:rsidR="006820E4">
        <w:rPr>
          <w:rFonts w:ascii="Times New Roman" w:eastAsia="Times New Roman" w:hAnsi="Times New Roman" w:cs="Times New Roman"/>
          <w:lang w:eastAsia="en-CA"/>
        </w:rPr>
        <w:t xml:space="preserve">Various scholars </w:t>
      </w:r>
      <w:r w:rsidR="00F31BC0">
        <w:rPr>
          <w:rFonts w:ascii="Times New Roman" w:eastAsia="Times New Roman" w:hAnsi="Times New Roman" w:cs="Times New Roman"/>
          <w:lang w:eastAsia="en-CA"/>
        </w:rPr>
        <w:t>a</w:t>
      </w:r>
      <w:r w:rsidRPr="007942B7">
        <w:rPr>
          <w:rFonts w:ascii="Times New Roman" w:eastAsia="Times New Roman" w:hAnsi="Times New Roman" w:cs="Times New Roman"/>
          <w:lang w:eastAsia="en-CA"/>
        </w:rPr>
        <w:t>rgue that there are two issues that must be addressed in order to achieve adjust and politically feasible redistribution within a culture</w:t>
      </w:r>
      <w:r w:rsidR="00F31BC0">
        <w:rPr>
          <w:rFonts w:ascii="Times New Roman" w:eastAsia="Times New Roman" w:hAnsi="Times New Roman" w:cs="Times New Roman"/>
          <w:lang w:eastAsia="en-CA"/>
        </w:rPr>
        <w:t xml:space="preserve">. </w:t>
      </w:r>
      <w:r w:rsidRPr="007942B7">
        <w:rPr>
          <w:rFonts w:ascii="Times New Roman" w:eastAsia="Times New Roman" w:hAnsi="Times New Roman" w:cs="Times New Roman"/>
          <w:lang w:eastAsia="en-CA"/>
        </w:rPr>
        <w:t xml:space="preserve">The first of these is that, in his view, it is better to redistribute indirectly then through lump-sum disbursements. Secondly can you find it better to study the end to examine how redistribution is carried out. There are also potential limits on the efficacy of redistribution </w:t>
      </w:r>
    </w:p>
    <w:p w14:paraId="098F92DE" w14:textId="77777777" w:rsidR="00B10FA3" w:rsidRPr="007942B7" w:rsidRDefault="00B10FA3" w:rsidP="007942B7">
      <w:pPr>
        <w:spacing w:line="480" w:lineRule="auto"/>
        <w:rPr>
          <w:rFonts w:ascii="Times New Roman" w:eastAsia="Times New Roman" w:hAnsi="Times New Roman" w:cs="Times New Roman"/>
          <w:lang w:eastAsia="en-CA"/>
        </w:rPr>
      </w:pPr>
      <w:r w:rsidRPr="007942B7">
        <w:rPr>
          <w:rFonts w:ascii="Times New Roman" w:eastAsia="Times New Roman" w:hAnsi="Times New Roman" w:cs="Times New Roman"/>
          <w:lang w:eastAsia="en-CA"/>
        </w:rPr>
        <w:t>Many redistribution theorists strive for material equality. This may or may not be a feasible goal, as they are striving for a condition approaching relational equality.</w:t>
      </w:r>
    </w:p>
    <w:p w14:paraId="64020A70" w14:textId="3FF97983" w:rsidR="00B10FA3" w:rsidRPr="00F31BC0" w:rsidRDefault="00B10FA3" w:rsidP="00D54FF9">
      <w:pPr>
        <w:spacing w:line="480" w:lineRule="auto"/>
        <w:rPr>
          <w:rFonts w:ascii="Times New Roman" w:eastAsia="Times New Roman" w:hAnsi="Times New Roman" w:cs="Times New Roman"/>
          <w:lang w:eastAsia="en-CA"/>
        </w:rPr>
      </w:pPr>
      <w:r w:rsidRPr="00F31BC0">
        <w:rPr>
          <w:rFonts w:ascii="Times New Roman" w:eastAsia="Times New Roman" w:hAnsi="Times New Roman" w:cs="Times New Roman"/>
          <w:i/>
          <w:iCs/>
          <w:lang w:eastAsia="en-CA"/>
        </w:rPr>
        <w:t xml:space="preserve">     Egalitarianism</w:t>
      </w:r>
      <w:r w:rsidRPr="00F31BC0">
        <w:rPr>
          <w:rFonts w:ascii="Times New Roman" w:eastAsia="Times New Roman" w:hAnsi="Times New Roman" w:cs="Times New Roman"/>
          <w:lang w:eastAsia="en-CA"/>
        </w:rPr>
        <w:t xml:space="preserve"> is a concept that has some credence in the post-WWII environment some have argued in favor of altruism, that is, sacrifice of the self for others. Altruism is seen by these advocates as a zero-sum game; that is, that the loss of one group is the game of another. It is well known that Karl Marx had a profound influence over Bismarck during the establishment of Europe’s first social welfare system, though with a Conservative model.</w:t>
      </w:r>
    </w:p>
    <w:p w14:paraId="1628AAB7" w14:textId="77777777" w:rsidR="00942DA4" w:rsidRDefault="00B10FA3" w:rsidP="00F31BC0">
      <w:pPr>
        <w:spacing w:line="480" w:lineRule="auto"/>
        <w:rPr>
          <w:rFonts w:ascii="Times New Roman" w:hAnsi="Times New Roman" w:cs="Times New Roman"/>
        </w:rPr>
      </w:pPr>
      <w:r w:rsidRPr="00F31BC0">
        <w:rPr>
          <w:rFonts w:ascii="Times New Roman" w:hAnsi="Times New Roman" w:cs="Times New Roman"/>
        </w:rPr>
        <w:lastRenderedPageBreak/>
        <w:t xml:space="preserve">     One problem that has been noted in recent history, especially since the transformation of Eastern Europe and the Soviet Union</w:t>
      </w:r>
      <w:r w:rsidR="00942DA4">
        <w:rPr>
          <w:rFonts w:ascii="Times New Roman" w:hAnsi="Times New Roman" w:cs="Times New Roman"/>
        </w:rPr>
        <w:t xml:space="preserve"> </w:t>
      </w:r>
      <w:r w:rsidRPr="00F31BC0">
        <w:rPr>
          <w:rFonts w:ascii="Times New Roman" w:hAnsi="Times New Roman" w:cs="Times New Roman"/>
        </w:rPr>
        <w:t xml:space="preserve">should in fact create economic </w:t>
      </w:r>
      <w:r w:rsidR="00F31BC0" w:rsidRPr="00F31BC0">
        <w:rPr>
          <w:rFonts w:ascii="Times New Roman" w:hAnsi="Times New Roman" w:cs="Times New Roman"/>
        </w:rPr>
        <w:t>e</w:t>
      </w:r>
      <w:r w:rsidRPr="00F31BC0">
        <w:rPr>
          <w:rFonts w:ascii="Times New Roman" w:hAnsi="Times New Roman" w:cs="Times New Roman"/>
        </w:rPr>
        <w:t>quality but, as it is noted in many Western central, central European, and eastern European countries, the fact remains that economically disadvantaged people tend not to vote; and, it has been noted that higher income groups oppose redistribution generally voters will, as inequality grows, increasingly support the idea of economic redistribution. Interestingly research does not show a positive relationship between inequality and levels of redistributed policy preferences period new sentence in the United States, public opinion polls tend to show that women and Catholics tend to be more sympathetic to redistributed ideas than men, and the Catholics tend to be more supportive of redistribution than Protestants</w:t>
      </w:r>
      <w:r w:rsidR="00942DA4">
        <w:rPr>
          <w:rFonts w:ascii="Times New Roman" w:hAnsi="Times New Roman" w:cs="Times New Roman"/>
        </w:rPr>
        <w:t>,</w:t>
      </w:r>
      <w:r w:rsidRPr="00F31BC0">
        <w:rPr>
          <w:rFonts w:ascii="Times New Roman" w:hAnsi="Times New Roman" w:cs="Times New Roman"/>
        </w:rPr>
        <w:t xml:space="preserve"> period. </w:t>
      </w:r>
    </w:p>
    <w:p w14:paraId="5D61C1DC" w14:textId="52FA403A" w:rsidR="00B10FA3" w:rsidRPr="00F31BC0" w:rsidRDefault="00942DA4" w:rsidP="00F31BC0">
      <w:pPr>
        <w:spacing w:line="480" w:lineRule="auto"/>
        <w:rPr>
          <w:rFonts w:ascii="Times New Roman" w:eastAsia="Times New Roman" w:hAnsi="Times New Roman" w:cs="Times New Roman"/>
          <w:lang w:eastAsia="en-CA"/>
        </w:rPr>
      </w:pPr>
      <w:r>
        <w:rPr>
          <w:rFonts w:ascii="Times New Roman" w:hAnsi="Times New Roman" w:cs="Times New Roman"/>
        </w:rPr>
        <w:t xml:space="preserve">     </w:t>
      </w:r>
      <w:r w:rsidR="00B10FA3" w:rsidRPr="00F31BC0">
        <w:rPr>
          <w:rFonts w:ascii="Times New Roman" w:hAnsi="Times New Roman" w:cs="Times New Roman"/>
        </w:rPr>
        <w:t xml:space="preserve">Timothy Besley, in an article in the </w:t>
      </w:r>
      <w:r w:rsidR="00B10FA3" w:rsidRPr="00942DA4">
        <w:rPr>
          <w:rFonts w:ascii="Times New Roman" w:hAnsi="Times New Roman" w:cs="Times New Roman"/>
          <w:i/>
          <w:iCs/>
        </w:rPr>
        <w:t>Journal of Economic Perspectives</w:t>
      </w:r>
      <w:r w:rsidR="00B10FA3" w:rsidRPr="00F31BC0">
        <w:rPr>
          <w:rFonts w:ascii="Times New Roman" w:hAnsi="Times New Roman" w:cs="Times New Roman"/>
        </w:rPr>
        <w:t>, asked why developing countries tax so little</w:t>
      </w:r>
      <w:r>
        <w:rPr>
          <w:rFonts w:ascii="Times New Roman" w:hAnsi="Times New Roman" w:cs="Times New Roman"/>
        </w:rPr>
        <w:t>. He</w:t>
      </w:r>
      <w:r w:rsidR="00B10FA3" w:rsidRPr="00F31BC0">
        <w:rPr>
          <w:rFonts w:ascii="Times New Roman" w:hAnsi="Times New Roman" w:cs="Times New Roman"/>
        </w:rPr>
        <w:t xml:space="preserve"> argues that people are poor for a reason and this directly affects tax policy </w:t>
      </w:r>
      <w:r>
        <w:rPr>
          <w:rFonts w:ascii="Times New Roman" w:hAnsi="Times New Roman" w:cs="Times New Roman"/>
        </w:rPr>
        <w:t xml:space="preserve">over what are typically limited number of </w:t>
      </w:r>
      <w:r w:rsidR="00B10FA3" w:rsidRPr="00F31BC0">
        <w:rPr>
          <w:rFonts w:ascii="Times New Roman" w:hAnsi="Times New Roman" w:cs="Times New Roman"/>
        </w:rPr>
        <w:t xml:space="preserve"> </w:t>
      </w:r>
      <w:r>
        <w:rPr>
          <w:rFonts w:ascii="Times New Roman" w:hAnsi="Times New Roman" w:cs="Times New Roman"/>
        </w:rPr>
        <w:t xml:space="preserve">small firms and companies, </w:t>
      </w:r>
      <w:r w:rsidR="00B10FA3" w:rsidRPr="00F31BC0">
        <w:rPr>
          <w:rFonts w:ascii="Times New Roman" w:hAnsi="Times New Roman" w:cs="Times New Roman"/>
        </w:rPr>
        <w:t>as these countries possess few natural resources</w:t>
      </w:r>
      <w:r>
        <w:rPr>
          <w:rFonts w:ascii="Times New Roman" w:hAnsi="Times New Roman" w:cs="Times New Roman"/>
        </w:rPr>
        <w:t>, but may need to attract specialization in the industries that they do promote.</w:t>
      </w:r>
      <w:r w:rsidR="00B10FA3" w:rsidRPr="00F31BC0">
        <w:rPr>
          <w:rFonts w:ascii="Times New Roman" w:hAnsi="Times New Roman" w:cs="Times New Roman"/>
        </w:rPr>
        <w:t xml:space="preserve"> As a result,  this tends to lower taxation rates, especially when coupled with the offer of lucrative foreign aid, which lowers incentive for a fair taxation regimen.</w:t>
      </w:r>
      <w:r w:rsidR="00B10FA3" w:rsidRPr="00F31BC0">
        <w:rPr>
          <w:rStyle w:val="FootnoteReference"/>
          <w:rFonts w:ascii="Times New Roman" w:eastAsiaTheme="majorEastAsia" w:hAnsi="Times New Roman" w:cs="Times New Roman"/>
        </w:rPr>
        <w:footnoteReference w:id="282"/>
      </w:r>
    </w:p>
    <w:p w14:paraId="0A570CBC" w14:textId="4476B247" w:rsidR="00B10FA3" w:rsidRPr="00F31BC0" w:rsidRDefault="00B10FA3" w:rsidP="007942B7">
      <w:pPr>
        <w:pStyle w:val="NormalWeb"/>
        <w:spacing w:line="480" w:lineRule="auto"/>
      </w:pPr>
      <w:r w:rsidRPr="00F31BC0">
        <w:rPr>
          <w:b/>
          <w:bCs/>
        </w:rPr>
        <w:t xml:space="preserve">Promoting Economic Justice </w:t>
      </w:r>
    </w:p>
    <w:p w14:paraId="48904CC8" w14:textId="77777777" w:rsidR="00B10FA3" w:rsidRPr="007942B7" w:rsidRDefault="00B10FA3" w:rsidP="007942B7">
      <w:pPr>
        <w:pStyle w:val="NormalWeb"/>
        <w:spacing w:line="480" w:lineRule="auto"/>
      </w:pPr>
      <w:r w:rsidRPr="00F31BC0">
        <w:rPr>
          <w:b/>
          <w:bCs/>
          <w:i/>
          <w:iCs/>
        </w:rPr>
        <w:t xml:space="preserve">     </w:t>
      </w:r>
      <w:r w:rsidRPr="00F31BC0">
        <w:t xml:space="preserve">Any promotion of social assistance by a government runs the risk of taking income and wealth from one group and handing it to another. While such policies may be viewed favorably by one group (say college loan forgiveness in the US and the popularity of the program with recent college grads), others may hold strongly oppositional positions (such as </w:t>
      </w:r>
      <w:r w:rsidRPr="00F31BC0">
        <w:lastRenderedPageBreak/>
        <w:t xml:space="preserve">grads from previous decades, or non-college attendees). How do redistributive systems thrive </w:t>
      </w:r>
      <w:r w:rsidRPr="007942B7">
        <w:t xml:space="preserve">or fail, based on their conceptual framework(s)? Moreover, do systems of social welfare that target specific recipient groups fare better than systems that provide universal assistance? </w:t>
      </w:r>
    </w:p>
    <w:p w14:paraId="62DE6F3E" w14:textId="03AE3241" w:rsidR="00B10FA3" w:rsidRPr="007942B7" w:rsidRDefault="00B10FA3" w:rsidP="007942B7">
      <w:pPr>
        <w:pStyle w:val="NormalWeb"/>
        <w:spacing w:line="480" w:lineRule="auto"/>
        <w:rPr>
          <w:color w:val="0D0D0D" w:themeColor="text1" w:themeTint="F2"/>
        </w:rPr>
      </w:pPr>
      <w:r w:rsidRPr="007942B7">
        <w:t xml:space="preserve">     A 1985 study</w:t>
      </w:r>
      <w:r w:rsidRPr="007942B7">
        <w:rPr>
          <w:color w:val="0D0D0D" w:themeColor="text1" w:themeTint="F2"/>
        </w:rPr>
        <w:t xml:space="preserve"> suggested that, internationally, successful social welfare programs depend on one of several criteria: one is based on the theory of ‘universalism,’ whereby a program blankets itself over the entire population.</w:t>
      </w:r>
      <w:r>
        <w:rPr>
          <w:rStyle w:val="FootnoteReference"/>
          <w:rFonts w:eastAsiaTheme="majorEastAsia"/>
          <w:color w:val="0D0D0D" w:themeColor="text1" w:themeTint="F2"/>
        </w:rPr>
        <w:footnoteReference w:id="283"/>
      </w:r>
      <w:r w:rsidRPr="007942B7">
        <w:rPr>
          <w:color w:val="0D0D0D" w:themeColor="text1" w:themeTint="F2"/>
        </w:rPr>
        <w:t xml:space="preserve"> In this case, a program may be sold politically as a ‘social risk management tool,’ rathe than as a handout to the undeserving. In this way, the issue of redistribution is bypassed, as the middle classes can perceive a benefit that affects them directly; issues of redistribution to the poor become less evident and contentious. Thus, the universal aspect of a program is essential at the early stage of the political offering. From then on, cuts and refinements may be made over time, but the universalism of the basic, original principle holds.</w:t>
      </w:r>
      <w:r w:rsidRPr="007942B7">
        <w:rPr>
          <w:rStyle w:val="FootnoteReference"/>
          <w:rFonts w:eastAsiaTheme="majorEastAsia"/>
          <w:color w:val="0D0D0D" w:themeColor="text1" w:themeTint="F2"/>
        </w:rPr>
        <w:footnoteReference w:id="284"/>
      </w:r>
    </w:p>
    <w:p w14:paraId="0A5E8E85" w14:textId="232C8D75" w:rsidR="00B10FA3" w:rsidRPr="007942B7" w:rsidRDefault="00B10FA3" w:rsidP="007942B7">
      <w:pPr>
        <w:pStyle w:val="NormalWeb"/>
        <w:spacing w:line="480" w:lineRule="auto"/>
        <w:rPr>
          <w:color w:val="002060"/>
        </w:rPr>
      </w:pPr>
      <w:r w:rsidRPr="007942B7">
        <w:t xml:space="preserve">     In the second case, so-called “selective” systems, those that target a certain group initially (such as the US Medicare system), but that expand over time, may benefit from the time and maturation that the system has endured, thus providing empirical evidence for the expansion of the system. However, a system that owes its origins to a “selective” recipient may also stimulate significant opposition, as in the US, where public poverty, housing and health programs did not, in their naissance of the 1960s, show a clear benefit for the politically dominant middle classes. As a result, such programs often ran into opposition; their scope was insufficiently universal. In any event, future increased spending in the programs did not, in the end, lead to greater redistribution.</w:t>
      </w:r>
      <w:r w:rsidRPr="007942B7">
        <w:rPr>
          <w:rStyle w:val="FootnoteReference"/>
          <w:rFonts w:eastAsiaTheme="majorEastAsia"/>
        </w:rPr>
        <w:footnoteReference w:id="285"/>
      </w:r>
      <w:r w:rsidRPr="007942B7">
        <w:t xml:space="preserve"> </w:t>
      </w:r>
    </w:p>
    <w:p w14:paraId="688E347E" w14:textId="77777777" w:rsidR="00B10FA3" w:rsidRPr="007942B7" w:rsidRDefault="00B10FA3" w:rsidP="007942B7">
      <w:pPr>
        <w:pStyle w:val="NormalWeb"/>
        <w:spacing w:line="480" w:lineRule="auto"/>
        <w:rPr>
          <w:color w:val="0D0D0D" w:themeColor="text1" w:themeTint="F2"/>
        </w:rPr>
      </w:pPr>
      <w:r w:rsidRPr="007942B7">
        <w:rPr>
          <w:color w:val="0D0D0D" w:themeColor="text1" w:themeTint="F2"/>
        </w:rPr>
        <w:lastRenderedPageBreak/>
        <w:t xml:space="preserve">    It has been said that the US has turned into a “punitive”</w:t>
      </w:r>
      <w:r w:rsidRPr="007942B7">
        <w:rPr>
          <w:color w:val="002060"/>
        </w:rPr>
        <w:t xml:space="preserve"> </w:t>
      </w:r>
      <w:r w:rsidRPr="007942B7">
        <w:rPr>
          <w:color w:val="0D0D0D" w:themeColor="text1" w:themeTint="F2"/>
        </w:rPr>
        <w:t xml:space="preserve">culture; that, from policing to drug policy to immigration and abortion to social legislation (welfare), the United States tends to focus on the withholding of social benefit, to favor a process that brutalizes, and tends to devolve a negative result to the group in question. Prohibit abortion. Deport immigrants. Stop welfare cheats. Stand Your Ground, protecting your home with lethal power. Don’t talk back to a cop. Ban books that challenge the mythological American historical narrative. The list goes on. But, as discussed earlier, there are examples of countries that provide a high quality of living for the better part of the society, along with high levels of democracy, local autonomy, and low corruption. As a result, the residents of these countries are </w:t>
      </w:r>
      <w:r w:rsidRPr="007942B7">
        <w:rPr>
          <w:i/>
          <w:iCs/>
          <w:color w:val="0D0D0D" w:themeColor="text1" w:themeTint="F2"/>
        </w:rPr>
        <w:t>happier</w:t>
      </w:r>
      <w:r w:rsidRPr="007942B7">
        <w:rPr>
          <w:color w:val="0D0D0D" w:themeColor="text1" w:themeTint="F2"/>
        </w:rPr>
        <w:t>. Their lives are not regularly threatened by want, violence or uncertainty.</w:t>
      </w:r>
    </w:p>
    <w:p w14:paraId="3280BE1C" w14:textId="794B48E8" w:rsidR="00B10FA3" w:rsidRPr="007942B7" w:rsidRDefault="00B10FA3" w:rsidP="007942B7">
      <w:pPr>
        <w:pStyle w:val="NormalWeb"/>
        <w:spacing w:line="480" w:lineRule="auto"/>
        <w:rPr>
          <w:color w:val="0D0D0D" w:themeColor="text1" w:themeTint="F2"/>
        </w:rPr>
      </w:pPr>
      <w:r w:rsidRPr="007942B7">
        <w:rPr>
          <w:color w:val="0D0D0D" w:themeColor="text1" w:themeTint="F2"/>
        </w:rPr>
        <w:t xml:space="preserve">      The 2020 World Happiness Report found that many of these countries were concentrated in the Nordic region of Europe. What created such contentment? Well, for starters, </w:t>
      </w:r>
      <w:r w:rsidRPr="007942B7">
        <w:rPr>
          <w:i/>
          <w:iCs/>
          <w:color w:val="0D0D0D" w:themeColor="text1" w:themeTint="F2"/>
        </w:rPr>
        <w:t>trust in others</w:t>
      </w:r>
      <w:r w:rsidRPr="007942B7">
        <w:rPr>
          <w:color w:val="0D0D0D" w:themeColor="text1" w:themeTint="F2"/>
        </w:rPr>
        <w:t>. This means that people feel connected to their neighbors; they aren’t shooting people who make u</w:t>
      </w:r>
      <w:r w:rsidR="00416394">
        <w:rPr>
          <w:color w:val="0D0D0D" w:themeColor="text1" w:themeTint="F2"/>
        </w:rPr>
        <w:t xml:space="preserve"> </w:t>
      </w:r>
      <w:r w:rsidR="008B74C9">
        <w:rPr>
          <w:color w:val="0D0D0D" w:themeColor="text1" w:themeTint="F2"/>
        </w:rPr>
        <w:t>-</w:t>
      </w:r>
      <w:r w:rsidR="00416394">
        <w:rPr>
          <w:color w:val="0D0D0D" w:themeColor="text1" w:themeTint="F2"/>
        </w:rPr>
        <w:t xml:space="preserve"> </w:t>
      </w:r>
      <w:r w:rsidRPr="007942B7">
        <w:rPr>
          <w:color w:val="0D0D0D" w:themeColor="text1" w:themeTint="F2"/>
        </w:rPr>
        <w:t xml:space="preserve">turns in their driveways. Second, there is a lack of relative economic insecurity. Unlike the US, where 40% of the population doesn’t have $400 in the bank, their basic needs are taken care of. They may not be rich, but they are societally functional, and may participate as normal residents, without resorting to loans, crime or escapism (drugs, </w:t>
      </w:r>
      <w:proofErr w:type="spellStart"/>
      <w:r w:rsidRPr="007942B7">
        <w:rPr>
          <w:color w:val="0D0D0D" w:themeColor="text1" w:themeTint="F2"/>
        </w:rPr>
        <w:t>itin</w:t>
      </w:r>
      <w:r w:rsidR="00942DA4">
        <w:rPr>
          <w:color w:val="0D0D0D" w:themeColor="text1" w:themeTint="F2"/>
        </w:rPr>
        <w:t>e</w:t>
      </w:r>
      <w:r w:rsidRPr="007942B7">
        <w:rPr>
          <w:color w:val="0D0D0D" w:themeColor="text1" w:themeTint="F2"/>
        </w:rPr>
        <w:t>r</w:t>
      </w:r>
      <w:r w:rsidR="00942DA4">
        <w:rPr>
          <w:color w:val="0D0D0D" w:themeColor="text1" w:themeTint="F2"/>
        </w:rPr>
        <w:t>a</w:t>
      </w:r>
      <w:r w:rsidRPr="007942B7">
        <w:rPr>
          <w:color w:val="0D0D0D" w:themeColor="text1" w:themeTint="F2"/>
        </w:rPr>
        <w:t>ntism</w:t>
      </w:r>
      <w:proofErr w:type="spellEnd"/>
      <w:r w:rsidRPr="007942B7">
        <w:rPr>
          <w:color w:val="0D0D0D" w:themeColor="text1" w:themeTint="F2"/>
        </w:rPr>
        <w:t>).</w:t>
      </w:r>
      <w:r w:rsidRPr="007942B7">
        <w:rPr>
          <w:rStyle w:val="FootnoteReference"/>
          <w:rFonts w:eastAsiaTheme="majorEastAsia"/>
          <w:color w:val="0D0D0D" w:themeColor="text1" w:themeTint="F2"/>
        </w:rPr>
        <w:footnoteReference w:id="286"/>
      </w:r>
    </w:p>
    <w:p w14:paraId="100A0713" w14:textId="77777777" w:rsidR="00B10FA3" w:rsidRPr="007942B7" w:rsidRDefault="00B10FA3" w:rsidP="007942B7">
      <w:pPr>
        <w:spacing w:line="480" w:lineRule="auto"/>
        <w:rPr>
          <w:rFonts w:ascii="Times New Roman" w:eastAsia="Times New Roman" w:hAnsi="Times New Roman" w:cs="Times New Roman"/>
          <w:lang w:eastAsia="en-CA"/>
        </w:rPr>
      </w:pPr>
      <w:r w:rsidRPr="007942B7">
        <w:rPr>
          <w:rFonts w:ascii="Times New Roman" w:eastAsia="Times New Roman" w:hAnsi="Times New Roman" w:cs="Times New Roman"/>
          <w:lang w:eastAsia="en-CA"/>
        </w:rPr>
        <w:t xml:space="preserve">     Perhaps most importantly, especially given the thesis of this book as to the causes of radicalism, societal happiness in the Nordic countries is directly related to the </w:t>
      </w:r>
      <w:r w:rsidRPr="007942B7">
        <w:rPr>
          <w:rFonts w:ascii="Times New Roman" w:eastAsia="Times New Roman" w:hAnsi="Times New Roman" w:cs="Times New Roman"/>
          <w:i/>
          <w:iCs/>
          <w:lang w:eastAsia="en-CA"/>
        </w:rPr>
        <w:t>low status anxiety</w:t>
      </w:r>
      <w:r w:rsidRPr="007942B7">
        <w:rPr>
          <w:rFonts w:ascii="Times New Roman" w:eastAsia="Times New Roman" w:hAnsi="Times New Roman" w:cs="Times New Roman"/>
          <w:lang w:eastAsia="en-CA"/>
        </w:rPr>
        <w:t xml:space="preserve"> that residents feel; there is a general sense that they will not fail, as they have been given the rudimentary tools to succeed.</w:t>
      </w:r>
      <w:r w:rsidRPr="007942B7">
        <w:rPr>
          <w:rStyle w:val="FootnoteReference"/>
          <w:rFonts w:ascii="Times New Roman" w:eastAsia="Times New Roman" w:hAnsi="Times New Roman" w:cs="Times New Roman"/>
          <w:lang w:eastAsia="en-CA"/>
        </w:rPr>
        <w:footnoteReference w:id="287"/>
      </w:r>
      <w:r w:rsidRPr="007942B7">
        <w:rPr>
          <w:rFonts w:ascii="Times New Roman" w:eastAsia="Times New Roman" w:hAnsi="Times New Roman" w:cs="Times New Roman"/>
          <w:lang w:eastAsia="en-CA"/>
        </w:rPr>
        <w:t xml:space="preserve">     </w:t>
      </w:r>
    </w:p>
    <w:p w14:paraId="6BBE21A4" w14:textId="77777777" w:rsidR="00B10FA3" w:rsidRPr="007942B7" w:rsidRDefault="00B10FA3" w:rsidP="007942B7">
      <w:pPr>
        <w:spacing w:line="480" w:lineRule="auto"/>
        <w:rPr>
          <w:rFonts w:ascii="Times New Roman" w:eastAsia="Times New Roman" w:hAnsi="Times New Roman" w:cs="Times New Roman"/>
          <w:lang w:eastAsia="en-CA"/>
        </w:rPr>
      </w:pPr>
      <w:r w:rsidRPr="007942B7">
        <w:rPr>
          <w:rFonts w:ascii="Times New Roman" w:eastAsia="Times New Roman" w:hAnsi="Times New Roman" w:cs="Times New Roman"/>
          <w:lang w:eastAsia="en-CA"/>
        </w:rPr>
        <w:lastRenderedPageBreak/>
        <w:t xml:space="preserve">       To summarize, the American political culture and the American political economy are, for myriad reasons, different from those of Europe. And, within Europe, redistribution itself varies profoundly from country to country, and from region to region. Compare, for example, a retirement benefit from Southern Italy, and compare it to the same in Flanders, Belgium. The differences are significant. </w:t>
      </w:r>
      <w:r w:rsidRPr="008B74C9">
        <w:rPr>
          <w:rFonts w:ascii="Times New Roman" w:eastAsia="Times New Roman" w:hAnsi="Times New Roman" w:cs="Times New Roman"/>
          <w:i/>
          <w:iCs/>
          <w:lang w:eastAsia="en-CA"/>
        </w:rPr>
        <w:t>But, in both regions, healthcare is universal, social assistance is widely available</w:t>
      </w:r>
      <w:r w:rsidRPr="007942B7">
        <w:rPr>
          <w:rFonts w:ascii="Times New Roman" w:eastAsia="Times New Roman" w:hAnsi="Times New Roman" w:cs="Times New Roman"/>
          <w:lang w:eastAsia="en-CA"/>
        </w:rPr>
        <w:t xml:space="preserve">, and abject poverty and homelessness, while present, is on an entirely different level than in the US. </w:t>
      </w:r>
    </w:p>
    <w:p w14:paraId="781D8430" w14:textId="77777777" w:rsidR="00B10FA3" w:rsidRPr="007942B7" w:rsidRDefault="00B10FA3" w:rsidP="007942B7">
      <w:pPr>
        <w:spacing w:line="480" w:lineRule="auto"/>
        <w:rPr>
          <w:rFonts w:ascii="Times New Roman" w:eastAsia="Times New Roman" w:hAnsi="Times New Roman" w:cs="Times New Roman"/>
          <w:lang w:eastAsia="en-CA"/>
        </w:rPr>
      </w:pPr>
      <w:r w:rsidRPr="007942B7">
        <w:rPr>
          <w:rFonts w:ascii="Times New Roman" w:eastAsia="Times New Roman" w:hAnsi="Times New Roman" w:cs="Times New Roman"/>
          <w:lang w:eastAsia="en-CA"/>
        </w:rPr>
        <w:t xml:space="preserve">     Perhaps the problem – at least in the US, where people tend to think in terms of individualism, rather than of class, circumstance or region, the term </w:t>
      </w:r>
      <w:r w:rsidRPr="007942B7">
        <w:rPr>
          <w:rFonts w:ascii="Times New Roman" w:eastAsia="Times New Roman" w:hAnsi="Times New Roman" w:cs="Times New Roman"/>
          <w:i/>
          <w:iCs/>
          <w:lang w:eastAsia="en-CA"/>
        </w:rPr>
        <w:t>redistribution</w:t>
      </w:r>
      <w:r w:rsidRPr="007942B7">
        <w:rPr>
          <w:rFonts w:ascii="Times New Roman" w:eastAsia="Times New Roman" w:hAnsi="Times New Roman" w:cs="Times New Roman"/>
          <w:lang w:eastAsia="en-CA"/>
        </w:rPr>
        <w:t xml:space="preserve"> itself may be the key problem in mitigating certain social ails. After all, like it or not, the US redistributes money – sometime to the rich, through tax cuts, and sometimes to the poor, through Medicare and Food Stamps. </w:t>
      </w:r>
      <w:r w:rsidRPr="00942DA4">
        <w:rPr>
          <w:rFonts w:ascii="Times New Roman" w:eastAsia="Times New Roman" w:hAnsi="Times New Roman" w:cs="Times New Roman"/>
          <w:i/>
          <w:iCs/>
          <w:lang w:eastAsia="en-CA"/>
        </w:rPr>
        <w:t>But they also redistribute money through emergency room visits</w:t>
      </w:r>
      <w:r w:rsidRPr="007942B7">
        <w:rPr>
          <w:rFonts w:ascii="Times New Roman" w:eastAsia="Times New Roman" w:hAnsi="Times New Roman" w:cs="Times New Roman"/>
          <w:lang w:eastAsia="en-CA"/>
        </w:rPr>
        <w:t xml:space="preserve"> from poor persons who have no health insurance. As our present sense of social propriety won’t allow for a person to drop dead on the street, we permit all sick persons to be treated in a hospital, insurance or not. This is socialized medicine – but in a backward form. The general population subsidizes a population that are refused participation in the general health care system. Rather than lesson their likelihood of ending up in the hospital, we neglect them until they need acute care. As a result, we spend </w:t>
      </w:r>
      <w:r w:rsidRPr="007942B7">
        <w:rPr>
          <w:rFonts w:ascii="Times New Roman" w:eastAsia="Times New Roman" w:hAnsi="Times New Roman" w:cs="Times New Roman"/>
          <w:i/>
          <w:iCs/>
          <w:lang w:eastAsia="en-CA"/>
        </w:rPr>
        <w:t>exponentially</w:t>
      </w:r>
      <w:r w:rsidRPr="007942B7">
        <w:rPr>
          <w:rFonts w:ascii="Times New Roman" w:eastAsia="Times New Roman" w:hAnsi="Times New Roman" w:cs="Times New Roman"/>
          <w:lang w:eastAsia="en-CA"/>
        </w:rPr>
        <w:t xml:space="preserve"> more money on them. Why? </w:t>
      </w:r>
    </w:p>
    <w:p w14:paraId="1F653022" w14:textId="77777777" w:rsidR="00B10FA3" w:rsidRPr="007942B7" w:rsidRDefault="00B10FA3" w:rsidP="007942B7">
      <w:pPr>
        <w:spacing w:line="480" w:lineRule="auto"/>
        <w:rPr>
          <w:rFonts w:ascii="Times New Roman" w:eastAsia="Times New Roman" w:hAnsi="Times New Roman" w:cs="Times New Roman"/>
          <w:b/>
          <w:bCs/>
          <w:lang w:eastAsia="en-CA"/>
        </w:rPr>
      </w:pPr>
      <w:r w:rsidRPr="007942B7">
        <w:rPr>
          <w:rFonts w:ascii="Times New Roman" w:eastAsia="Times New Roman" w:hAnsi="Times New Roman" w:cs="Times New Roman"/>
          <w:lang w:eastAsia="en-CA"/>
        </w:rPr>
        <w:t xml:space="preserve">     It costs $40,000 to house an inmate per year. Keep</w:t>
      </w:r>
      <w:r>
        <w:rPr>
          <w:rFonts w:ascii="Times New Roman" w:eastAsia="Times New Roman" w:hAnsi="Times New Roman" w:cs="Times New Roman"/>
          <w:lang w:eastAsia="en-CA"/>
        </w:rPr>
        <w:t>ing</w:t>
      </w:r>
      <w:r w:rsidRPr="007942B7">
        <w:rPr>
          <w:rFonts w:ascii="Times New Roman" w:eastAsia="Times New Roman" w:hAnsi="Times New Roman" w:cs="Times New Roman"/>
          <w:lang w:eastAsia="en-CA"/>
        </w:rPr>
        <w:t xml:space="preserve"> them out of prison is infinitely more affordable; so, why don’t we do it? The reasons are complex; they relate to race, class, propaganda, industry and media – and they aren’t going to change any time soon.        </w:t>
      </w:r>
    </w:p>
    <w:p w14:paraId="07F44439" w14:textId="77777777" w:rsidR="00B10FA3" w:rsidRPr="007942B7" w:rsidRDefault="00B10FA3" w:rsidP="007942B7">
      <w:pPr>
        <w:spacing w:line="240" w:lineRule="auto"/>
        <w:rPr>
          <w:rFonts w:ascii="Times New Roman" w:eastAsia="Times New Roman" w:hAnsi="Times New Roman" w:cs="Times New Roman"/>
          <w:b/>
          <w:bCs/>
          <w:lang w:eastAsia="en-CA"/>
        </w:rPr>
      </w:pPr>
    </w:p>
    <w:p w14:paraId="40E9F734" w14:textId="77777777" w:rsidR="00B10FA3" w:rsidRPr="007942B7" w:rsidRDefault="00B10FA3" w:rsidP="007942B7">
      <w:pPr>
        <w:spacing w:line="240" w:lineRule="auto"/>
        <w:rPr>
          <w:rFonts w:ascii="Times New Roman" w:eastAsia="Times New Roman" w:hAnsi="Times New Roman" w:cs="Times New Roman"/>
          <w:b/>
          <w:bCs/>
          <w:lang w:eastAsia="en-CA"/>
        </w:rPr>
      </w:pPr>
    </w:p>
    <w:p w14:paraId="6ABD5E14" w14:textId="77777777" w:rsidR="00B10FA3" w:rsidRPr="007942B7" w:rsidRDefault="00B10FA3">
      <w:pPr>
        <w:rPr>
          <w:rFonts w:ascii="Times New Roman" w:hAnsi="Times New Roman" w:cs="Times New Roman"/>
          <w:b/>
          <w:bCs/>
        </w:rPr>
      </w:pPr>
    </w:p>
    <w:p w14:paraId="55632E9A" w14:textId="77777777" w:rsidR="00B10FA3" w:rsidRDefault="00B10FA3"/>
    <w:p w14:paraId="6D5AD79F" w14:textId="77777777" w:rsidR="00B10FA3" w:rsidRDefault="00B10FA3"/>
    <w:p w14:paraId="44E3EC33" w14:textId="77777777" w:rsidR="00B10FA3" w:rsidRDefault="00B10FA3"/>
    <w:p w14:paraId="6BCD2131" w14:textId="77777777" w:rsidR="00B10FA3" w:rsidRDefault="00B10FA3"/>
    <w:p w14:paraId="25D3D3D3" w14:textId="77777777" w:rsidR="00B10FA3" w:rsidRDefault="00B10FA3"/>
    <w:p w14:paraId="031EB421" w14:textId="77777777" w:rsidR="00B10FA3" w:rsidRDefault="00B10FA3">
      <w:r>
        <w:tab/>
      </w:r>
      <w:r>
        <w:tab/>
      </w:r>
      <w:r>
        <w:tab/>
        <w:t xml:space="preserve">                     </w:t>
      </w:r>
    </w:p>
    <w:p w14:paraId="4BF10EEF" w14:textId="77777777" w:rsidR="00B10FA3" w:rsidRDefault="00B10FA3"/>
    <w:p w14:paraId="7691BA18" w14:textId="77777777" w:rsidR="00B10FA3" w:rsidRDefault="00B10FA3"/>
    <w:p w14:paraId="59C7E7FF" w14:textId="77777777" w:rsidR="006820E4" w:rsidRDefault="006820E4"/>
    <w:p w14:paraId="0003AC8B" w14:textId="77777777" w:rsidR="006820E4" w:rsidRDefault="006820E4"/>
    <w:p w14:paraId="7F536197" w14:textId="77777777" w:rsidR="006820E4" w:rsidRDefault="006820E4"/>
    <w:p w14:paraId="25D1348C" w14:textId="77777777" w:rsidR="006820E4" w:rsidRDefault="006820E4"/>
    <w:p w14:paraId="67F211DA" w14:textId="77777777" w:rsidR="006820E4" w:rsidRDefault="006820E4"/>
    <w:p w14:paraId="3FBDEBC2" w14:textId="77777777" w:rsidR="006820E4" w:rsidRDefault="006820E4"/>
    <w:p w14:paraId="4C0BFC2C" w14:textId="77777777" w:rsidR="006820E4" w:rsidRDefault="006820E4"/>
    <w:p w14:paraId="6723D190" w14:textId="77777777" w:rsidR="006820E4" w:rsidRDefault="006820E4"/>
    <w:p w14:paraId="7173EBE3" w14:textId="77777777" w:rsidR="006820E4" w:rsidRDefault="006820E4"/>
    <w:p w14:paraId="72B19050" w14:textId="77777777" w:rsidR="006820E4" w:rsidRDefault="006820E4"/>
    <w:p w14:paraId="4F9D3017" w14:textId="77777777" w:rsidR="00B10FA3" w:rsidRDefault="00B10FA3"/>
    <w:p w14:paraId="3A6DBE50" w14:textId="77777777" w:rsidR="006820E4" w:rsidRDefault="006820E4" w:rsidP="001802AA">
      <w:pPr>
        <w:rPr>
          <w:rFonts w:ascii="Times New Roman" w:hAnsi="Times New Roman" w:cs="Times New Roman"/>
          <w:b/>
          <w:bCs/>
          <w:sz w:val="32"/>
          <w:szCs w:val="32"/>
        </w:rPr>
      </w:pPr>
    </w:p>
    <w:p w14:paraId="4BD66B2A" w14:textId="77777777" w:rsidR="006820E4" w:rsidRDefault="006820E4" w:rsidP="001802AA">
      <w:pPr>
        <w:rPr>
          <w:rFonts w:ascii="Times New Roman" w:hAnsi="Times New Roman" w:cs="Times New Roman"/>
          <w:b/>
          <w:bCs/>
          <w:sz w:val="32"/>
          <w:szCs w:val="32"/>
        </w:rPr>
      </w:pPr>
    </w:p>
    <w:p w14:paraId="77D8CDDC" w14:textId="77777777" w:rsidR="006820E4" w:rsidRDefault="006820E4" w:rsidP="001802AA">
      <w:pPr>
        <w:rPr>
          <w:rFonts w:ascii="Times New Roman" w:hAnsi="Times New Roman" w:cs="Times New Roman"/>
          <w:b/>
          <w:bCs/>
          <w:sz w:val="32"/>
          <w:szCs w:val="32"/>
        </w:rPr>
      </w:pPr>
    </w:p>
    <w:p w14:paraId="0684B026" w14:textId="77777777" w:rsidR="00A11A47" w:rsidRDefault="00B10FA3" w:rsidP="001802AA">
      <w:pPr>
        <w:rPr>
          <w:rFonts w:ascii="Times New Roman" w:hAnsi="Times New Roman" w:cs="Times New Roman"/>
          <w:b/>
          <w:bCs/>
          <w:sz w:val="32"/>
          <w:szCs w:val="32"/>
        </w:rPr>
      </w:pPr>
      <w:r>
        <w:rPr>
          <w:rFonts w:ascii="Times New Roman" w:hAnsi="Times New Roman" w:cs="Times New Roman"/>
          <w:b/>
          <w:bCs/>
          <w:sz w:val="32"/>
          <w:szCs w:val="32"/>
        </w:rPr>
        <w:t xml:space="preserve">                             </w:t>
      </w:r>
    </w:p>
    <w:p w14:paraId="0EBA6A27" w14:textId="77777777" w:rsidR="00A11A47" w:rsidRDefault="00A11A47" w:rsidP="001802AA">
      <w:pPr>
        <w:rPr>
          <w:rFonts w:ascii="Times New Roman" w:hAnsi="Times New Roman" w:cs="Times New Roman"/>
          <w:b/>
          <w:bCs/>
          <w:sz w:val="32"/>
          <w:szCs w:val="32"/>
        </w:rPr>
      </w:pPr>
    </w:p>
    <w:p w14:paraId="7870E11E" w14:textId="77777777" w:rsidR="00A11A47" w:rsidRDefault="00A11A47" w:rsidP="001802AA">
      <w:pPr>
        <w:rPr>
          <w:rFonts w:ascii="Times New Roman" w:hAnsi="Times New Roman" w:cs="Times New Roman"/>
          <w:b/>
          <w:bCs/>
          <w:sz w:val="32"/>
          <w:szCs w:val="32"/>
        </w:rPr>
      </w:pPr>
    </w:p>
    <w:p w14:paraId="4F84DD4C" w14:textId="77777777" w:rsidR="00A11A47" w:rsidRDefault="00A11A47" w:rsidP="001802AA">
      <w:pPr>
        <w:rPr>
          <w:rFonts w:ascii="Times New Roman" w:hAnsi="Times New Roman" w:cs="Times New Roman"/>
          <w:b/>
          <w:bCs/>
          <w:sz w:val="32"/>
          <w:szCs w:val="32"/>
        </w:rPr>
      </w:pPr>
    </w:p>
    <w:p w14:paraId="02313B06" w14:textId="77777777" w:rsidR="00416394" w:rsidRDefault="00416394" w:rsidP="00A11A47">
      <w:pPr>
        <w:ind w:left="2160" w:firstLine="720"/>
        <w:rPr>
          <w:rFonts w:ascii="Times New Roman" w:hAnsi="Times New Roman" w:cs="Times New Roman"/>
          <w:b/>
          <w:bCs/>
          <w:sz w:val="32"/>
          <w:szCs w:val="32"/>
        </w:rPr>
      </w:pPr>
    </w:p>
    <w:p w14:paraId="06E0EACB" w14:textId="77777777" w:rsidR="00416394" w:rsidRDefault="00416394" w:rsidP="00A11A47">
      <w:pPr>
        <w:ind w:left="2160" w:firstLine="720"/>
        <w:rPr>
          <w:rFonts w:ascii="Times New Roman" w:hAnsi="Times New Roman" w:cs="Times New Roman"/>
          <w:b/>
          <w:bCs/>
          <w:sz w:val="32"/>
          <w:szCs w:val="32"/>
        </w:rPr>
      </w:pPr>
    </w:p>
    <w:p w14:paraId="6729B69B" w14:textId="77777777" w:rsidR="00416394" w:rsidRDefault="00416394" w:rsidP="00A11A47">
      <w:pPr>
        <w:ind w:left="2160" w:firstLine="720"/>
        <w:rPr>
          <w:rFonts w:ascii="Times New Roman" w:hAnsi="Times New Roman" w:cs="Times New Roman"/>
          <w:b/>
          <w:bCs/>
          <w:sz w:val="32"/>
          <w:szCs w:val="32"/>
        </w:rPr>
      </w:pPr>
    </w:p>
    <w:p w14:paraId="68CA9BE3" w14:textId="77777777" w:rsidR="00416394" w:rsidRDefault="00416394" w:rsidP="00A11A47">
      <w:pPr>
        <w:ind w:left="2160" w:firstLine="720"/>
        <w:rPr>
          <w:rFonts w:ascii="Times New Roman" w:hAnsi="Times New Roman" w:cs="Times New Roman"/>
          <w:b/>
          <w:bCs/>
          <w:sz w:val="32"/>
          <w:szCs w:val="32"/>
        </w:rPr>
      </w:pPr>
    </w:p>
    <w:p w14:paraId="72C381EA" w14:textId="77777777" w:rsidR="00416394" w:rsidRDefault="00416394" w:rsidP="00A11A47">
      <w:pPr>
        <w:ind w:left="2160" w:firstLine="720"/>
        <w:rPr>
          <w:rFonts w:ascii="Times New Roman" w:hAnsi="Times New Roman" w:cs="Times New Roman"/>
          <w:b/>
          <w:bCs/>
          <w:sz w:val="32"/>
          <w:szCs w:val="32"/>
        </w:rPr>
      </w:pPr>
    </w:p>
    <w:p w14:paraId="4FA8D589" w14:textId="77777777" w:rsidR="00416394" w:rsidRDefault="00416394" w:rsidP="00A11A47">
      <w:pPr>
        <w:ind w:left="2160" w:firstLine="720"/>
        <w:rPr>
          <w:rFonts w:ascii="Times New Roman" w:hAnsi="Times New Roman" w:cs="Times New Roman"/>
          <w:b/>
          <w:bCs/>
          <w:sz w:val="32"/>
          <w:szCs w:val="32"/>
        </w:rPr>
      </w:pPr>
    </w:p>
    <w:p w14:paraId="5C4AC87B" w14:textId="515BF3E7" w:rsidR="00B10FA3" w:rsidRPr="000B296B" w:rsidRDefault="00B10FA3" w:rsidP="00A11A47">
      <w:pPr>
        <w:ind w:left="2160" w:firstLine="720"/>
        <w:rPr>
          <w:rFonts w:ascii="Times New Roman" w:hAnsi="Times New Roman" w:cs="Times New Roman"/>
          <w:b/>
          <w:bCs/>
          <w:sz w:val="32"/>
          <w:szCs w:val="32"/>
        </w:rPr>
      </w:pPr>
      <w:r>
        <w:rPr>
          <w:rFonts w:ascii="Times New Roman" w:hAnsi="Times New Roman" w:cs="Times New Roman"/>
          <w:b/>
          <w:bCs/>
          <w:sz w:val="32"/>
          <w:szCs w:val="32"/>
        </w:rPr>
        <w:t xml:space="preserve">       </w:t>
      </w:r>
      <w:r w:rsidRPr="000B296B">
        <w:rPr>
          <w:rFonts w:ascii="Times New Roman" w:hAnsi="Times New Roman" w:cs="Times New Roman"/>
          <w:b/>
          <w:bCs/>
          <w:sz w:val="32"/>
          <w:szCs w:val="32"/>
        </w:rPr>
        <w:t>CONCLUSION</w:t>
      </w:r>
    </w:p>
    <w:p w14:paraId="3BFA06A1" w14:textId="77777777" w:rsidR="00B10FA3" w:rsidRDefault="00B10FA3">
      <w:pPr>
        <w:rPr>
          <w:b/>
          <w:bCs/>
          <w:sz w:val="32"/>
          <w:szCs w:val="32"/>
        </w:rPr>
      </w:pPr>
    </w:p>
    <w:p w14:paraId="01DD1034" w14:textId="77777777" w:rsidR="00B10FA3" w:rsidRDefault="00B10FA3">
      <w:pPr>
        <w:rPr>
          <w:b/>
          <w:bCs/>
          <w:sz w:val="32"/>
          <w:szCs w:val="32"/>
        </w:rPr>
      </w:pPr>
      <w:r>
        <w:rPr>
          <w:b/>
          <w:bCs/>
          <w:sz w:val="32"/>
          <w:szCs w:val="32"/>
        </w:rPr>
        <w:t xml:space="preserve">  </w:t>
      </w:r>
    </w:p>
    <w:p w14:paraId="18C359D5" w14:textId="77777777" w:rsidR="00B10FA3" w:rsidRDefault="00B10FA3" w:rsidP="00453D46">
      <w:pPr>
        <w:spacing w:line="480" w:lineRule="auto"/>
        <w:rPr>
          <w:rFonts w:ascii="Times New Roman" w:hAnsi="Times New Roman" w:cs="Times New Roman"/>
        </w:rPr>
      </w:pPr>
      <w:r>
        <w:rPr>
          <w:rFonts w:ascii="Times New Roman" w:hAnsi="Times New Roman" w:cs="Times New Roman"/>
        </w:rPr>
        <w:t xml:space="preserve">       </w:t>
      </w:r>
    </w:p>
    <w:p w14:paraId="5CADDF2B" w14:textId="77777777" w:rsidR="006820E4" w:rsidRDefault="006820E4" w:rsidP="00453D46">
      <w:pPr>
        <w:spacing w:line="480" w:lineRule="auto"/>
        <w:rPr>
          <w:rFonts w:ascii="Times New Roman" w:hAnsi="Times New Roman" w:cs="Times New Roman"/>
        </w:rPr>
      </w:pPr>
    </w:p>
    <w:p w14:paraId="528F0959" w14:textId="77777777" w:rsidR="006820E4" w:rsidRDefault="006820E4" w:rsidP="00453D46">
      <w:pPr>
        <w:spacing w:line="480" w:lineRule="auto"/>
        <w:rPr>
          <w:rFonts w:ascii="Times New Roman" w:hAnsi="Times New Roman" w:cs="Times New Roman"/>
        </w:rPr>
      </w:pPr>
    </w:p>
    <w:p w14:paraId="6BA0CF54" w14:textId="1557561B" w:rsidR="00B10FA3" w:rsidRDefault="00B10FA3" w:rsidP="00453D46">
      <w:pPr>
        <w:spacing w:line="480" w:lineRule="auto"/>
        <w:rPr>
          <w:rFonts w:ascii="Times New Roman" w:hAnsi="Times New Roman" w:cs="Times New Roman"/>
        </w:rPr>
      </w:pPr>
      <w:r>
        <w:rPr>
          <w:rFonts w:ascii="Times New Roman" w:hAnsi="Times New Roman" w:cs="Times New Roman"/>
        </w:rPr>
        <w:t xml:space="preserve">          To add to the forementioned Scooby Doo reference in an early, chapter, I need to call up Archie and the gang now. One night, Archie came across Moose (the high school dumb jock) looking for something under a street light. Archie asked: “What are you looking for, Moose?” He responded “I lost a quarter over on 12</w:t>
      </w:r>
      <w:r w:rsidRPr="00453D46">
        <w:rPr>
          <w:rFonts w:ascii="Times New Roman" w:hAnsi="Times New Roman" w:cs="Times New Roman"/>
          <w:vertAlign w:val="superscript"/>
        </w:rPr>
        <w:t>th</w:t>
      </w:r>
      <w:r>
        <w:rPr>
          <w:rFonts w:ascii="Times New Roman" w:hAnsi="Times New Roman" w:cs="Times New Roman"/>
        </w:rPr>
        <w:t xml:space="preserve"> street,” to which Archie replied “but 12</w:t>
      </w:r>
      <w:r w:rsidRPr="00453D46">
        <w:rPr>
          <w:rFonts w:ascii="Times New Roman" w:hAnsi="Times New Roman" w:cs="Times New Roman"/>
          <w:vertAlign w:val="superscript"/>
        </w:rPr>
        <w:t>th</w:t>
      </w:r>
      <w:r>
        <w:rPr>
          <w:rFonts w:ascii="Times New Roman" w:hAnsi="Times New Roman" w:cs="Times New Roman"/>
        </w:rPr>
        <w:t xml:space="preserve"> Street is many blocks from here,” to which Moose retorted “yes but the light is better here.”</w:t>
      </w:r>
    </w:p>
    <w:p w14:paraId="133EB4F7" w14:textId="4F1075BC" w:rsidR="00B10FA3" w:rsidRDefault="00B10FA3" w:rsidP="00453D46">
      <w:pPr>
        <w:spacing w:line="480" w:lineRule="auto"/>
        <w:rPr>
          <w:rFonts w:ascii="Times New Roman" w:hAnsi="Times New Roman" w:cs="Times New Roman"/>
        </w:rPr>
      </w:pPr>
      <w:r>
        <w:rPr>
          <w:rFonts w:ascii="Times New Roman" w:hAnsi="Times New Roman" w:cs="Times New Roman"/>
        </w:rPr>
        <w:t xml:space="preserve">  I think this is a parable that explains well Trump and Trumpism, not to mention gender relations and male status concerns well into the 21</w:t>
      </w:r>
      <w:r w:rsidRPr="00453D46">
        <w:rPr>
          <w:rFonts w:ascii="Times New Roman" w:hAnsi="Times New Roman" w:cs="Times New Roman"/>
          <w:vertAlign w:val="superscript"/>
        </w:rPr>
        <w:t>st</w:t>
      </w:r>
      <w:r>
        <w:rPr>
          <w:rFonts w:ascii="Times New Roman" w:hAnsi="Times New Roman" w:cs="Times New Roman"/>
        </w:rPr>
        <w:t xml:space="preserve"> century, in that nothing is quite as it seems. We may be searching for answers to contemporary political behavior where the “light is better,”</w:t>
      </w:r>
      <w:r w:rsidR="008B74C9">
        <w:rPr>
          <w:rFonts w:ascii="Times New Roman" w:hAnsi="Times New Roman" w:cs="Times New Roman"/>
        </w:rPr>
        <w:t xml:space="preserve"> – i.e. that is which more familiar and conventionally understood - </w:t>
      </w:r>
      <w:r>
        <w:rPr>
          <w:rFonts w:ascii="Times New Roman" w:hAnsi="Times New Roman" w:cs="Times New Roman"/>
        </w:rPr>
        <w:t xml:space="preserve"> but without really pay attention to the real driving forces behind those behaviors. Issues aren’t necessarily about what it is claimed that they are about. The rising cost of eggs, abortion, gun laws, immigration, LGBT rights, Social Security and other contemporary issues are all subject to political misdirection, and, I would argue, misidentification. So many current matters under </w:t>
      </w:r>
      <w:r>
        <w:rPr>
          <w:rFonts w:ascii="Times New Roman" w:hAnsi="Times New Roman" w:cs="Times New Roman"/>
        </w:rPr>
        <w:lastRenderedPageBreak/>
        <w:t xml:space="preserve">contention are, at a deeper level the function of the changing demographic map in the US; changing gender norms is a critically important element undergirding many issues which, on the surface appear to be about other things. </w:t>
      </w:r>
    </w:p>
    <w:p w14:paraId="132AF260" w14:textId="45819539" w:rsidR="00B10FA3" w:rsidRPr="006A105B" w:rsidRDefault="00B10FA3" w:rsidP="008B74C9">
      <w:pPr>
        <w:spacing w:line="480" w:lineRule="auto"/>
        <w:rPr>
          <w:rFonts w:ascii="Times New Roman" w:eastAsia="Times New Roman" w:hAnsi="Times New Roman" w:cs="Times New Roman"/>
          <w:lang w:eastAsia="en-CA"/>
        </w:rPr>
      </w:pPr>
      <w:r>
        <w:rPr>
          <w:rFonts w:ascii="Times New Roman" w:hAnsi="Times New Roman" w:cs="Times New Roman"/>
        </w:rPr>
        <w:t xml:space="preserve">      Let’s delve a little further into this phenomenon: </w:t>
      </w:r>
      <w:r w:rsidRPr="006A105B">
        <w:rPr>
          <w:rFonts w:ascii="Times New Roman" w:eastAsia="Times New Roman" w:hAnsi="Times New Roman" w:cs="Times New Roman"/>
          <w:lang w:eastAsia="en-CA"/>
        </w:rPr>
        <w:t xml:space="preserve">On the issue of abortion, the "anti" side typically argues the sanctity of life. On the "pro" side, the argument is generally in support of a woman's right to control her reproductive processes. But, if we look at </w:t>
      </w:r>
      <w:r w:rsidRPr="006A105B">
        <w:rPr>
          <w:rFonts w:ascii="Times New Roman" w:eastAsia="Times New Roman" w:hAnsi="Times New Roman" w:cs="Times New Roman"/>
          <w:i/>
          <w:iCs/>
          <w:lang w:eastAsia="en-CA"/>
        </w:rPr>
        <w:t>three issues</w:t>
      </w:r>
      <w:r w:rsidRPr="006A105B">
        <w:rPr>
          <w:rFonts w:ascii="Times New Roman" w:eastAsia="Times New Roman" w:hAnsi="Times New Roman" w:cs="Times New Roman"/>
          <w:lang w:eastAsia="en-CA"/>
        </w:rPr>
        <w:t>, the 1970s era Equal Rights Amendment for women (which did not pass), recent abortion bans, and support or opposition to the death penalty, the question</w:t>
      </w:r>
      <w:r>
        <w:rPr>
          <w:rFonts w:ascii="Times New Roman" w:eastAsia="Times New Roman" w:hAnsi="Times New Roman" w:cs="Times New Roman"/>
          <w:lang w:eastAsia="en-CA"/>
        </w:rPr>
        <w:t>s</w:t>
      </w:r>
      <w:r w:rsidRPr="006A105B">
        <w:rPr>
          <w:rFonts w:ascii="Times New Roman" w:eastAsia="Times New Roman" w:hAnsi="Times New Roman" w:cs="Times New Roman"/>
          <w:lang w:eastAsia="en-CA"/>
        </w:rPr>
        <w:t xml:space="preserve"> of women's rights </w:t>
      </w:r>
      <w:r>
        <w:rPr>
          <w:rFonts w:ascii="Times New Roman" w:eastAsia="Times New Roman" w:hAnsi="Times New Roman" w:cs="Times New Roman"/>
          <w:lang w:eastAsia="en-CA"/>
        </w:rPr>
        <w:t>and supposed</w:t>
      </w:r>
      <w:r w:rsidRPr="006A105B">
        <w:rPr>
          <w:rFonts w:ascii="Times New Roman" w:eastAsia="Times New Roman" w:hAnsi="Times New Roman" w:cs="Times New Roman"/>
          <w:lang w:eastAsia="en-CA"/>
        </w:rPr>
        <w:t xml:space="preserve"> </w:t>
      </w:r>
      <w:r w:rsidRPr="00BD147F">
        <w:rPr>
          <w:rFonts w:ascii="Times New Roman" w:eastAsia="Times New Roman" w:hAnsi="Times New Roman" w:cs="Times New Roman"/>
          <w:i/>
          <w:iCs/>
          <w:lang w:eastAsia="en-CA"/>
        </w:rPr>
        <w:t>respect for life</w:t>
      </w:r>
      <w:r w:rsidRPr="006A105B">
        <w:rPr>
          <w:rFonts w:ascii="Times New Roman" w:eastAsia="Times New Roman" w:hAnsi="Times New Roman" w:cs="Times New Roman"/>
          <w:lang w:eastAsia="en-CA"/>
        </w:rPr>
        <w:t xml:space="preserve"> becomes muddier.</w:t>
      </w:r>
    </w:p>
    <w:p w14:paraId="71A0F7CE" w14:textId="77777777" w:rsidR="00B10FA3" w:rsidRPr="006A105B" w:rsidRDefault="00B10FA3" w:rsidP="006A105B">
      <w:pPr>
        <w:spacing w:after="0" w:line="480" w:lineRule="auto"/>
        <w:rPr>
          <w:rFonts w:ascii="Times New Roman" w:eastAsia="Times New Roman" w:hAnsi="Times New Roman" w:cs="Times New Roman"/>
          <w:lang w:eastAsia="en-CA"/>
        </w:rPr>
      </w:pPr>
      <w:r w:rsidRPr="006A105B">
        <w:rPr>
          <w:rFonts w:ascii="Times New Roman" w:eastAsia="Times New Roman" w:hAnsi="Times New Roman" w:cs="Times New Roman"/>
          <w:lang w:eastAsia="en-CA"/>
        </w:rPr>
        <w:t xml:space="preserve"> </w:t>
      </w:r>
      <w:r>
        <w:rPr>
          <w:rFonts w:ascii="Times New Roman" w:eastAsia="Times New Roman" w:hAnsi="Times New Roman" w:cs="Times New Roman"/>
          <w:lang w:eastAsia="en-CA"/>
        </w:rPr>
        <w:t xml:space="preserve">     A</w:t>
      </w:r>
      <w:r w:rsidRPr="006A105B">
        <w:rPr>
          <w:rFonts w:ascii="Times New Roman" w:eastAsia="Times New Roman" w:hAnsi="Times New Roman" w:cs="Times New Roman"/>
          <w:lang w:eastAsia="en-CA"/>
        </w:rPr>
        <w:t xml:space="preserve">t present, there are 21 states that have imposed abortion bans (14) or severe restrictions (7). </w:t>
      </w:r>
    </w:p>
    <w:p w14:paraId="474F9D1C" w14:textId="77777777" w:rsidR="00B10FA3" w:rsidRDefault="00B10FA3" w:rsidP="006A105B">
      <w:pPr>
        <w:spacing w:after="0" w:line="480" w:lineRule="auto"/>
        <w:rPr>
          <w:rFonts w:ascii="Times New Roman" w:eastAsia="Times New Roman" w:hAnsi="Times New Roman" w:cs="Times New Roman"/>
          <w:lang w:eastAsia="en-CA"/>
        </w:rPr>
      </w:pPr>
      <w:r w:rsidRPr="006A105B">
        <w:rPr>
          <w:rFonts w:ascii="Times New Roman" w:eastAsia="Times New Roman" w:hAnsi="Times New Roman" w:cs="Times New Roman"/>
          <w:lang w:eastAsia="en-CA"/>
        </w:rPr>
        <w:t>In all, 38 states supported the Equal Rights Amendment, although 6 rescinded their support over time, leaving 32 supporting states, and 18 opposed.</w:t>
      </w:r>
      <w:r>
        <w:rPr>
          <w:rFonts w:ascii="Times New Roman" w:eastAsia="Times New Roman" w:hAnsi="Times New Roman" w:cs="Times New Roman"/>
          <w:lang w:eastAsia="en-CA"/>
        </w:rPr>
        <w:t xml:space="preserve"> </w:t>
      </w:r>
      <w:r w:rsidRPr="006A105B">
        <w:rPr>
          <w:rFonts w:ascii="Times New Roman" w:eastAsia="Times New Roman" w:hAnsi="Times New Roman" w:cs="Times New Roman"/>
          <w:lang w:eastAsia="en-CA"/>
        </w:rPr>
        <w:t xml:space="preserve">There are 27 states that support the death penalty, and 23 (+the District of Columbia) that oppose it. </w:t>
      </w:r>
      <w:r>
        <w:rPr>
          <w:rFonts w:ascii="Times New Roman" w:eastAsia="Times New Roman" w:hAnsi="Times New Roman" w:cs="Times New Roman"/>
          <w:lang w:eastAsia="en-CA"/>
        </w:rPr>
        <w:t>Next follows</w:t>
      </w:r>
      <w:r w:rsidRPr="006A105B">
        <w:rPr>
          <w:rFonts w:ascii="Times New Roman" w:eastAsia="Times New Roman" w:hAnsi="Times New Roman" w:cs="Times New Roman"/>
          <w:lang w:eastAsia="en-CA"/>
        </w:rPr>
        <w:t xml:space="preserve"> a list of the states that, </w:t>
      </w:r>
      <w:r w:rsidRPr="006A105B">
        <w:rPr>
          <w:rFonts w:ascii="Times New Roman" w:eastAsia="Times New Roman" w:hAnsi="Times New Roman" w:cs="Times New Roman"/>
          <w:i/>
          <w:iCs/>
          <w:lang w:eastAsia="en-CA"/>
        </w:rPr>
        <w:t>regarding the three combined issues,</w:t>
      </w:r>
      <w:r w:rsidRPr="006A105B">
        <w:rPr>
          <w:rFonts w:ascii="Times New Roman" w:eastAsia="Times New Roman" w:hAnsi="Times New Roman" w:cs="Times New Roman"/>
          <w:lang w:eastAsia="en-CA"/>
        </w:rPr>
        <w:t xml:space="preserve"> opposed the ERA, have passed abortion bans</w:t>
      </w:r>
      <w:r>
        <w:rPr>
          <w:rFonts w:ascii="Times New Roman" w:eastAsia="Times New Roman" w:hAnsi="Times New Roman" w:cs="Times New Roman"/>
          <w:lang w:eastAsia="en-CA"/>
        </w:rPr>
        <w:t xml:space="preserve"> or </w:t>
      </w:r>
      <w:r w:rsidRPr="006A105B">
        <w:rPr>
          <w:rFonts w:ascii="Times New Roman" w:eastAsia="Times New Roman" w:hAnsi="Times New Roman" w:cs="Times New Roman"/>
          <w:lang w:eastAsia="en-CA"/>
        </w:rPr>
        <w:t>restrictions and support the death penalty:</w:t>
      </w:r>
      <w:r>
        <w:rPr>
          <w:rFonts w:ascii="Times New Roman" w:eastAsia="Times New Roman" w:hAnsi="Times New Roman" w:cs="Times New Roman"/>
          <w:lang w:eastAsia="en-CA"/>
        </w:rPr>
        <w:t xml:space="preserve"> AL, AR, FL, GA, ID, KY, LA, MS, NE, NC, ND, OK, SC, SD, TN, UT. Do you see a pattern here – linkage between these seemingly “independent” issues? </w:t>
      </w:r>
    </w:p>
    <w:p w14:paraId="544B1E00" w14:textId="4567E7BE" w:rsidR="00B10FA3" w:rsidRDefault="00B10FA3" w:rsidP="006A105B">
      <w:pPr>
        <w:spacing w:after="0" w:line="480" w:lineRule="auto"/>
        <w:rPr>
          <w:rFonts w:ascii="Times New Roman" w:eastAsia="Times New Roman" w:hAnsi="Times New Roman" w:cs="Times New Roman"/>
          <w:lang w:eastAsia="en-CA"/>
        </w:rPr>
      </w:pPr>
      <w:r>
        <w:rPr>
          <w:rFonts w:ascii="Times New Roman" w:eastAsia="Times New Roman" w:hAnsi="Times New Roman" w:cs="Times New Roman"/>
          <w:lang w:eastAsia="en-CA"/>
        </w:rPr>
        <w:t xml:space="preserve">     Fear of (female) gender advancement could easily explain anti-abortion or anti-ERA; gun control </w:t>
      </w:r>
      <w:r w:rsidR="00BD147F">
        <w:rPr>
          <w:rFonts w:ascii="Times New Roman" w:eastAsia="Times New Roman" w:hAnsi="Times New Roman" w:cs="Times New Roman"/>
          <w:lang w:eastAsia="en-CA"/>
        </w:rPr>
        <w:t xml:space="preserve"> - also weak in the above mentioned states - </w:t>
      </w:r>
      <w:r>
        <w:rPr>
          <w:rFonts w:ascii="Times New Roman" w:eastAsia="Times New Roman" w:hAnsi="Times New Roman" w:cs="Times New Roman"/>
          <w:lang w:eastAsia="en-CA"/>
        </w:rPr>
        <w:t xml:space="preserve">simply extrapolates to broader societal insecurities that span race, gender and class. </w:t>
      </w:r>
      <w:r w:rsidR="00BD147F">
        <w:rPr>
          <w:rFonts w:ascii="Times New Roman" w:eastAsia="Times New Roman" w:hAnsi="Times New Roman" w:cs="Times New Roman"/>
          <w:lang w:eastAsia="en-CA"/>
        </w:rPr>
        <w:t xml:space="preserve">And the death penalty is an idea of pure revenge – with racially lopsided results in its application. </w:t>
      </w:r>
      <w:r>
        <w:rPr>
          <w:rFonts w:ascii="Times New Roman" w:eastAsia="Times New Roman" w:hAnsi="Times New Roman" w:cs="Times New Roman"/>
          <w:lang w:eastAsia="en-CA"/>
        </w:rPr>
        <w:t>(Even the litany chant of “small government” ideology can generally be interpreted, if viewed historically, as a desire for the removal of services not required by upper economic classes, opening the door to lower tax rates for the same groups and the subsequent redistribution of income upwards.)</w:t>
      </w:r>
      <w:r w:rsidR="00BD147F">
        <w:rPr>
          <w:rFonts w:ascii="Times New Roman" w:eastAsia="Times New Roman" w:hAnsi="Times New Roman" w:cs="Times New Roman"/>
          <w:lang w:eastAsia="en-CA"/>
        </w:rPr>
        <w:t xml:space="preserve"> </w:t>
      </w:r>
      <w:r>
        <w:rPr>
          <w:rFonts w:ascii="Times New Roman" w:eastAsia="Times New Roman" w:hAnsi="Times New Roman" w:cs="Times New Roman"/>
          <w:lang w:eastAsia="en-CA"/>
        </w:rPr>
        <w:t xml:space="preserve">The issues, </w:t>
      </w:r>
      <w:r>
        <w:rPr>
          <w:rFonts w:ascii="Times New Roman" w:eastAsia="Times New Roman" w:hAnsi="Times New Roman" w:cs="Times New Roman"/>
          <w:lang w:eastAsia="en-CA"/>
        </w:rPr>
        <w:lastRenderedPageBreak/>
        <w:t xml:space="preserve">as it were, are not freestanding concepts, but metaphors for much deeper patterns of development in the culture. </w:t>
      </w:r>
    </w:p>
    <w:p w14:paraId="60CAD63E" w14:textId="5466765E" w:rsidR="00B10FA3" w:rsidRDefault="00B10FA3" w:rsidP="006A105B">
      <w:pPr>
        <w:spacing w:after="0" w:line="480" w:lineRule="auto"/>
        <w:rPr>
          <w:rFonts w:ascii="Times New Roman" w:eastAsia="Times New Roman" w:hAnsi="Times New Roman" w:cs="Times New Roman"/>
          <w:lang w:eastAsia="en-CA"/>
        </w:rPr>
      </w:pPr>
      <w:r>
        <w:rPr>
          <w:rFonts w:ascii="Times New Roman" w:eastAsia="Times New Roman" w:hAnsi="Times New Roman" w:cs="Times New Roman"/>
          <w:lang w:eastAsia="en-CA"/>
        </w:rPr>
        <w:t xml:space="preserve">     Often, we hear the country is having a ‘national conversation’ about an issue – but these dialogues are not really dialogues at all, but rather the strategic placement of sound bites among funded political elites in careful media contexts, so as to tip the mass opinion in one direction or the other. Hence, the discussion of issues becomes sterile, and one dimensionally rhetorical. Class is a difficult subject to discuss because it is both not well understood as a cultural and social, as well as economic issue – but so too is gender. Human behavior is terribly complex and contradictory, and issues such as trans sexuality cannot be relegated to bathroom privileges. Similarly, gender discussion cannot start and finish at intolerant language policing on the Left, and violent, equally intolerant hypermasculinity on the Right. Change and modernity, while often heralded as good things, often contribute to considerable societal angst and insecurity. Politicians are generally not the best equipped group to explain and analyze changing norms, as they are all to</w:t>
      </w:r>
      <w:r w:rsidR="006820E4">
        <w:rPr>
          <w:rFonts w:ascii="Times New Roman" w:eastAsia="Times New Roman" w:hAnsi="Times New Roman" w:cs="Times New Roman"/>
          <w:lang w:eastAsia="en-CA"/>
        </w:rPr>
        <w:t>o</w:t>
      </w:r>
      <w:r>
        <w:rPr>
          <w:rFonts w:ascii="Times New Roman" w:eastAsia="Times New Roman" w:hAnsi="Times New Roman" w:cs="Times New Roman"/>
          <w:lang w:eastAsia="en-CA"/>
        </w:rPr>
        <w:t xml:space="preserve"> likely to opportunistically pick one perspective and create an often poison narrative around it.</w:t>
      </w:r>
    </w:p>
    <w:p w14:paraId="62141D6B" w14:textId="77777777" w:rsidR="00BD147F" w:rsidRDefault="00B10FA3" w:rsidP="006A105B">
      <w:pPr>
        <w:spacing w:after="0" w:line="480" w:lineRule="auto"/>
        <w:rPr>
          <w:rFonts w:ascii="Times New Roman" w:eastAsia="Times New Roman" w:hAnsi="Times New Roman" w:cs="Times New Roman"/>
          <w:lang w:eastAsia="en-CA"/>
        </w:rPr>
      </w:pPr>
      <w:r>
        <w:rPr>
          <w:rFonts w:ascii="Times New Roman" w:eastAsia="Times New Roman" w:hAnsi="Times New Roman" w:cs="Times New Roman"/>
          <w:lang w:eastAsia="en-CA"/>
        </w:rPr>
        <w:t xml:space="preserve">     This manuscript has focused on white males as a vital target group for change, insight, understanding and support. Change affects us all, but white men have had to endure a fifty-year ride down a gradual escalator of reduced privilege, status, economic and social power and opportunity. And it isn’t getting any better. This is not to say that the status advances of women, minorities and other non-traditional privileged groups is not a welcome development, as it certainly is. But a lot of white male soldiers have been left on the cultural field, and they should not be abandoned simply because, by an accident of birth, that they have been born into a caste that was the traditional ruling racial and gender combination in the United States. </w:t>
      </w:r>
      <w:r w:rsidR="00BD147F">
        <w:rPr>
          <w:rFonts w:ascii="Times New Roman" w:eastAsia="Times New Roman" w:hAnsi="Times New Roman" w:cs="Times New Roman"/>
          <w:lang w:eastAsia="en-CA"/>
        </w:rPr>
        <w:t xml:space="preserve">   </w:t>
      </w:r>
    </w:p>
    <w:p w14:paraId="254D94FE" w14:textId="2268E4F1" w:rsidR="00B10FA3" w:rsidRPr="006A105B" w:rsidRDefault="00BD147F" w:rsidP="006A105B">
      <w:pPr>
        <w:spacing w:after="0" w:line="480" w:lineRule="auto"/>
        <w:rPr>
          <w:rFonts w:ascii="Times New Roman" w:eastAsia="Times New Roman" w:hAnsi="Times New Roman" w:cs="Times New Roman"/>
          <w:lang w:eastAsia="en-CA"/>
        </w:rPr>
      </w:pPr>
      <w:r>
        <w:rPr>
          <w:rFonts w:ascii="Times New Roman" w:eastAsia="Times New Roman" w:hAnsi="Times New Roman" w:cs="Times New Roman"/>
          <w:lang w:eastAsia="en-CA"/>
        </w:rPr>
        <w:t xml:space="preserve">       </w:t>
      </w:r>
      <w:r w:rsidR="00B10FA3">
        <w:rPr>
          <w:rFonts w:ascii="Times New Roman" w:eastAsia="Times New Roman" w:hAnsi="Times New Roman" w:cs="Times New Roman"/>
          <w:lang w:eastAsia="en-CA"/>
        </w:rPr>
        <w:t xml:space="preserve">To allow this group to sink further into irrelevance and underappreciation is to risk significant cultural upheaval. Note that the new D. Trump cabinet picks (at least in the first </w:t>
      </w:r>
      <w:r w:rsidR="00B10FA3">
        <w:rPr>
          <w:rFonts w:ascii="Times New Roman" w:eastAsia="Times New Roman" w:hAnsi="Times New Roman" w:cs="Times New Roman"/>
          <w:lang w:eastAsia="en-CA"/>
        </w:rPr>
        <w:lastRenderedPageBreak/>
        <w:t xml:space="preserve">round) have been called by some the “Backlash </w:t>
      </w:r>
      <w:r w:rsidR="00B10FA3" w:rsidRPr="005218AB">
        <w:rPr>
          <w:rFonts w:ascii="Times New Roman" w:eastAsia="Times New Roman" w:hAnsi="Times New Roman" w:cs="Times New Roman"/>
          <w:i/>
          <w:iCs/>
          <w:lang w:eastAsia="en-CA"/>
        </w:rPr>
        <w:t>Me Too</w:t>
      </w:r>
      <w:r w:rsidR="00B10FA3">
        <w:rPr>
          <w:rFonts w:ascii="Times New Roman" w:eastAsia="Times New Roman" w:hAnsi="Times New Roman" w:cs="Times New Roman"/>
          <w:lang w:eastAsia="en-CA"/>
        </w:rPr>
        <w:t xml:space="preserve"> Cabinet.” But, in the end, such a display of intolerance, rage, revenge and retribution is merely a final coda, the </w:t>
      </w:r>
      <w:r>
        <w:rPr>
          <w:rFonts w:ascii="Times New Roman" w:eastAsia="Times New Roman" w:hAnsi="Times New Roman" w:cs="Times New Roman"/>
          <w:lang w:eastAsia="en-CA"/>
        </w:rPr>
        <w:t xml:space="preserve">approaching </w:t>
      </w:r>
      <w:r w:rsidR="00B10FA3">
        <w:rPr>
          <w:rFonts w:ascii="Times New Roman" w:eastAsia="Times New Roman" w:hAnsi="Times New Roman" w:cs="Times New Roman"/>
          <w:lang w:eastAsia="en-CA"/>
        </w:rPr>
        <w:t>death rattle</w:t>
      </w:r>
      <w:r>
        <w:rPr>
          <w:rFonts w:ascii="Times New Roman" w:eastAsia="Times New Roman" w:hAnsi="Times New Roman" w:cs="Times New Roman"/>
          <w:lang w:eastAsia="en-CA"/>
        </w:rPr>
        <w:t xml:space="preserve"> </w:t>
      </w:r>
      <w:r w:rsidR="00B10FA3">
        <w:rPr>
          <w:rFonts w:ascii="Times New Roman" w:eastAsia="Times New Roman" w:hAnsi="Times New Roman" w:cs="Times New Roman"/>
          <w:lang w:eastAsia="en-CA"/>
        </w:rPr>
        <w:t xml:space="preserve">of white male dominance.  Rather, a reckoning is needed, with everyone invited to the party. White men need to be </w:t>
      </w:r>
      <w:r w:rsidR="00B10FA3">
        <w:rPr>
          <w:rFonts w:ascii="Times New Roman" w:eastAsia="Times New Roman" w:hAnsi="Times New Roman" w:cs="Times New Roman"/>
          <w:i/>
          <w:iCs/>
          <w:lang w:eastAsia="en-CA"/>
        </w:rPr>
        <w:t>seen</w:t>
      </w:r>
      <w:r w:rsidR="00B10FA3">
        <w:rPr>
          <w:rFonts w:ascii="Times New Roman" w:eastAsia="Times New Roman" w:hAnsi="Times New Roman" w:cs="Times New Roman"/>
          <w:lang w:eastAsia="en-CA"/>
        </w:rPr>
        <w:t xml:space="preserve">. </w:t>
      </w:r>
    </w:p>
    <w:p w14:paraId="2C599F6E" w14:textId="02D83702" w:rsidR="00B10FA3" w:rsidRDefault="006820E4" w:rsidP="00453D46">
      <w:pPr>
        <w:spacing w:line="480" w:lineRule="auto"/>
        <w:rPr>
          <w:rFonts w:ascii="Times New Roman" w:hAnsi="Times New Roman" w:cs="Times New Roman"/>
        </w:rPr>
      </w:pPr>
      <w:r>
        <w:rPr>
          <w:rFonts w:ascii="Times New Roman" w:hAnsi="Times New Roman" w:cs="Times New Roman"/>
        </w:rPr>
        <w:t xml:space="preserve">     </w:t>
      </w:r>
      <w:r w:rsidR="00B10FA3">
        <w:rPr>
          <w:rFonts w:ascii="Times New Roman" w:hAnsi="Times New Roman" w:cs="Times New Roman"/>
        </w:rPr>
        <w:t>No one is advocating returning to the 1950s. Former Speaker of the House Thomas “Tip” O’Neill once said that people who long for the good old days don’t remember the older days. A new paradigm is needed; one that is inclusive but not doctrinal, one that takes into account class and culture; one that steps away from vapid slogans about ‘exceptionalism,’ and that can turn that passive mindset into the hard work of societal improvement. But a huge step in getting such a franchise off the ground is to reverse the antagonisms routinely levelled at white men (this includes the universities), and to rebuild the language of our politics and our public sphere.</w:t>
      </w:r>
    </w:p>
    <w:p w14:paraId="0545F98F" w14:textId="3AC40967" w:rsidR="00B10FA3" w:rsidRDefault="00B10FA3" w:rsidP="00453D46">
      <w:pPr>
        <w:spacing w:line="480" w:lineRule="auto"/>
        <w:rPr>
          <w:rFonts w:ascii="Times New Roman" w:hAnsi="Times New Roman" w:cs="Times New Roman"/>
        </w:rPr>
      </w:pPr>
      <w:r>
        <w:rPr>
          <w:rFonts w:ascii="Times New Roman" w:hAnsi="Times New Roman" w:cs="Times New Roman"/>
        </w:rPr>
        <w:t xml:space="preserve">      But there are challenges: the internet, homeschooling, social media bubbles, Christian nationalism, even AI, while superficially enhancing communication and suggest a bringing together of social audiences, have actually created the culture of anomie, or alienation, where individuals are increasingly isolated, with feelings of powerlessness. It is indeed a paradox of the internet age, but one that we need to come to grips with. Climbing out of the hole of alienation will not be easy, because the digital world is seductive, providing us with so much of what we need and want</w:t>
      </w:r>
      <w:r w:rsidR="00BD147F">
        <w:rPr>
          <w:rFonts w:ascii="Times New Roman" w:hAnsi="Times New Roman" w:cs="Times New Roman"/>
        </w:rPr>
        <w:t xml:space="preserve">, misdirecting us </w:t>
      </w:r>
      <w:r>
        <w:rPr>
          <w:rFonts w:ascii="Times New Roman" w:hAnsi="Times New Roman" w:cs="Times New Roman"/>
        </w:rPr>
        <w:t xml:space="preserve">at the touch of a button. But there is a price to be paid. </w:t>
      </w:r>
    </w:p>
    <w:p w14:paraId="68839812" w14:textId="62F8C245" w:rsidR="00B10FA3" w:rsidRDefault="00B10FA3" w:rsidP="00453D46">
      <w:pPr>
        <w:spacing w:line="480" w:lineRule="auto"/>
        <w:rPr>
          <w:rFonts w:ascii="Times New Roman" w:hAnsi="Times New Roman" w:cs="Times New Roman"/>
        </w:rPr>
      </w:pPr>
      <w:r>
        <w:rPr>
          <w:rFonts w:ascii="Times New Roman" w:hAnsi="Times New Roman" w:cs="Times New Roman"/>
        </w:rPr>
        <w:t xml:space="preserve">     While not suggesting a Luddite solution along the lines of banning </w:t>
      </w:r>
      <w:proofErr w:type="spellStart"/>
      <w:r>
        <w:rPr>
          <w:rFonts w:ascii="Times New Roman" w:hAnsi="Times New Roman" w:cs="Times New Roman"/>
        </w:rPr>
        <w:t>Iphones</w:t>
      </w:r>
      <w:proofErr w:type="spellEnd"/>
      <w:r>
        <w:rPr>
          <w:rFonts w:ascii="Times New Roman" w:hAnsi="Times New Roman" w:cs="Times New Roman"/>
        </w:rPr>
        <w:t xml:space="preserve">, it seems that a marriage of social media to </w:t>
      </w:r>
      <w:r w:rsidR="00BD147F">
        <w:rPr>
          <w:rFonts w:ascii="Times New Roman" w:hAnsi="Times New Roman" w:cs="Times New Roman"/>
        </w:rPr>
        <w:t xml:space="preserve">civic , activist </w:t>
      </w:r>
      <w:r>
        <w:rPr>
          <w:rFonts w:ascii="Times New Roman" w:hAnsi="Times New Roman" w:cs="Times New Roman"/>
        </w:rPr>
        <w:t>localism might serve as a healthy balance</w:t>
      </w:r>
      <w:r w:rsidR="00E85B8A">
        <w:rPr>
          <w:rFonts w:ascii="Times New Roman" w:hAnsi="Times New Roman" w:cs="Times New Roman"/>
        </w:rPr>
        <w:t>, and prevent personal isolation.</w:t>
      </w:r>
      <w:r>
        <w:rPr>
          <w:rFonts w:ascii="Times New Roman" w:hAnsi="Times New Roman" w:cs="Times New Roman"/>
        </w:rPr>
        <w:t xml:space="preserve"> I’ll keep my Twitter account, but I’ll also meet at the local Democratic/Republican/Independent/Green Club for a beer from time to time. </w:t>
      </w:r>
    </w:p>
    <w:p w14:paraId="1B6DE26D" w14:textId="003CF808" w:rsidR="00B10FA3" w:rsidRDefault="00B10FA3" w:rsidP="00453D46">
      <w:pPr>
        <w:spacing w:line="480" w:lineRule="auto"/>
        <w:rPr>
          <w:rFonts w:ascii="Times New Roman" w:hAnsi="Times New Roman" w:cs="Times New Roman"/>
        </w:rPr>
      </w:pPr>
      <w:r>
        <w:rPr>
          <w:rFonts w:ascii="Times New Roman" w:hAnsi="Times New Roman" w:cs="Times New Roman"/>
        </w:rPr>
        <w:lastRenderedPageBreak/>
        <w:t xml:space="preserve">     Tactically, groups supporting the strengthening of democratic institutions and the healing of the gender and class divide need to adopt a more effective language; they must learn to be better salesmen and saleswomen. They must realize that much of the extreme right wi</w:t>
      </w:r>
      <w:r w:rsidR="006820E4">
        <w:rPr>
          <w:rFonts w:ascii="Times New Roman" w:hAnsi="Times New Roman" w:cs="Times New Roman"/>
        </w:rPr>
        <w:t>n</w:t>
      </w:r>
      <w:r>
        <w:rPr>
          <w:rFonts w:ascii="Times New Roman" w:hAnsi="Times New Roman" w:cs="Times New Roman"/>
        </w:rPr>
        <w:t xml:space="preserve">g rhetoric against their opponents – ‘fascism, racism, intolerance, elitism - is nothing more than a projection of their own ideas, employing a political form of </w:t>
      </w:r>
      <w:r w:rsidR="00E85B8A">
        <w:rPr>
          <w:rFonts w:ascii="Times New Roman" w:hAnsi="Times New Roman" w:cs="Times New Roman"/>
        </w:rPr>
        <w:t xml:space="preserve"> the childish </w:t>
      </w:r>
      <w:r>
        <w:rPr>
          <w:rFonts w:ascii="Times New Roman" w:hAnsi="Times New Roman" w:cs="Times New Roman"/>
        </w:rPr>
        <w:t>“I know you are b</w:t>
      </w:r>
      <w:r w:rsidR="00E85B8A">
        <w:rPr>
          <w:rFonts w:ascii="Times New Roman" w:hAnsi="Times New Roman" w:cs="Times New Roman"/>
        </w:rPr>
        <w:t>ut</w:t>
      </w:r>
      <w:r>
        <w:rPr>
          <w:rFonts w:ascii="Times New Roman" w:hAnsi="Times New Roman" w:cs="Times New Roman"/>
        </w:rPr>
        <w:t xml:space="preserve"> what am I” as a tactical ploy to confuse their rivals. Stephen Miller has long advocated accusing the opposition of the very things that they are opposing. It’s irrational and easy to refute – but in a sound bite universe, it is a practice that can render an audience confused, and possible foster an </w:t>
      </w:r>
      <w:r w:rsidRPr="00F6429A">
        <w:rPr>
          <w:rFonts w:ascii="Times New Roman" w:hAnsi="Times New Roman" w:cs="Times New Roman"/>
          <w:i/>
          <w:iCs/>
        </w:rPr>
        <w:t xml:space="preserve">environment of false equivalence </w:t>
      </w:r>
      <w:r>
        <w:rPr>
          <w:rFonts w:ascii="Times New Roman" w:hAnsi="Times New Roman" w:cs="Times New Roman"/>
        </w:rPr>
        <w:t>between ideologies and sides.  One must never underestimate the level of cynicism that exists today in right wing circles, supported and perpetuated by the self</w:t>
      </w:r>
      <w:r w:rsidR="008B74C9">
        <w:rPr>
          <w:rFonts w:ascii="Times New Roman" w:hAnsi="Times New Roman" w:cs="Times New Roman"/>
        </w:rPr>
        <w:t>-</w:t>
      </w:r>
      <w:r>
        <w:rPr>
          <w:rFonts w:ascii="Times New Roman" w:hAnsi="Times New Roman" w:cs="Times New Roman"/>
        </w:rPr>
        <w:t>contained bubble of social media, that offers no oxygen to opposing viewpoints.</w:t>
      </w:r>
    </w:p>
    <w:p w14:paraId="0EAA3831" w14:textId="5A792323" w:rsidR="00B10FA3" w:rsidRDefault="00B10FA3" w:rsidP="00453D46">
      <w:pPr>
        <w:spacing w:line="480" w:lineRule="auto"/>
        <w:rPr>
          <w:rFonts w:ascii="Times New Roman" w:hAnsi="Times New Roman" w:cs="Times New Roman"/>
        </w:rPr>
      </w:pPr>
      <w:r>
        <w:rPr>
          <w:rFonts w:ascii="Times New Roman" w:hAnsi="Times New Roman" w:cs="Times New Roman"/>
        </w:rPr>
        <w:t xml:space="preserve">    If white male discontent is a profound symptom of societal angst, it is wealth distribution that represents the crux of the modern-day problem. Wealth is too powerful, too concentrated and too unaccountable. Fixing this imbalance will require time and a gradual shift in the understanding of most Americans as to who benefits most from their paychecks and taxes. Private interest in profit from federal government contracts is at an all</w:t>
      </w:r>
      <w:r w:rsidR="006820E4">
        <w:rPr>
          <w:rFonts w:ascii="Times New Roman" w:hAnsi="Times New Roman" w:cs="Times New Roman"/>
        </w:rPr>
        <w:t>-</w:t>
      </w:r>
      <w:r>
        <w:rPr>
          <w:rFonts w:ascii="Times New Roman" w:hAnsi="Times New Roman" w:cs="Times New Roman"/>
        </w:rPr>
        <w:t xml:space="preserve">time high in 2025; political norms in the US are not sufficient to slow those who refuse to acknowledge them.  CEO salaries have skyrocketed since the 1980s, relative other salaries; the minimum wage has stagnated since the 1970s, and does comprise a living wage today. Taxation has been systemically reduced for high income groups, while the rest of us sat around and watched. </w:t>
      </w:r>
    </w:p>
    <w:p w14:paraId="333A7ACE" w14:textId="77777777" w:rsidR="00B10FA3" w:rsidRDefault="00B10FA3" w:rsidP="00453D46">
      <w:pPr>
        <w:spacing w:line="480" w:lineRule="auto"/>
        <w:rPr>
          <w:rFonts w:ascii="Times New Roman" w:hAnsi="Times New Roman" w:cs="Times New Roman"/>
        </w:rPr>
      </w:pPr>
      <w:r>
        <w:rPr>
          <w:rFonts w:ascii="Times New Roman" w:hAnsi="Times New Roman" w:cs="Times New Roman"/>
        </w:rPr>
        <w:t xml:space="preserve">     Why? Because of the constant game of confusion and misdirection that is played by the monied interests against the working and middle classes. As one commentator noted “the turkeys have been convinced to come out in favor of Thanksgiving.” People, especially those from less fortunate and less educated portions of the country, simply aren’t able to stand up </w:t>
      </w:r>
      <w:r>
        <w:rPr>
          <w:rFonts w:ascii="Times New Roman" w:hAnsi="Times New Roman" w:cs="Times New Roman"/>
        </w:rPr>
        <w:lastRenderedPageBreak/>
        <w:t xml:space="preserve">for their own self interests. Much of this is a function of the control of information: a recent study of hundreds of rural counties in the US </w:t>
      </w:r>
      <w:r>
        <w:rPr>
          <w:rFonts w:ascii="Times New Roman" w:hAnsi="Times New Roman" w:cs="Times New Roman"/>
          <w:i/>
          <w:iCs/>
        </w:rPr>
        <w:t>without a single local newspaper</w:t>
      </w:r>
      <w:r>
        <w:rPr>
          <w:rFonts w:ascii="Times New Roman" w:hAnsi="Times New Roman" w:cs="Times New Roman"/>
        </w:rPr>
        <w:t xml:space="preserve"> found that support for Trump for 80-90% in 2024. Much of the country simply doesn’t have access to reliable news sources, and are subject to relentless online and social media propaganda. </w:t>
      </w:r>
    </w:p>
    <w:p w14:paraId="658603DB" w14:textId="77777777" w:rsidR="00B10FA3" w:rsidRDefault="00B10FA3" w:rsidP="005D599D">
      <w:pPr>
        <w:spacing w:line="480" w:lineRule="auto"/>
        <w:rPr>
          <w:rFonts w:ascii="Times New Roman" w:hAnsi="Times New Roman" w:cs="Times New Roman"/>
        </w:rPr>
      </w:pPr>
      <w:r>
        <w:rPr>
          <w:rFonts w:ascii="Times New Roman" w:hAnsi="Times New Roman" w:cs="Times New Roman"/>
        </w:rPr>
        <w:t xml:space="preserve">     The imbalance of wealth is a development that will take time to rectify, for several reasons. First, wealth is power, and the combined power of the 1000 richest Americans equals the power of half of the entire country at present. Second, the concept of redistribution is both misunderstood in the US (often called ‘communist’), as most wealth is redistributed </w:t>
      </w:r>
      <w:r w:rsidRPr="005D599D">
        <w:rPr>
          <w:rFonts w:ascii="Times New Roman" w:hAnsi="Times New Roman" w:cs="Times New Roman"/>
          <w:i/>
          <w:iCs/>
        </w:rPr>
        <w:t>upward</w:t>
      </w:r>
      <w:r>
        <w:rPr>
          <w:rFonts w:ascii="Times New Roman" w:hAnsi="Times New Roman" w:cs="Times New Roman"/>
          <w:i/>
          <w:iCs/>
        </w:rPr>
        <w:t xml:space="preserve">, </w:t>
      </w:r>
      <w:r>
        <w:rPr>
          <w:rFonts w:ascii="Times New Roman" w:hAnsi="Times New Roman" w:cs="Times New Roman"/>
        </w:rPr>
        <w:t xml:space="preserve">but also for peculiar American cultural characteristics rooted in propaganda, Calvinism, the Success doctrine and the myth of American exceptionalism that lionizes wealth and stigmatizes poverty.        </w:t>
      </w:r>
    </w:p>
    <w:p w14:paraId="614ECC49" w14:textId="39CD177E" w:rsidR="00B10FA3" w:rsidRDefault="00B10FA3" w:rsidP="005D599D">
      <w:pPr>
        <w:spacing w:line="480" w:lineRule="auto"/>
        <w:rPr>
          <w:rFonts w:ascii="Times New Roman" w:hAnsi="Times New Roman" w:cs="Times New Roman"/>
        </w:rPr>
      </w:pPr>
      <w:r>
        <w:rPr>
          <w:rFonts w:ascii="Times New Roman" w:hAnsi="Times New Roman" w:cs="Times New Roman"/>
        </w:rPr>
        <w:t xml:space="preserve">     There is also the problem that, at present, there hardly exists a plausible doctrine to fairly distribute wealth in the US, even as large majorities support universal health care, a livable minimum wage, fair and simpler taxation, and affordable or state sponsored childcare. The spect</w:t>
      </w:r>
      <w:r w:rsidR="006820E4">
        <w:rPr>
          <w:rFonts w:ascii="Times New Roman" w:hAnsi="Times New Roman" w:cs="Times New Roman"/>
        </w:rPr>
        <w:t>e</w:t>
      </w:r>
      <w:r>
        <w:rPr>
          <w:rFonts w:ascii="Times New Roman" w:hAnsi="Times New Roman" w:cs="Times New Roman"/>
        </w:rPr>
        <w:t xml:space="preserve">r of ‘leftism’ or ‘communism’ (not to mention immigrant and LGBT fears) is raised, scaring everyone away from the start. So services crumble, health care costs bankrupt millions, infrastructure and transportation remain sub-par, and yet, many will still hide behind the quaint notion of American as being the “best, freest country in the world.” But that myth is wearing thin, and serious cracks are appearing in the fissures of the body politic. </w:t>
      </w:r>
    </w:p>
    <w:p w14:paraId="270003A8" w14:textId="5E587DD8" w:rsidR="00B10FA3" w:rsidRDefault="00B10FA3" w:rsidP="005D599D">
      <w:pPr>
        <w:spacing w:line="480" w:lineRule="auto"/>
        <w:rPr>
          <w:rFonts w:ascii="Times New Roman" w:hAnsi="Times New Roman" w:cs="Times New Roman"/>
        </w:rPr>
      </w:pPr>
      <w:r>
        <w:rPr>
          <w:rFonts w:ascii="Times New Roman" w:hAnsi="Times New Roman" w:cs="Times New Roman"/>
        </w:rPr>
        <w:t xml:space="preserve">     A better understanding of the role(s) of government is required among the general population. This could include civics lessons in high school, local ‘teach ins’ on government at the local level, and a higher level of political discourse among the political class. Politicians do have, after all, a teaching role, insofar as they explain to their constituents what they are doing and why. And constituents have a responsibility to remain informed, to vote and to contribute to the public sphere. Governments </w:t>
      </w:r>
      <w:r w:rsidR="00E85B8A">
        <w:rPr>
          <w:rFonts w:ascii="Times New Roman" w:hAnsi="Times New Roman" w:cs="Times New Roman"/>
        </w:rPr>
        <w:t xml:space="preserve">and bureaucracies </w:t>
      </w:r>
      <w:r>
        <w:rPr>
          <w:rFonts w:ascii="Times New Roman" w:hAnsi="Times New Roman" w:cs="Times New Roman"/>
        </w:rPr>
        <w:t xml:space="preserve">are never perfect, but they are </w:t>
      </w:r>
      <w:r>
        <w:rPr>
          <w:rFonts w:ascii="Times New Roman" w:hAnsi="Times New Roman" w:cs="Times New Roman"/>
        </w:rPr>
        <w:lastRenderedPageBreak/>
        <w:t xml:space="preserve">necessary. And they can do certain things that neither citizens nor the private market can do: The government can buy in bulk (money, medicine, food and so forth), and, when that comes to the machinery of healthcare or food relief,  that’s a big deal. The disconnect between the American public’s understanding of private costs and benefits from taxation can be staggering – the ‘go it alone’ mentality runs deep in the country. But a partnership between state and citizenry can be a very useful exercise – take the US military, the US Post Office, the jury system and food and travel regulation, as a few examples. </w:t>
      </w:r>
    </w:p>
    <w:p w14:paraId="46991687" w14:textId="69E56EEE" w:rsidR="00B10FA3" w:rsidRDefault="00B10FA3" w:rsidP="005D599D">
      <w:pPr>
        <w:spacing w:line="480" w:lineRule="auto"/>
        <w:rPr>
          <w:rFonts w:ascii="Times New Roman" w:hAnsi="Times New Roman" w:cs="Times New Roman"/>
        </w:rPr>
      </w:pPr>
      <w:r>
        <w:rPr>
          <w:rFonts w:ascii="Times New Roman" w:hAnsi="Times New Roman" w:cs="Times New Roman"/>
        </w:rPr>
        <w:t xml:space="preserve">     Concentrated capital, whether in the form of monopolies or private wealth, serves the interests of very few. A marketplace, whether it be one of ideas or products, must be relatively open and plural to avoid collusion, limited variety and low quality. The food industry in the US suffers from this concentration today, resulting in unprecedented high food prices. Progressive taxation is a check on private capital – and inheritance laws and estate taxes can also be used to better break up fortunes. In Belgium, where I live, the state takes 50% of an estate upon the death of the owner. This may be more than most Americans would stomach, but in a country with an ethos of self</w:t>
      </w:r>
      <w:r w:rsidR="00E151E3">
        <w:rPr>
          <w:rFonts w:ascii="Times New Roman" w:hAnsi="Times New Roman" w:cs="Times New Roman"/>
        </w:rPr>
        <w:t>-</w:t>
      </w:r>
      <w:r>
        <w:rPr>
          <w:rFonts w:ascii="Times New Roman" w:hAnsi="Times New Roman" w:cs="Times New Roman"/>
        </w:rPr>
        <w:t xml:space="preserve">help and success, inherited, essentially “unearned” wealth runs counter </w:t>
      </w:r>
      <w:r w:rsidR="00E151E3">
        <w:rPr>
          <w:rFonts w:ascii="Times New Roman" w:hAnsi="Times New Roman" w:cs="Times New Roman"/>
        </w:rPr>
        <w:t xml:space="preserve">to such ideas, </w:t>
      </w:r>
      <w:r>
        <w:rPr>
          <w:rFonts w:ascii="Times New Roman" w:hAnsi="Times New Roman" w:cs="Times New Roman"/>
        </w:rPr>
        <w:t>and creates generations of undeserving, idle wealthy.</w:t>
      </w:r>
    </w:p>
    <w:p w14:paraId="7A02125B" w14:textId="77777777" w:rsidR="00B10FA3" w:rsidRDefault="00B10FA3" w:rsidP="005D599D">
      <w:pPr>
        <w:spacing w:line="480" w:lineRule="auto"/>
        <w:rPr>
          <w:rFonts w:ascii="Times New Roman" w:hAnsi="Times New Roman" w:cs="Times New Roman"/>
        </w:rPr>
      </w:pPr>
      <w:r>
        <w:rPr>
          <w:rFonts w:ascii="Times New Roman" w:hAnsi="Times New Roman" w:cs="Times New Roman"/>
        </w:rPr>
        <w:t xml:space="preserve">     As for corporations, the AT &amp; T model of the 1970s should be revived, allowing for the breakup of food, travel and medical conglomerates and to allow for better competition, and for the introduction of more new players into the scenario.</w:t>
      </w:r>
    </w:p>
    <w:p w14:paraId="3C871AAE" w14:textId="77777777" w:rsidR="00B10FA3" w:rsidRDefault="00B10FA3" w:rsidP="005D599D">
      <w:pPr>
        <w:spacing w:line="480" w:lineRule="auto"/>
        <w:rPr>
          <w:rFonts w:ascii="Times New Roman" w:hAnsi="Times New Roman" w:cs="Times New Roman"/>
        </w:rPr>
      </w:pPr>
      <w:r>
        <w:rPr>
          <w:rFonts w:ascii="Times New Roman" w:hAnsi="Times New Roman" w:cs="Times New Roman"/>
        </w:rPr>
        <w:t xml:space="preserve">     At the center of the American morass is the problem of </w:t>
      </w:r>
      <w:r>
        <w:rPr>
          <w:rFonts w:ascii="Times New Roman" w:hAnsi="Times New Roman" w:cs="Times New Roman"/>
          <w:i/>
          <w:iCs/>
        </w:rPr>
        <w:t>money</w:t>
      </w:r>
      <w:r>
        <w:rPr>
          <w:rFonts w:ascii="Times New Roman" w:hAnsi="Times New Roman" w:cs="Times New Roman"/>
        </w:rPr>
        <w:t xml:space="preserve">. The </w:t>
      </w:r>
      <w:r>
        <w:rPr>
          <w:rFonts w:ascii="Times New Roman" w:hAnsi="Times New Roman" w:cs="Times New Roman"/>
          <w:i/>
          <w:iCs/>
        </w:rPr>
        <w:t>Citizens United</w:t>
      </w:r>
      <w:r>
        <w:rPr>
          <w:rFonts w:ascii="Times New Roman" w:hAnsi="Times New Roman" w:cs="Times New Roman"/>
        </w:rPr>
        <w:t xml:space="preserve"> US Supreme Court decision opened the floodgates of wealth into the US political system, resulting in huge imbalances in power and influence, shutting many groups and classes nearly out of the political system. Strict controls need to be brought back into campaign financing, and, as an addendum, the federal campaigns in the US need to be significantly shortened – per the European model.</w:t>
      </w:r>
    </w:p>
    <w:p w14:paraId="26175529" w14:textId="2FB88A68" w:rsidR="00B10FA3" w:rsidRDefault="00B10FA3" w:rsidP="005D599D">
      <w:pPr>
        <w:spacing w:line="480" w:lineRule="auto"/>
        <w:rPr>
          <w:rFonts w:ascii="Times New Roman" w:hAnsi="Times New Roman" w:cs="Times New Roman"/>
        </w:rPr>
      </w:pPr>
      <w:r>
        <w:rPr>
          <w:rFonts w:ascii="Times New Roman" w:hAnsi="Times New Roman" w:cs="Times New Roman"/>
        </w:rPr>
        <w:lastRenderedPageBreak/>
        <w:t xml:space="preserve">     Regarding </w:t>
      </w:r>
      <w:r w:rsidR="006820E4">
        <w:rPr>
          <w:rFonts w:ascii="Times New Roman" w:hAnsi="Times New Roman" w:cs="Times New Roman"/>
        </w:rPr>
        <w:t xml:space="preserve">the serious news </w:t>
      </w:r>
      <w:r>
        <w:rPr>
          <w:rFonts w:ascii="Times New Roman" w:hAnsi="Times New Roman" w:cs="Times New Roman"/>
        </w:rPr>
        <w:t xml:space="preserve">media, the BBC model in the UK might be considered in the US; a government entity by funding, but without government control. The problem of private media bias and government propaganda might be fixed by a muscular US broadcasting agency that operates independently of the government, much like the Federal Reserve. </w:t>
      </w:r>
    </w:p>
    <w:p w14:paraId="1326FB0A" w14:textId="77777777" w:rsidR="00E85B8A" w:rsidRDefault="00B10FA3" w:rsidP="005D599D">
      <w:pPr>
        <w:spacing w:line="480" w:lineRule="auto"/>
        <w:rPr>
          <w:rFonts w:ascii="Times New Roman" w:hAnsi="Times New Roman" w:cs="Times New Roman"/>
        </w:rPr>
      </w:pPr>
      <w:r>
        <w:rPr>
          <w:rFonts w:ascii="Times New Roman" w:hAnsi="Times New Roman" w:cs="Times New Roman"/>
        </w:rPr>
        <w:t xml:space="preserve">     Of course, there is the issue of </w:t>
      </w:r>
      <w:r>
        <w:rPr>
          <w:rFonts w:ascii="Times New Roman" w:hAnsi="Times New Roman" w:cs="Times New Roman"/>
          <w:i/>
          <w:iCs/>
        </w:rPr>
        <w:t>men</w:t>
      </w:r>
      <w:r>
        <w:rPr>
          <w:rFonts w:ascii="Times New Roman" w:hAnsi="Times New Roman" w:cs="Times New Roman"/>
        </w:rPr>
        <w:t xml:space="preserve"> in US culture. Friends in the American art community tell me that today it is almost impossible for a heterosexual, white man to get on a gallery board, or publish new artistic works. As an author, I too have seen that publishers often </w:t>
      </w:r>
      <w:r w:rsidR="00416394">
        <w:rPr>
          <w:rFonts w:ascii="Times New Roman" w:hAnsi="Times New Roman" w:cs="Times New Roman"/>
        </w:rPr>
        <w:t>show preference</w:t>
      </w:r>
      <w:r>
        <w:rPr>
          <w:rFonts w:ascii="Times New Roman" w:hAnsi="Times New Roman" w:cs="Times New Roman"/>
        </w:rPr>
        <w:t xml:space="preserve"> to LGBT, women, people of color and non-American. Nowhere is anyone looking for the contributions of white men. Pluralism is a good thing – and rectifying excesses of the past makes sense. But creating new biases and overcompensating for the wrong of previous generations on the backs of the present generation is not only unfair, but it is unproductive. </w:t>
      </w:r>
      <w:r w:rsidR="00E85B8A">
        <w:rPr>
          <w:rFonts w:ascii="Times New Roman" w:hAnsi="Times New Roman" w:cs="Times New Roman"/>
        </w:rPr>
        <w:t xml:space="preserve">  </w:t>
      </w:r>
    </w:p>
    <w:p w14:paraId="682AD877" w14:textId="349F1156" w:rsidR="00B10FA3" w:rsidRPr="00164FB7" w:rsidRDefault="00E85B8A" w:rsidP="005D599D">
      <w:pPr>
        <w:spacing w:line="480" w:lineRule="auto"/>
        <w:rPr>
          <w:rFonts w:ascii="Times New Roman" w:hAnsi="Times New Roman" w:cs="Times New Roman"/>
        </w:rPr>
      </w:pPr>
      <w:r>
        <w:rPr>
          <w:rFonts w:ascii="Times New Roman" w:hAnsi="Times New Roman" w:cs="Times New Roman"/>
        </w:rPr>
        <w:t xml:space="preserve">      </w:t>
      </w:r>
      <w:r w:rsidR="00B10FA3">
        <w:rPr>
          <w:rFonts w:ascii="Times New Roman" w:hAnsi="Times New Roman" w:cs="Times New Roman"/>
        </w:rPr>
        <w:t>American needs the support of white men for cultural pluralism – but it must be a pluralism in which they are represented. A lockout of the group only creates separatism, as evidenced by angry groups like the Proud Boys and Oath Keepers. The cultural temperature needs to be turned down; the umbrella, somewhat ironically, needs to be widened.</w:t>
      </w:r>
    </w:p>
    <w:p w14:paraId="4EBF2D83" w14:textId="147778AC" w:rsidR="00B10FA3" w:rsidRDefault="00B10FA3" w:rsidP="00453D46">
      <w:pPr>
        <w:spacing w:line="480" w:lineRule="auto"/>
        <w:rPr>
          <w:rFonts w:ascii="Times New Roman" w:hAnsi="Times New Roman" w:cs="Times New Roman"/>
        </w:rPr>
      </w:pPr>
      <w:r>
        <w:rPr>
          <w:rFonts w:ascii="Times New Roman" w:hAnsi="Times New Roman" w:cs="Times New Roman"/>
        </w:rPr>
        <w:t xml:space="preserve">    And men need to grow up too. Avoiding </w:t>
      </w:r>
      <w:r w:rsidR="00E85B8A">
        <w:rPr>
          <w:rFonts w:ascii="Times New Roman" w:hAnsi="Times New Roman" w:cs="Times New Roman"/>
        </w:rPr>
        <w:t xml:space="preserve">higher </w:t>
      </w:r>
      <w:r>
        <w:rPr>
          <w:rFonts w:ascii="Times New Roman" w:hAnsi="Times New Roman" w:cs="Times New Roman"/>
        </w:rPr>
        <w:t xml:space="preserve">education, remaining at home, removing themselves from society into a world of gaming and social media is not going to help integrate them into the culture. </w:t>
      </w:r>
      <w:r w:rsidRPr="00E85B8A">
        <w:rPr>
          <w:rFonts w:ascii="Times New Roman" w:hAnsi="Times New Roman" w:cs="Times New Roman"/>
          <w:i/>
          <w:iCs/>
        </w:rPr>
        <w:t xml:space="preserve">The ease of hatred, </w:t>
      </w:r>
      <w:r w:rsidR="00E85B8A" w:rsidRPr="00E85B8A">
        <w:rPr>
          <w:rFonts w:ascii="Times New Roman" w:hAnsi="Times New Roman" w:cs="Times New Roman"/>
          <w:i/>
          <w:iCs/>
        </w:rPr>
        <w:t xml:space="preserve">misogyny, </w:t>
      </w:r>
      <w:r w:rsidRPr="00E85B8A">
        <w:rPr>
          <w:rFonts w:ascii="Times New Roman" w:hAnsi="Times New Roman" w:cs="Times New Roman"/>
          <w:i/>
          <w:iCs/>
        </w:rPr>
        <w:t>racism and bigotry must give way to an open dialogue in which white men accept ‘the other,’ but, by the same token are accepted by ‘the other</w:t>
      </w:r>
      <w:r>
        <w:rPr>
          <w:rFonts w:ascii="Times New Roman" w:hAnsi="Times New Roman" w:cs="Times New Roman"/>
        </w:rPr>
        <w:t>.’ The first step to beginning this process must be a recognition of difference, an admission of guilt by actors from both sides, and a willingness to move forward in a more plural fashion. It won’t be easy, but the swift successes in the 1980s-90s of the gay and lesbian communities in the US (largely led by middle class groups) demonstrates that an organized, well</w:t>
      </w:r>
      <w:r w:rsidR="00E151E3">
        <w:rPr>
          <w:rFonts w:ascii="Times New Roman" w:hAnsi="Times New Roman" w:cs="Times New Roman"/>
        </w:rPr>
        <w:t>-</w:t>
      </w:r>
      <w:r>
        <w:rPr>
          <w:rFonts w:ascii="Times New Roman" w:hAnsi="Times New Roman" w:cs="Times New Roman"/>
        </w:rPr>
        <w:t xml:space="preserve">funded movement can make progress, if it is smart, well represented and politically connected. </w:t>
      </w:r>
    </w:p>
    <w:p w14:paraId="1741E417" w14:textId="77777777" w:rsidR="00B10FA3" w:rsidRDefault="00B10FA3" w:rsidP="00453D46">
      <w:pPr>
        <w:spacing w:line="480" w:lineRule="auto"/>
        <w:rPr>
          <w:rFonts w:ascii="Times New Roman" w:hAnsi="Times New Roman" w:cs="Times New Roman"/>
        </w:rPr>
      </w:pPr>
      <w:r>
        <w:rPr>
          <w:rFonts w:ascii="Times New Roman" w:hAnsi="Times New Roman" w:cs="Times New Roman"/>
        </w:rPr>
        <w:lastRenderedPageBreak/>
        <w:t xml:space="preserve">     For such changes to take root, there would be roles for individuals, for the media, for the universities and for our political rhetoric. The media might find alternatives to ‘male bashing’ sensationalism. Universities might expand their gender studies curricula beyond gender centric parameters, and invite men to be equal participants in feminist discussions. Gender based programs might include an equivalent ‘male studies’ component. Individuals might find that exclusive sites on social media foster more harm than good, and might mitigate their participation in platforms that only reinforce their gender views; perhaps social media sites could open up to the exploration of gender, sex, sexuality and relationships in a many that would actually foster exploration, rather than confirmation.</w:t>
      </w:r>
    </w:p>
    <w:p w14:paraId="55D8169A" w14:textId="77777777" w:rsidR="00B10FA3" w:rsidRDefault="00B10FA3" w:rsidP="00453D46">
      <w:pPr>
        <w:spacing w:line="480" w:lineRule="auto"/>
        <w:rPr>
          <w:rFonts w:ascii="Times New Roman" w:hAnsi="Times New Roman" w:cs="Times New Roman"/>
        </w:rPr>
      </w:pPr>
      <w:r>
        <w:rPr>
          <w:rFonts w:ascii="Times New Roman" w:hAnsi="Times New Roman" w:cs="Times New Roman"/>
        </w:rPr>
        <w:t xml:space="preserve">     What would this movement look like? Well, for one, it would be useful if the groups involved could come to accept human imperfection, and come to terms with not taking themselves too seriously. By this, I mean that we return to a looser, less regimented, less linguistic and policed sense of identity – if we could learn again to laugh at ourselves and others, it might be a big step in the right direction. But it will require groups to feel confident in their being. Pointing out cultural foibles and stereotypes through humor is, in the end, a celebration of that grouping.   </w:t>
      </w:r>
    </w:p>
    <w:p w14:paraId="5DE80063" w14:textId="4F575098" w:rsidR="00B10FA3" w:rsidRPr="005D599D" w:rsidRDefault="00B10FA3" w:rsidP="00453D46">
      <w:pPr>
        <w:spacing w:line="480" w:lineRule="auto"/>
        <w:rPr>
          <w:rFonts w:ascii="Times New Roman" w:hAnsi="Times New Roman" w:cs="Times New Roman"/>
        </w:rPr>
      </w:pPr>
      <w:r>
        <w:rPr>
          <w:rFonts w:ascii="Times New Roman" w:hAnsi="Times New Roman" w:cs="Times New Roman"/>
        </w:rPr>
        <w:t xml:space="preserve">     I’m not sure, but if white, male America can make be made to feel at home in their culture; if peace </w:t>
      </w:r>
      <w:r w:rsidR="00E151E3">
        <w:rPr>
          <w:rFonts w:ascii="Times New Roman" w:hAnsi="Times New Roman" w:cs="Times New Roman"/>
        </w:rPr>
        <w:t xml:space="preserve">and accommodation </w:t>
      </w:r>
      <w:r>
        <w:rPr>
          <w:rFonts w:ascii="Times New Roman" w:hAnsi="Times New Roman" w:cs="Times New Roman"/>
        </w:rPr>
        <w:t>with ‘the other’ might be established through mechanisms that mitigate fear and promote opportunity, it could be a powerful movement of meaningful consequence, towards placing the country back on a much more constructive  - and ultimately rewarding - path.</w:t>
      </w:r>
    </w:p>
    <w:p w14:paraId="16D5DA75" w14:textId="77777777" w:rsidR="00B10FA3" w:rsidRDefault="00B10FA3"/>
    <w:sectPr w:rsidR="00B10FA3" w:rsidSect="00B10FA3">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114C2DF" w14:textId="77777777" w:rsidR="00B5374F" w:rsidRDefault="00B5374F" w:rsidP="00B10FA3">
      <w:pPr>
        <w:spacing w:after="0" w:line="240" w:lineRule="auto"/>
      </w:pPr>
      <w:r>
        <w:separator/>
      </w:r>
    </w:p>
  </w:endnote>
  <w:endnote w:type="continuationSeparator" w:id="0">
    <w:p w14:paraId="052A10E5" w14:textId="77777777" w:rsidR="00B5374F" w:rsidRDefault="00B5374F" w:rsidP="00B10FA3">
      <w:pPr>
        <w:spacing w:after="0" w:line="240" w:lineRule="auto"/>
      </w:pPr>
      <w:r>
        <w:continuationSeparator/>
      </w:r>
    </w:p>
  </w:endnote>
  <w:endnote w:id="1">
    <w:p w14:paraId="43924B9E" w14:textId="001EC6BD" w:rsidR="00766826" w:rsidRPr="00766826" w:rsidRDefault="00766826">
      <w:pPr>
        <w:pStyle w:val="EndnoteText"/>
        <w:rPr>
          <w:sz w:val="24"/>
          <w:szCs w:val="24"/>
        </w:rPr>
      </w:pPr>
      <w:r w:rsidRPr="00766826">
        <w:rPr>
          <w:rStyle w:val="EndnoteReference"/>
          <w:sz w:val="24"/>
          <w:szCs w:val="24"/>
        </w:rPr>
        <w:endnoteRef/>
      </w:r>
      <w:r w:rsidRPr="00766826">
        <w:rPr>
          <w:sz w:val="24"/>
          <w:szCs w:val="24"/>
        </w:rPr>
        <w:t xml:space="preserve"> </w:t>
      </w:r>
      <w:r w:rsidRPr="00E85B8A">
        <w:rPr>
          <w:rFonts w:ascii="Times New Roman" w:hAnsi="Times New Roman" w:cs="Times New Roman"/>
          <w:sz w:val="24"/>
          <w:szCs w:val="24"/>
        </w:rPr>
        <w:t>Walter Kravitz, Congressional Research Service, 1986</w:t>
      </w:r>
      <w:r w:rsidRPr="00766826">
        <w:rPr>
          <w:sz w:val="24"/>
          <w:szCs w:val="24"/>
        </w:rPr>
        <w:t>.</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4C041CE" w14:textId="77777777" w:rsidR="00B5374F" w:rsidRDefault="00B5374F" w:rsidP="00B10FA3">
      <w:pPr>
        <w:spacing w:after="0" w:line="240" w:lineRule="auto"/>
      </w:pPr>
      <w:r>
        <w:separator/>
      </w:r>
    </w:p>
  </w:footnote>
  <w:footnote w:type="continuationSeparator" w:id="0">
    <w:p w14:paraId="1A5B0F51" w14:textId="77777777" w:rsidR="00B5374F" w:rsidRDefault="00B5374F" w:rsidP="00B10FA3">
      <w:pPr>
        <w:spacing w:after="0" w:line="240" w:lineRule="auto"/>
      </w:pPr>
      <w:r>
        <w:continuationSeparator/>
      </w:r>
    </w:p>
  </w:footnote>
  <w:footnote w:id="1">
    <w:p w14:paraId="657F53BD" w14:textId="77777777" w:rsidR="00B10FA3" w:rsidRPr="002E2210" w:rsidRDefault="00B10FA3">
      <w:pPr>
        <w:pStyle w:val="FootnoteText"/>
        <w:rPr>
          <w:rFonts w:ascii="Times New Roman" w:hAnsi="Times New Roman" w:cs="Times New Roman"/>
          <w:sz w:val="24"/>
          <w:szCs w:val="24"/>
        </w:rPr>
      </w:pPr>
      <w:r w:rsidRPr="002E2210">
        <w:rPr>
          <w:rStyle w:val="FootnoteReference"/>
          <w:rFonts w:ascii="Times New Roman" w:hAnsi="Times New Roman" w:cs="Times New Roman"/>
          <w:sz w:val="24"/>
          <w:szCs w:val="24"/>
        </w:rPr>
        <w:footnoteRef/>
      </w:r>
      <w:r w:rsidRPr="002E2210">
        <w:rPr>
          <w:rFonts w:ascii="Times New Roman" w:hAnsi="Times New Roman" w:cs="Times New Roman"/>
          <w:sz w:val="24"/>
          <w:szCs w:val="24"/>
        </w:rPr>
        <w:t xml:space="preserve"> Carlo M. Cipolla, “Faith, Reason and the Plague in Seventeenth Century Tuscany,” W.W. Norton, 1979, </w:t>
      </w:r>
      <w:proofErr w:type="spellStart"/>
      <w:r w:rsidRPr="002E2210">
        <w:rPr>
          <w:rFonts w:ascii="Times New Roman" w:hAnsi="Times New Roman" w:cs="Times New Roman"/>
          <w:sz w:val="24"/>
          <w:szCs w:val="24"/>
        </w:rPr>
        <w:t>pps</w:t>
      </w:r>
      <w:proofErr w:type="spellEnd"/>
      <w:r w:rsidRPr="002E2210">
        <w:rPr>
          <w:rFonts w:ascii="Times New Roman" w:hAnsi="Times New Roman" w:cs="Times New Roman"/>
          <w:sz w:val="24"/>
          <w:szCs w:val="24"/>
        </w:rPr>
        <w:t>. 1-12.</w:t>
      </w:r>
    </w:p>
  </w:footnote>
  <w:footnote w:id="2">
    <w:p w14:paraId="60BC78F6" w14:textId="77777777" w:rsidR="00B10FA3" w:rsidRPr="002E2210" w:rsidRDefault="00B10FA3">
      <w:pPr>
        <w:pStyle w:val="FootnoteText"/>
        <w:rPr>
          <w:rFonts w:ascii="Times New Roman" w:hAnsi="Times New Roman" w:cs="Times New Roman"/>
          <w:sz w:val="24"/>
          <w:szCs w:val="24"/>
        </w:rPr>
      </w:pPr>
      <w:r w:rsidRPr="002E2210">
        <w:rPr>
          <w:rStyle w:val="FootnoteReference"/>
          <w:rFonts w:ascii="Times New Roman" w:hAnsi="Times New Roman" w:cs="Times New Roman"/>
          <w:sz w:val="24"/>
          <w:szCs w:val="24"/>
        </w:rPr>
        <w:footnoteRef/>
      </w:r>
      <w:r w:rsidRPr="002E2210">
        <w:rPr>
          <w:rFonts w:ascii="Times New Roman" w:hAnsi="Times New Roman" w:cs="Times New Roman"/>
          <w:sz w:val="24"/>
          <w:szCs w:val="24"/>
        </w:rPr>
        <w:t xml:space="preserve"> Ibid, </w:t>
      </w:r>
      <w:proofErr w:type="spellStart"/>
      <w:r w:rsidRPr="002E2210">
        <w:rPr>
          <w:rFonts w:ascii="Times New Roman" w:hAnsi="Times New Roman" w:cs="Times New Roman"/>
          <w:sz w:val="24"/>
          <w:szCs w:val="24"/>
        </w:rPr>
        <w:t>pps</w:t>
      </w:r>
      <w:proofErr w:type="spellEnd"/>
      <w:r w:rsidRPr="002E2210">
        <w:rPr>
          <w:rFonts w:ascii="Times New Roman" w:hAnsi="Times New Roman" w:cs="Times New Roman"/>
          <w:sz w:val="24"/>
          <w:szCs w:val="24"/>
        </w:rPr>
        <w:t>. 13-17</w:t>
      </w:r>
    </w:p>
  </w:footnote>
  <w:footnote w:id="3">
    <w:p w14:paraId="39796682" w14:textId="77777777" w:rsidR="00B10FA3" w:rsidRDefault="00B10FA3">
      <w:pPr>
        <w:pStyle w:val="FootnoteText"/>
      </w:pPr>
      <w:r w:rsidRPr="002E2210">
        <w:rPr>
          <w:rStyle w:val="FootnoteReference"/>
          <w:rFonts w:ascii="Times New Roman" w:hAnsi="Times New Roman" w:cs="Times New Roman"/>
          <w:sz w:val="24"/>
          <w:szCs w:val="24"/>
        </w:rPr>
        <w:footnoteRef/>
      </w:r>
      <w:r w:rsidRPr="002E2210">
        <w:rPr>
          <w:rFonts w:ascii="Times New Roman" w:hAnsi="Times New Roman" w:cs="Times New Roman"/>
          <w:sz w:val="24"/>
          <w:szCs w:val="24"/>
        </w:rPr>
        <w:t xml:space="preserve"> Ibid, </w:t>
      </w:r>
      <w:proofErr w:type="spellStart"/>
      <w:r w:rsidRPr="002E2210">
        <w:rPr>
          <w:rFonts w:ascii="Times New Roman" w:hAnsi="Times New Roman" w:cs="Times New Roman"/>
          <w:sz w:val="24"/>
          <w:szCs w:val="24"/>
        </w:rPr>
        <w:t>pps</w:t>
      </w:r>
      <w:proofErr w:type="spellEnd"/>
      <w:r w:rsidRPr="002E2210">
        <w:rPr>
          <w:rFonts w:ascii="Times New Roman" w:hAnsi="Times New Roman" w:cs="Times New Roman"/>
          <w:sz w:val="24"/>
          <w:szCs w:val="24"/>
        </w:rPr>
        <w:t>. 17-25</w:t>
      </w:r>
    </w:p>
  </w:footnote>
  <w:footnote w:id="4">
    <w:p w14:paraId="015E6DB6" w14:textId="77777777" w:rsidR="00B10FA3" w:rsidRPr="002E2210" w:rsidRDefault="00B10FA3">
      <w:pPr>
        <w:pStyle w:val="FootnoteText"/>
        <w:rPr>
          <w:rFonts w:ascii="Times New Roman" w:hAnsi="Times New Roman" w:cs="Times New Roman"/>
          <w:sz w:val="24"/>
          <w:szCs w:val="24"/>
        </w:rPr>
      </w:pPr>
      <w:r w:rsidRPr="002E2210">
        <w:rPr>
          <w:rStyle w:val="FootnoteReference"/>
          <w:rFonts w:ascii="Times New Roman" w:hAnsi="Times New Roman" w:cs="Times New Roman"/>
          <w:sz w:val="24"/>
          <w:szCs w:val="24"/>
        </w:rPr>
        <w:footnoteRef/>
      </w:r>
      <w:r w:rsidRPr="002E2210">
        <w:rPr>
          <w:rFonts w:ascii="Times New Roman" w:hAnsi="Times New Roman" w:cs="Times New Roman"/>
          <w:sz w:val="24"/>
          <w:szCs w:val="24"/>
        </w:rPr>
        <w:t xml:space="preserve"> Ibid, </w:t>
      </w:r>
      <w:proofErr w:type="spellStart"/>
      <w:r w:rsidRPr="002E2210">
        <w:rPr>
          <w:rFonts w:ascii="Times New Roman" w:hAnsi="Times New Roman" w:cs="Times New Roman"/>
          <w:sz w:val="24"/>
          <w:szCs w:val="24"/>
        </w:rPr>
        <w:t>pps</w:t>
      </w:r>
      <w:proofErr w:type="spellEnd"/>
      <w:r w:rsidRPr="002E2210">
        <w:rPr>
          <w:rFonts w:ascii="Times New Roman" w:hAnsi="Times New Roman" w:cs="Times New Roman"/>
          <w:sz w:val="24"/>
          <w:szCs w:val="24"/>
        </w:rPr>
        <w:t>. 29-64.</w:t>
      </w:r>
    </w:p>
  </w:footnote>
  <w:footnote w:id="5">
    <w:p w14:paraId="02C1F44F" w14:textId="77777777" w:rsidR="00B10FA3" w:rsidRPr="00D235CA" w:rsidRDefault="00B10FA3">
      <w:pPr>
        <w:pStyle w:val="FootnoteText"/>
        <w:rPr>
          <w:sz w:val="24"/>
          <w:szCs w:val="24"/>
        </w:rPr>
      </w:pPr>
      <w:r w:rsidRPr="00D235CA">
        <w:rPr>
          <w:rStyle w:val="FootnoteReference"/>
          <w:sz w:val="24"/>
          <w:szCs w:val="24"/>
        </w:rPr>
        <w:footnoteRef/>
      </w:r>
      <w:r w:rsidRPr="00D235CA">
        <w:rPr>
          <w:sz w:val="24"/>
          <w:szCs w:val="24"/>
        </w:rPr>
        <w:t xml:space="preserve"> Ayaan Hirsi Ali, </w:t>
      </w:r>
      <w:r w:rsidRPr="00D235CA">
        <w:rPr>
          <w:i/>
          <w:iCs/>
          <w:sz w:val="24"/>
          <w:szCs w:val="24"/>
        </w:rPr>
        <w:t>Infide</w:t>
      </w:r>
      <w:r w:rsidRPr="00D235CA">
        <w:rPr>
          <w:sz w:val="24"/>
          <w:szCs w:val="24"/>
        </w:rPr>
        <w:t>l, Pocket Books, 2007, p. 134-136</w:t>
      </w:r>
    </w:p>
    <w:p w14:paraId="65C63B23" w14:textId="77777777" w:rsidR="00B10FA3" w:rsidRDefault="00B10FA3">
      <w:pPr>
        <w:pStyle w:val="FootnoteText"/>
      </w:pPr>
    </w:p>
  </w:footnote>
  <w:footnote w:id="6">
    <w:p w14:paraId="00D78FA7" w14:textId="23C1D6EF" w:rsidR="00B10FA3" w:rsidRPr="00D359B5" w:rsidRDefault="00B10FA3" w:rsidP="00AE2BD2">
      <w:pPr>
        <w:pStyle w:val="Heading1"/>
        <w:rPr>
          <w:rFonts w:ascii="Times New Roman" w:hAnsi="Times New Roman" w:cs="Times New Roman"/>
          <w:color w:val="0D0D0D" w:themeColor="text1" w:themeTint="F2"/>
          <w:sz w:val="24"/>
          <w:szCs w:val="24"/>
        </w:rPr>
      </w:pPr>
      <w:r w:rsidRPr="00D359B5">
        <w:rPr>
          <w:rStyle w:val="FootnoteReference"/>
          <w:rFonts w:ascii="Times New Roman" w:hAnsi="Times New Roman" w:cs="Times New Roman"/>
          <w:color w:val="0D0D0D" w:themeColor="text1" w:themeTint="F2"/>
          <w:sz w:val="24"/>
          <w:szCs w:val="24"/>
        </w:rPr>
        <w:footnoteRef/>
      </w:r>
      <w:r w:rsidRPr="00D359B5">
        <w:rPr>
          <w:rFonts w:ascii="Times New Roman" w:hAnsi="Times New Roman" w:cs="Times New Roman"/>
          <w:color w:val="0D0D0D" w:themeColor="text1" w:themeTint="F2"/>
          <w:sz w:val="24"/>
          <w:szCs w:val="24"/>
        </w:rPr>
        <w:t xml:space="preserve"> La</w:t>
      </w:r>
      <w:r w:rsidR="004B52EB">
        <w:rPr>
          <w:rFonts w:ascii="Times New Roman" w:hAnsi="Times New Roman" w:cs="Times New Roman"/>
          <w:color w:val="0D0D0D" w:themeColor="text1" w:themeTint="F2"/>
          <w:sz w:val="24"/>
          <w:szCs w:val="24"/>
        </w:rPr>
        <w:t xml:space="preserve"> </w:t>
      </w:r>
      <w:r w:rsidRPr="00D359B5">
        <w:rPr>
          <w:rFonts w:ascii="Times New Roman" w:hAnsi="Times New Roman" w:cs="Times New Roman"/>
          <w:color w:val="0D0D0D" w:themeColor="text1" w:themeTint="F2"/>
          <w:sz w:val="24"/>
          <w:szCs w:val="24"/>
        </w:rPr>
        <w:t>Keshia N. Myers, “The Spirit of Lee Atwater Lingers Among Us: How Critical Race Theory Became the GOP’s new Southern Strategy,” 8/13/2021.</w:t>
      </w:r>
    </w:p>
    <w:p w14:paraId="68AEAD4B" w14:textId="77777777" w:rsidR="00B10FA3" w:rsidRPr="00D235CA" w:rsidRDefault="00B10FA3">
      <w:pPr>
        <w:pStyle w:val="FootnoteText"/>
        <w:rPr>
          <w:sz w:val="24"/>
          <w:szCs w:val="24"/>
        </w:rPr>
      </w:pPr>
      <w:hyperlink r:id="rId1" w:history="1">
        <w:r w:rsidRPr="00D235CA">
          <w:rPr>
            <w:rStyle w:val="Hyperlink"/>
            <w:color w:val="0D0D0D" w:themeColor="text1" w:themeTint="F2"/>
            <w:sz w:val="24"/>
            <w:szCs w:val="24"/>
          </w:rPr>
          <w:t>https://milwaukeecourieronline.com/index.php/2021/08/13</w:t>
        </w:r>
      </w:hyperlink>
      <w:r w:rsidRPr="00D235CA">
        <w:rPr>
          <w:color w:val="0D0D0D" w:themeColor="text1" w:themeTint="F2"/>
          <w:sz w:val="24"/>
          <w:szCs w:val="24"/>
        </w:rPr>
        <w:t>.</w:t>
      </w:r>
      <w:r w:rsidRPr="00D235CA">
        <w:rPr>
          <w:sz w:val="24"/>
          <w:szCs w:val="24"/>
        </w:rPr>
        <w:t xml:space="preserve"> </w:t>
      </w:r>
      <w:r w:rsidRPr="00E96A5A">
        <w:rPr>
          <w:b/>
          <w:bCs/>
          <w:sz w:val="24"/>
          <w:szCs w:val="24"/>
        </w:rPr>
        <w:t>Lee Atwater</w:t>
      </w:r>
      <w:r w:rsidRPr="00D235CA">
        <w:rPr>
          <w:sz w:val="24"/>
          <w:szCs w:val="24"/>
        </w:rPr>
        <w:t xml:space="preserve"> – an advisor to President Reagan, said “</w:t>
      </w:r>
      <w:r w:rsidRPr="00D235CA">
        <w:rPr>
          <w:rStyle w:val="Emphasis"/>
          <w:sz w:val="24"/>
          <w:szCs w:val="24"/>
        </w:rPr>
        <w:t>As to the whole Southern strategy that Harry S. Dent, Sr. and others put together in 1968, opposition to the Voting Rights Act would have been a central part of keeping the South. Y’all don’t quote me on this. You start out in 1954 by saying, ‘Nigger, nigger, nigger’. By 1968 you can’t say ‘nigger’—that hurts you. Backfires. So you say stuff like forced busing, states’ rights and all that stuff. You’re getting so abstract now [that] you’re talking about cutting taxes, and all these things you’re talking about are totally economic things and a by product of them is [that] blacks get hurt worse than whites. And subconsciously maybe that is part of it.”</w:t>
      </w:r>
    </w:p>
  </w:footnote>
  <w:footnote w:id="7">
    <w:p w14:paraId="103AF5DC" w14:textId="77777777" w:rsidR="00B10FA3" w:rsidRPr="00990133" w:rsidRDefault="00B10FA3">
      <w:pPr>
        <w:pStyle w:val="FootnoteText"/>
        <w:rPr>
          <w:sz w:val="24"/>
          <w:szCs w:val="24"/>
        </w:rPr>
      </w:pPr>
      <w:r w:rsidRPr="00990133">
        <w:rPr>
          <w:rStyle w:val="FootnoteReference"/>
          <w:sz w:val="24"/>
          <w:szCs w:val="24"/>
        </w:rPr>
        <w:footnoteRef/>
      </w:r>
      <w:r w:rsidRPr="00990133">
        <w:rPr>
          <w:sz w:val="24"/>
          <w:szCs w:val="24"/>
        </w:rPr>
        <w:t xml:space="preserve"> USAfacts.org/data/topics, accessed 11/23/2023.</w:t>
      </w:r>
    </w:p>
  </w:footnote>
  <w:footnote w:id="8">
    <w:p w14:paraId="40F6AF2C" w14:textId="77777777" w:rsidR="00B10FA3" w:rsidRPr="00990133" w:rsidRDefault="00B10FA3">
      <w:pPr>
        <w:pStyle w:val="FootnoteText"/>
        <w:rPr>
          <w:sz w:val="24"/>
          <w:szCs w:val="24"/>
        </w:rPr>
      </w:pPr>
      <w:r w:rsidRPr="00990133">
        <w:rPr>
          <w:rStyle w:val="FootnoteReference"/>
          <w:sz w:val="24"/>
          <w:szCs w:val="24"/>
        </w:rPr>
        <w:footnoteRef/>
      </w:r>
      <w:r w:rsidRPr="00990133">
        <w:rPr>
          <w:sz w:val="24"/>
          <w:szCs w:val="24"/>
        </w:rPr>
        <w:t xml:space="preserve"> Ibid.</w:t>
      </w:r>
    </w:p>
  </w:footnote>
  <w:footnote w:id="9">
    <w:p w14:paraId="52AAF1F1" w14:textId="77777777" w:rsidR="00B10FA3" w:rsidRPr="00990133" w:rsidRDefault="00B10FA3">
      <w:pPr>
        <w:pStyle w:val="FootnoteText"/>
        <w:rPr>
          <w:sz w:val="24"/>
          <w:szCs w:val="24"/>
        </w:rPr>
      </w:pPr>
      <w:r w:rsidRPr="00990133">
        <w:rPr>
          <w:rStyle w:val="FootnoteReference"/>
          <w:sz w:val="24"/>
          <w:szCs w:val="24"/>
        </w:rPr>
        <w:footnoteRef/>
      </w:r>
      <w:r w:rsidRPr="00990133">
        <w:rPr>
          <w:sz w:val="24"/>
          <w:szCs w:val="24"/>
        </w:rPr>
        <w:t xml:space="preserve"> Ibid.</w:t>
      </w:r>
    </w:p>
  </w:footnote>
  <w:footnote w:id="10">
    <w:p w14:paraId="031084EB" w14:textId="77777777" w:rsidR="00B10FA3" w:rsidRPr="005D32D0" w:rsidRDefault="00B10FA3">
      <w:pPr>
        <w:pStyle w:val="FootnoteText"/>
        <w:rPr>
          <w:szCs w:val="24"/>
        </w:rPr>
      </w:pPr>
      <w:r w:rsidRPr="00990133">
        <w:rPr>
          <w:rStyle w:val="FootnoteReference"/>
          <w:sz w:val="24"/>
          <w:szCs w:val="24"/>
        </w:rPr>
        <w:footnoteRef/>
      </w:r>
      <w:r w:rsidRPr="00990133">
        <w:rPr>
          <w:sz w:val="24"/>
          <w:szCs w:val="24"/>
        </w:rPr>
        <w:t xml:space="preserve"> Ibid.</w:t>
      </w:r>
    </w:p>
  </w:footnote>
  <w:footnote w:id="11">
    <w:p w14:paraId="2BC7E119" w14:textId="77777777" w:rsidR="00B10FA3" w:rsidRPr="00990133" w:rsidRDefault="00B10FA3">
      <w:pPr>
        <w:pStyle w:val="FootnoteText"/>
        <w:rPr>
          <w:sz w:val="24"/>
          <w:szCs w:val="24"/>
        </w:rPr>
      </w:pPr>
      <w:r w:rsidRPr="00990133">
        <w:rPr>
          <w:rStyle w:val="FootnoteReference"/>
          <w:sz w:val="24"/>
          <w:szCs w:val="24"/>
        </w:rPr>
        <w:footnoteRef/>
      </w:r>
      <w:r w:rsidRPr="00990133">
        <w:rPr>
          <w:sz w:val="24"/>
          <w:szCs w:val="24"/>
        </w:rPr>
        <w:t xml:space="preserve"> Ibid.</w:t>
      </w:r>
    </w:p>
  </w:footnote>
  <w:footnote w:id="12">
    <w:p w14:paraId="2E1338A1" w14:textId="77777777" w:rsidR="00B10FA3" w:rsidRPr="00990133" w:rsidRDefault="00B10FA3">
      <w:pPr>
        <w:pStyle w:val="FootnoteText"/>
        <w:rPr>
          <w:sz w:val="24"/>
          <w:szCs w:val="24"/>
        </w:rPr>
      </w:pPr>
      <w:r w:rsidRPr="00990133">
        <w:rPr>
          <w:rStyle w:val="FootnoteReference"/>
          <w:sz w:val="24"/>
          <w:szCs w:val="24"/>
        </w:rPr>
        <w:footnoteRef/>
      </w:r>
      <w:r w:rsidRPr="00990133">
        <w:rPr>
          <w:sz w:val="24"/>
          <w:szCs w:val="24"/>
        </w:rPr>
        <w:t xml:space="preserve"> The Center for Strategic and International Studies. https://www.csis.org/analysis/rise-far-right-extremism-united-states.</w:t>
      </w:r>
    </w:p>
  </w:footnote>
  <w:footnote w:id="13">
    <w:p w14:paraId="327039FA" w14:textId="77777777" w:rsidR="00B10FA3" w:rsidRPr="00BE4549" w:rsidRDefault="00B10FA3">
      <w:pPr>
        <w:pStyle w:val="FootnoteText"/>
        <w:rPr>
          <w:rFonts w:ascii="Times New Roman" w:hAnsi="Times New Roman" w:cs="Times New Roman"/>
          <w:sz w:val="24"/>
          <w:szCs w:val="24"/>
        </w:rPr>
      </w:pPr>
      <w:r w:rsidRPr="00BE4549">
        <w:rPr>
          <w:rStyle w:val="FootnoteReference"/>
          <w:rFonts w:ascii="Times New Roman" w:hAnsi="Times New Roman" w:cs="Times New Roman"/>
          <w:sz w:val="24"/>
          <w:szCs w:val="24"/>
        </w:rPr>
        <w:footnoteRef/>
      </w:r>
      <w:r w:rsidRPr="00BE4549">
        <w:rPr>
          <w:rFonts w:ascii="Times New Roman" w:hAnsi="Times New Roman" w:cs="Times New Roman"/>
          <w:sz w:val="24"/>
          <w:szCs w:val="24"/>
        </w:rPr>
        <w:t xml:space="preserve"> “How the Koch Brothers Built the Most Powerful Right Wing Group that you Never Heard of,” </w:t>
      </w:r>
      <w:r w:rsidRPr="00BE4549">
        <w:rPr>
          <w:rFonts w:ascii="Times New Roman" w:hAnsi="Times New Roman" w:cs="Times New Roman"/>
          <w:i/>
          <w:iCs/>
          <w:sz w:val="24"/>
          <w:szCs w:val="24"/>
        </w:rPr>
        <w:t xml:space="preserve">The Guardian, </w:t>
      </w:r>
      <w:r w:rsidRPr="00BE4549">
        <w:rPr>
          <w:rFonts w:ascii="Times New Roman" w:hAnsi="Times New Roman" w:cs="Times New Roman"/>
          <w:sz w:val="24"/>
          <w:szCs w:val="24"/>
        </w:rPr>
        <w:t>https://www.theguardian.com/us-news/2018/sep/26/koch-brothers-americans-for-prosperity-rightwing-political-group.</w:t>
      </w:r>
    </w:p>
  </w:footnote>
  <w:footnote w:id="14">
    <w:p w14:paraId="166CFC39" w14:textId="77777777" w:rsidR="00B10FA3" w:rsidRPr="00BE4549" w:rsidRDefault="00B10FA3" w:rsidP="00A721B9">
      <w:pPr>
        <w:pStyle w:val="FootnoteText"/>
        <w:rPr>
          <w:rFonts w:ascii="Times New Roman" w:hAnsi="Times New Roman" w:cs="Times New Roman"/>
          <w:sz w:val="24"/>
          <w:szCs w:val="24"/>
        </w:rPr>
      </w:pPr>
      <w:r w:rsidRPr="00BE4549">
        <w:rPr>
          <w:rStyle w:val="FootnoteReference"/>
          <w:rFonts w:ascii="Times New Roman" w:hAnsi="Times New Roman" w:cs="Times New Roman"/>
          <w:sz w:val="24"/>
          <w:szCs w:val="24"/>
        </w:rPr>
        <w:footnoteRef/>
      </w:r>
      <w:r w:rsidRPr="00BE4549">
        <w:rPr>
          <w:rFonts w:ascii="Times New Roman" w:hAnsi="Times New Roman" w:cs="Times New Roman"/>
          <w:i/>
          <w:iCs/>
          <w:sz w:val="24"/>
          <w:szCs w:val="24"/>
        </w:rPr>
        <w:t xml:space="preserve"> The Koch Network and Republican Party, “</w:t>
      </w:r>
      <w:r w:rsidRPr="00BE4549">
        <w:rPr>
          <w:rFonts w:ascii="Times New Roman" w:hAnsi="Times New Roman" w:cs="Times New Roman"/>
          <w:sz w:val="24"/>
          <w:szCs w:val="24"/>
        </w:rPr>
        <w:t xml:space="preserve">Extremism Perspectives on Politics,” Vol. 14, No. 3, September 2016, Theda Skocpol and Alexander Hertel-Fern, </w:t>
      </w:r>
      <w:proofErr w:type="spellStart"/>
      <w:r w:rsidRPr="00BE4549">
        <w:rPr>
          <w:rFonts w:ascii="Times New Roman" w:hAnsi="Times New Roman" w:cs="Times New Roman"/>
          <w:sz w:val="24"/>
          <w:szCs w:val="24"/>
        </w:rPr>
        <w:t>pps</w:t>
      </w:r>
      <w:proofErr w:type="spellEnd"/>
      <w:r w:rsidRPr="00BE4549">
        <w:rPr>
          <w:rFonts w:ascii="Times New Roman" w:hAnsi="Times New Roman" w:cs="Times New Roman"/>
          <w:sz w:val="24"/>
          <w:szCs w:val="24"/>
        </w:rPr>
        <w:t>. 681-695.</w:t>
      </w:r>
    </w:p>
  </w:footnote>
  <w:footnote w:id="15">
    <w:p w14:paraId="6E14C65C" w14:textId="77777777" w:rsidR="00B10FA3" w:rsidRDefault="00B10FA3">
      <w:pPr>
        <w:pStyle w:val="FootnoteText"/>
      </w:pPr>
      <w:r w:rsidRPr="00BE4549">
        <w:rPr>
          <w:rStyle w:val="FootnoteReference"/>
          <w:rFonts w:ascii="Times New Roman" w:hAnsi="Times New Roman" w:cs="Times New Roman"/>
          <w:sz w:val="24"/>
          <w:szCs w:val="24"/>
        </w:rPr>
        <w:footnoteRef/>
      </w:r>
      <w:r w:rsidRPr="00BE4549">
        <w:rPr>
          <w:rFonts w:ascii="Times New Roman" w:hAnsi="Times New Roman" w:cs="Times New Roman"/>
          <w:sz w:val="24"/>
          <w:szCs w:val="24"/>
        </w:rPr>
        <w:t xml:space="preserve"> Ibid.</w:t>
      </w:r>
      <w:r>
        <w:t xml:space="preserve"> </w:t>
      </w:r>
    </w:p>
  </w:footnote>
  <w:footnote w:id="16">
    <w:p w14:paraId="2E0AA558" w14:textId="77777777" w:rsidR="00B10FA3" w:rsidRPr="00990133" w:rsidRDefault="00B10FA3" w:rsidP="001070D8">
      <w:pPr>
        <w:pStyle w:val="FootnoteText"/>
        <w:rPr>
          <w:sz w:val="24"/>
          <w:szCs w:val="24"/>
        </w:rPr>
      </w:pPr>
      <w:r w:rsidRPr="00990133">
        <w:rPr>
          <w:rStyle w:val="FootnoteReference"/>
          <w:sz w:val="24"/>
          <w:szCs w:val="24"/>
        </w:rPr>
        <w:footnoteRef/>
      </w:r>
      <w:r w:rsidRPr="00990133">
        <w:rPr>
          <w:sz w:val="24"/>
          <w:szCs w:val="24"/>
        </w:rPr>
        <w:t xml:space="preserve"> Ibid.</w:t>
      </w:r>
    </w:p>
  </w:footnote>
  <w:footnote w:id="17">
    <w:p w14:paraId="6975E66D" w14:textId="77777777" w:rsidR="00B10FA3" w:rsidRDefault="00B10FA3" w:rsidP="001070D8">
      <w:pPr>
        <w:pStyle w:val="FootnoteText"/>
      </w:pPr>
      <w:r w:rsidRPr="00990133">
        <w:rPr>
          <w:rStyle w:val="FootnoteReference"/>
          <w:sz w:val="24"/>
          <w:szCs w:val="24"/>
        </w:rPr>
        <w:footnoteRef/>
      </w:r>
      <w:r w:rsidRPr="00990133">
        <w:rPr>
          <w:sz w:val="24"/>
          <w:szCs w:val="24"/>
        </w:rPr>
        <w:t xml:space="preserve"> Ibid, p. 693-695.</w:t>
      </w:r>
    </w:p>
  </w:footnote>
  <w:footnote w:id="18">
    <w:p w14:paraId="7675F12A" w14:textId="77777777" w:rsidR="00B10FA3" w:rsidRPr="00B24799" w:rsidRDefault="00B10FA3">
      <w:pPr>
        <w:pStyle w:val="FootnoteText"/>
        <w:rPr>
          <w:sz w:val="24"/>
          <w:szCs w:val="24"/>
        </w:rPr>
      </w:pPr>
      <w:r w:rsidRPr="00D44351">
        <w:rPr>
          <w:rStyle w:val="FootnoteReference"/>
          <w:sz w:val="24"/>
          <w:szCs w:val="24"/>
        </w:rPr>
        <w:footnoteRef/>
      </w:r>
      <w:r w:rsidRPr="00D44351">
        <w:rPr>
          <w:sz w:val="24"/>
          <w:szCs w:val="24"/>
        </w:rPr>
        <w:t xml:space="preserve"> </w:t>
      </w:r>
      <w:r w:rsidRPr="00CE1925">
        <w:rPr>
          <w:rFonts w:ascii="Times New Roman" w:hAnsi="Times New Roman" w:cs="Times New Roman"/>
          <w:sz w:val="24"/>
          <w:szCs w:val="24"/>
        </w:rPr>
        <w:t xml:space="preserve">Noam Chomsky, </w:t>
      </w:r>
      <w:r w:rsidRPr="00CE1925">
        <w:rPr>
          <w:rFonts w:ascii="Times New Roman" w:hAnsi="Times New Roman" w:cs="Times New Roman"/>
          <w:i/>
          <w:iCs/>
          <w:sz w:val="24"/>
          <w:szCs w:val="24"/>
        </w:rPr>
        <w:t xml:space="preserve">Who Rules the World, </w:t>
      </w:r>
      <w:r w:rsidRPr="00CE1925">
        <w:rPr>
          <w:rFonts w:ascii="Times New Roman" w:hAnsi="Times New Roman" w:cs="Times New Roman"/>
          <w:sz w:val="24"/>
          <w:szCs w:val="24"/>
        </w:rPr>
        <w:t>Penguin Books, 2017.</w:t>
      </w:r>
    </w:p>
  </w:footnote>
  <w:footnote w:id="19">
    <w:p w14:paraId="25B1CF9F" w14:textId="77777777" w:rsidR="00B10FA3" w:rsidRPr="005D44AA" w:rsidRDefault="00B10FA3">
      <w:pPr>
        <w:pStyle w:val="FootnoteText"/>
        <w:rPr>
          <w:rFonts w:ascii="Times New Roman" w:hAnsi="Times New Roman" w:cs="Times New Roman"/>
          <w:sz w:val="24"/>
          <w:szCs w:val="24"/>
        </w:rPr>
      </w:pPr>
      <w:r w:rsidRPr="005D44AA">
        <w:rPr>
          <w:rStyle w:val="FootnoteReference"/>
          <w:rFonts w:ascii="Times New Roman" w:hAnsi="Times New Roman" w:cs="Times New Roman"/>
          <w:sz w:val="24"/>
          <w:szCs w:val="24"/>
        </w:rPr>
        <w:footnoteRef/>
      </w:r>
      <w:r w:rsidRPr="005D44AA">
        <w:rPr>
          <w:rFonts w:ascii="Times New Roman" w:hAnsi="Times New Roman" w:cs="Times New Roman"/>
          <w:sz w:val="24"/>
          <w:szCs w:val="24"/>
        </w:rPr>
        <w:t xml:space="preserve"> Years ago, I worked as a staff member for US Sen. Paul Simon of Illinois. Simon was, at the time, the only member of the Senate who did not possess a college degree. He was, however, a highly </w:t>
      </w:r>
      <w:r>
        <w:rPr>
          <w:rFonts w:ascii="Times New Roman" w:hAnsi="Times New Roman" w:cs="Times New Roman"/>
          <w:sz w:val="24"/>
          <w:szCs w:val="24"/>
        </w:rPr>
        <w:t>prolific writer</w:t>
      </w:r>
      <w:r w:rsidRPr="005D44AA">
        <w:rPr>
          <w:rFonts w:ascii="Times New Roman" w:hAnsi="Times New Roman" w:cs="Times New Roman"/>
          <w:sz w:val="24"/>
          <w:szCs w:val="24"/>
        </w:rPr>
        <w:t>, ha</w:t>
      </w:r>
      <w:r>
        <w:rPr>
          <w:rFonts w:ascii="Times New Roman" w:hAnsi="Times New Roman" w:cs="Times New Roman"/>
          <w:sz w:val="24"/>
          <w:szCs w:val="24"/>
        </w:rPr>
        <w:t>ving</w:t>
      </w:r>
      <w:r w:rsidRPr="005D44AA">
        <w:rPr>
          <w:rFonts w:ascii="Times New Roman" w:hAnsi="Times New Roman" w:cs="Times New Roman"/>
          <w:sz w:val="24"/>
          <w:szCs w:val="24"/>
        </w:rPr>
        <w:t xml:space="preserve"> made a career as an investigative reporter, and had authored nearly 20 books when I worked for him.</w:t>
      </w:r>
    </w:p>
  </w:footnote>
  <w:footnote w:id="20">
    <w:p w14:paraId="3176C7E0" w14:textId="77777777" w:rsidR="00B10FA3" w:rsidRPr="00CF35BE" w:rsidRDefault="00B10FA3">
      <w:pPr>
        <w:pStyle w:val="FootnoteText"/>
        <w:rPr>
          <w:rFonts w:ascii="Times New Roman" w:hAnsi="Times New Roman" w:cs="Times New Roman"/>
          <w:color w:val="000000" w:themeColor="text1"/>
          <w:sz w:val="24"/>
          <w:szCs w:val="24"/>
        </w:rPr>
      </w:pPr>
      <w:r w:rsidRPr="00CF35BE">
        <w:rPr>
          <w:rStyle w:val="FootnoteReference"/>
          <w:rFonts w:ascii="Times New Roman" w:hAnsi="Times New Roman" w:cs="Times New Roman"/>
          <w:color w:val="000000" w:themeColor="text1"/>
          <w:sz w:val="24"/>
          <w:szCs w:val="24"/>
        </w:rPr>
        <w:footnoteRef/>
      </w:r>
      <w:r w:rsidRPr="00CF35BE">
        <w:rPr>
          <w:rFonts w:ascii="Times New Roman" w:hAnsi="Times New Roman" w:cs="Times New Roman"/>
          <w:color w:val="000000" w:themeColor="text1"/>
          <w:sz w:val="24"/>
          <w:szCs w:val="24"/>
        </w:rPr>
        <w:t xml:space="preserve"> Richard Polenberg, </w:t>
      </w:r>
      <w:r w:rsidRPr="00CF35BE">
        <w:rPr>
          <w:rFonts w:ascii="Times New Roman" w:hAnsi="Times New Roman" w:cs="Times New Roman"/>
          <w:i/>
          <w:iCs/>
          <w:color w:val="000000" w:themeColor="text1"/>
          <w:sz w:val="24"/>
          <w:szCs w:val="24"/>
        </w:rPr>
        <w:t>One Nation Divisible</w:t>
      </w:r>
      <w:r w:rsidRPr="00CF35BE">
        <w:rPr>
          <w:rFonts w:ascii="Times New Roman" w:hAnsi="Times New Roman" w:cs="Times New Roman"/>
          <w:color w:val="000000" w:themeColor="text1"/>
          <w:sz w:val="24"/>
          <w:szCs w:val="24"/>
        </w:rPr>
        <w:t xml:space="preserve">, Penguin Book, 1980, </w:t>
      </w:r>
      <w:proofErr w:type="spellStart"/>
      <w:r w:rsidRPr="00CF35BE">
        <w:rPr>
          <w:rFonts w:ascii="Times New Roman" w:hAnsi="Times New Roman" w:cs="Times New Roman"/>
          <w:color w:val="000000" w:themeColor="text1"/>
          <w:sz w:val="24"/>
          <w:szCs w:val="24"/>
        </w:rPr>
        <w:t>pps</w:t>
      </w:r>
      <w:proofErr w:type="spellEnd"/>
      <w:r w:rsidRPr="00CF35BE">
        <w:rPr>
          <w:rFonts w:ascii="Times New Roman" w:hAnsi="Times New Roman" w:cs="Times New Roman"/>
          <w:color w:val="000000" w:themeColor="text1"/>
          <w:sz w:val="24"/>
          <w:szCs w:val="24"/>
        </w:rPr>
        <w:t>. 222-223.</w:t>
      </w:r>
    </w:p>
  </w:footnote>
  <w:footnote w:id="21">
    <w:p w14:paraId="34DEB04C" w14:textId="77777777" w:rsidR="00B10FA3" w:rsidRPr="00CF35BE" w:rsidRDefault="00B10FA3" w:rsidP="00AF7732">
      <w:pPr>
        <w:rPr>
          <w:rFonts w:ascii="Times New Roman" w:hAnsi="Times New Roman" w:cs="Times New Roman"/>
          <w:color w:val="000000" w:themeColor="text1"/>
        </w:rPr>
      </w:pPr>
      <w:r w:rsidRPr="00CF35BE">
        <w:rPr>
          <w:rStyle w:val="FootnoteReference"/>
          <w:rFonts w:ascii="Times New Roman" w:hAnsi="Times New Roman" w:cs="Times New Roman"/>
          <w:color w:val="000000" w:themeColor="text1"/>
        </w:rPr>
        <w:footnoteRef/>
      </w:r>
      <w:r w:rsidRPr="00CF35BE">
        <w:rPr>
          <w:rFonts w:ascii="Times New Roman" w:hAnsi="Times New Roman" w:cs="Times New Roman"/>
          <w:i/>
          <w:iCs/>
          <w:color w:val="000000" w:themeColor="text1"/>
        </w:rPr>
        <w:t>Oh, We Knew Agnew: On Spiro Agnew’s Lasting Legacy</w:t>
      </w:r>
      <w:r w:rsidRPr="00CF35BE">
        <w:rPr>
          <w:rFonts w:ascii="Times New Roman" w:hAnsi="Times New Roman" w:cs="Times New Roman"/>
          <w:b/>
          <w:bCs/>
          <w:i/>
          <w:iCs/>
          <w:color w:val="000000" w:themeColor="text1"/>
        </w:rPr>
        <w:t xml:space="preserve">, </w:t>
      </w:r>
      <w:r w:rsidRPr="00CF35BE">
        <w:rPr>
          <w:rFonts w:ascii="Times New Roman" w:hAnsi="Times New Roman" w:cs="Times New Roman"/>
          <w:color w:val="000000" w:themeColor="text1"/>
        </w:rPr>
        <w:t xml:space="preserve">Los Angeles Review of Books, 8/27/2023, </w:t>
      </w:r>
      <w:hyperlink r:id="rId2" w:history="1">
        <w:r w:rsidRPr="00CF35BE">
          <w:rPr>
            <w:rStyle w:val="Hyperlink"/>
            <w:rFonts w:ascii="Times New Roman" w:hAnsi="Times New Roman" w:cs="Times New Roman"/>
            <w:color w:val="000000" w:themeColor="text1"/>
          </w:rPr>
          <w:t>Zach Messitte</w:t>
        </w:r>
      </w:hyperlink>
      <w:r w:rsidRPr="00CF35BE">
        <w:rPr>
          <w:rFonts w:ascii="Times New Roman" w:hAnsi="Times New Roman" w:cs="Times New Roman"/>
          <w:color w:val="000000" w:themeColor="text1"/>
        </w:rPr>
        <w:t xml:space="preserve">, </w:t>
      </w:r>
      <w:hyperlink r:id="rId3" w:history="1">
        <w:r w:rsidRPr="00CF35BE">
          <w:rPr>
            <w:rStyle w:val="Hyperlink"/>
            <w:rFonts w:ascii="Times New Roman" w:hAnsi="Times New Roman" w:cs="Times New Roman"/>
            <w:color w:val="000000" w:themeColor="text1"/>
          </w:rPr>
          <w:t>Charles J. Holden</w:t>
        </w:r>
      </w:hyperlink>
      <w:r w:rsidRPr="00CF35BE">
        <w:rPr>
          <w:rFonts w:ascii="Times New Roman" w:hAnsi="Times New Roman" w:cs="Times New Roman"/>
          <w:color w:val="000000" w:themeColor="text1"/>
        </w:rPr>
        <w:t xml:space="preserve">, </w:t>
      </w:r>
      <w:hyperlink r:id="rId4" w:history="1">
        <w:r w:rsidRPr="00CF35BE">
          <w:rPr>
            <w:rStyle w:val="Hyperlink"/>
            <w:rFonts w:ascii="Times New Roman" w:hAnsi="Times New Roman" w:cs="Times New Roman"/>
            <w:color w:val="000000" w:themeColor="text1"/>
          </w:rPr>
          <w:t>Jerald Podair</w:t>
        </w:r>
      </w:hyperlink>
      <w:r w:rsidRPr="00CF35BE">
        <w:rPr>
          <w:rFonts w:ascii="Times New Roman" w:hAnsi="Times New Roman" w:cs="Times New Roman"/>
          <w:color w:val="000000" w:themeColor="text1"/>
        </w:rPr>
        <w:t>.</w:t>
      </w:r>
    </w:p>
    <w:p w14:paraId="5E1E17DE" w14:textId="77777777" w:rsidR="00B10FA3" w:rsidRDefault="00B10FA3">
      <w:pPr>
        <w:pStyle w:val="FootnoteText"/>
      </w:pPr>
    </w:p>
  </w:footnote>
  <w:footnote w:id="22">
    <w:p w14:paraId="43868BB2" w14:textId="77777777" w:rsidR="00B10FA3" w:rsidRPr="00AF7732" w:rsidRDefault="00B10FA3">
      <w:pPr>
        <w:pStyle w:val="FootnoteText"/>
        <w:rPr>
          <w:rFonts w:ascii="Times New Roman" w:hAnsi="Times New Roman" w:cs="Times New Roman"/>
          <w:sz w:val="24"/>
          <w:szCs w:val="24"/>
        </w:rPr>
      </w:pPr>
      <w:r w:rsidRPr="00AF7732">
        <w:rPr>
          <w:rStyle w:val="FootnoteReference"/>
          <w:rFonts w:ascii="Times New Roman" w:hAnsi="Times New Roman" w:cs="Times New Roman"/>
          <w:sz w:val="24"/>
          <w:szCs w:val="24"/>
        </w:rPr>
        <w:footnoteRef/>
      </w:r>
      <w:r w:rsidRPr="00AF7732">
        <w:rPr>
          <w:rFonts w:ascii="Times New Roman" w:hAnsi="Times New Roman" w:cs="Times New Roman"/>
          <w:sz w:val="24"/>
          <w:szCs w:val="24"/>
        </w:rPr>
        <w:t xml:space="preserve"> </w:t>
      </w:r>
      <w:proofErr w:type="spellStart"/>
      <w:r w:rsidRPr="00AF7732">
        <w:rPr>
          <w:rFonts w:ascii="Times New Roman" w:hAnsi="Times New Roman" w:cs="Times New Roman"/>
          <w:sz w:val="24"/>
          <w:szCs w:val="24"/>
        </w:rPr>
        <w:t>Polenberg</w:t>
      </w:r>
      <w:proofErr w:type="spellEnd"/>
      <w:r w:rsidRPr="00AF7732">
        <w:rPr>
          <w:rFonts w:ascii="Times New Roman" w:hAnsi="Times New Roman" w:cs="Times New Roman"/>
          <w:sz w:val="24"/>
          <w:szCs w:val="24"/>
        </w:rPr>
        <w:t>, p. 223.</w:t>
      </w:r>
    </w:p>
  </w:footnote>
  <w:footnote w:id="23">
    <w:p w14:paraId="1BAA02A9" w14:textId="77777777" w:rsidR="00B10FA3" w:rsidRPr="00014A3F" w:rsidRDefault="00B10FA3">
      <w:pPr>
        <w:pStyle w:val="FootnoteText"/>
        <w:rPr>
          <w:rFonts w:ascii="Times New Roman" w:hAnsi="Times New Roman" w:cs="Times New Roman"/>
          <w:sz w:val="24"/>
          <w:szCs w:val="24"/>
        </w:rPr>
      </w:pPr>
      <w:r w:rsidRPr="00014A3F">
        <w:rPr>
          <w:rStyle w:val="FootnoteReference"/>
          <w:rFonts w:ascii="Times New Roman" w:hAnsi="Times New Roman" w:cs="Times New Roman"/>
          <w:sz w:val="24"/>
          <w:szCs w:val="24"/>
        </w:rPr>
        <w:footnoteRef/>
      </w:r>
      <w:r w:rsidRPr="00014A3F">
        <w:rPr>
          <w:rFonts w:ascii="Times New Roman" w:hAnsi="Times New Roman" w:cs="Times New Roman"/>
          <w:sz w:val="24"/>
          <w:szCs w:val="24"/>
        </w:rPr>
        <w:t xml:space="preserve"> Alan Pendleton Grimes, </w:t>
      </w:r>
      <w:r w:rsidRPr="00014A3F">
        <w:rPr>
          <w:rFonts w:ascii="Times New Roman" w:hAnsi="Times New Roman" w:cs="Times New Roman"/>
          <w:i/>
          <w:iCs/>
          <w:sz w:val="24"/>
          <w:szCs w:val="24"/>
        </w:rPr>
        <w:t xml:space="preserve">American Political Thought, </w:t>
      </w:r>
      <w:r w:rsidRPr="00014A3F">
        <w:rPr>
          <w:rFonts w:ascii="Times New Roman" w:hAnsi="Times New Roman" w:cs="Times New Roman"/>
          <w:sz w:val="24"/>
          <w:szCs w:val="24"/>
        </w:rPr>
        <w:t xml:space="preserve">University Press of America, 1983, </w:t>
      </w:r>
      <w:proofErr w:type="spellStart"/>
      <w:r w:rsidRPr="00014A3F">
        <w:rPr>
          <w:rFonts w:ascii="Times New Roman" w:hAnsi="Times New Roman" w:cs="Times New Roman"/>
          <w:sz w:val="24"/>
          <w:szCs w:val="24"/>
        </w:rPr>
        <w:t>pps</w:t>
      </w:r>
      <w:proofErr w:type="spellEnd"/>
      <w:r w:rsidRPr="00014A3F">
        <w:rPr>
          <w:rFonts w:ascii="Times New Roman" w:hAnsi="Times New Roman" w:cs="Times New Roman"/>
          <w:sz w:val="24"/>
          <w:szCs w:val="24"/>
        </w:rPr>
        <w:t>. 489-491.</w:t>
      </w:r>
    </w:p>
  </w:footnote>
  <w:footnote w:id="24">
    <w:p w14:paraId="6434BC73" w14:textId="77777777" w:rsidR="00B10FA3" w:rsidRPr="00014A3F" w:rsidRDefault="00B10FA3">
      <w:pPr>
        <w:pStyle w:val="FootnoteText"/>
        <w:rPr>
          <w:rFonts w:ascii="Times New Roman" w:hAnsi="Times New Roman" w:cs="Times New Roman"/>
          <w:sz w:val="24"/>
          <w:szCs w:val="24"/>
        </w:rPr>
      </w:pPr>
      <w:r w:rsidRPr="00014A3F">
        <w:rPr>
          <w:rStyle w:val="FootnoteReference"/>
          <w:rFonts w:ascii="Times New Roman" w:hAnsi="Times New Roman" w:cs="Times New Roman"/>
          <w:sz w:val="24"/>
          <w:szCs w:val="24"/>
        </w:rPr>
        <w:footnoteRef/>
      </w:r>
      <w:r w:rsidRPr="00014A3F">
        <w:rPr>
          <w:rFonts w:ascii="Times New Roman" w:hAnsi="Times New Roman" w:cs="Times New Roman"/>
          <w:sz w:val="24"/>
          <w:szCs w:val="24"/>
        </w:rPr>
        <w:t xml:space="preserve"> Ibid, 483-491</w:t>
      </w:r>
    </w:p>
  </w:footnote>
  <w:footnote w:id="25">
    <w:p w14:paraId="562E6450" w14:textId="77777777" w:rsidR="00B10FA3" w:rsidRDefault="00B10FA3">
      <w:pPr>
        <w:pStyle w:val="FootnoteText"/>
      </w:pPr>
      <w:r w:rsidRPr="00014A3F">
        <w:rPr>
          <w:rStyle w:val="FootnoteReference"/>
          <w:rFonts w:ascii="Times New Roman" w:hAnsi="Times New Roman" w:cs="Times New Roman"/>
          <w:sz w:val="24"/>
          <w:szCs w:val="24"/>
        </w:rPr>
        <w:footnoteRef/>
      </w:r>
      <w:r w:rsidRPr="00014A3F">
        <w:rPr>
          <w:rFonts w:ascii="Times New Roman" w:hAnsi="Times New Roman" w:cs="Times New Roman"/>
          <w:sz w:val="24"/>
          <w:szCs w:val="24"/>
        </w:rPr>
        <w:t xml:space="preserve"> Ibid.</w:t>
      </w:r>
    </w:p>
  </w:footnote>
  <w:footnote w:id="26">
    <w:p w14:paraId="4CCB376A" w14:textId="77777777" w:rsidR="00B10FA3" w:rsidRPr="003C3BA7" w:rsidRDefault="00B10FA3">
      <w:pPr>
        <w:pStyle w:val="FootnoteText"/>
        <w:rPr>
          <w:rFonts w:ascii="Times New Roman" w:hAnsi="Times New Roman" w:cs="Times New Roman"/>
          <w:sz w:val="24"/>
          <w:szCs w:val="24"/>
        </w:rPr>
      </w:pPr>
      <w:r w:rsidRPr="003C3BA7">
        <w:rPr>
          <w:rStyle w:val="FootnoteReference"/>
          <w:rFonts w:ascii="Times New Roman" w:hAnsi="Times New Roman" w:cs="Times New Roman"/>
          <w:sz w:val="24"/>
          <w:szCs w:val="24"/>
        </w:rPr>
        <w:footnoteRef/>
      </w:r>
      <w:r w:rsidRPr="003C3BA7">
        <w:rPr>
          <w:rFonts w:ascii="Times New Roman" w:hAnsi="Times New Roman" w:cs="Times New Roman"/>
          <w:sz w:val="24"/>
          <w:szCs w:val="24"/>
        </w:rPr>
        <w:t xml:space="preserve"> Ibid, p. 484.</w:t>
      </w:r>
    </w:p>
  </w:footnote>
  <w:footnote w:id="27">
    <w:p w14:paraId="2B19BBFE" w14:textId="77777777" w:rsidR="00B10FA3" w:rsidRDefault="00B10FA3">
      <w:pPr>
        <w:pStyle w:val="FootnoteText"/>
      </w:pPr>
      <w:r w:rsidRPr="003C3BA7">
        <w:rPr>
          <w:rStyle w:val="FootnoteReference"/>
          <w:rFonts w:ascii="Times New Roman" w:hAnsi="Times New Roman" w:cs="Times New Roman"/>
          <w:sz w:val="24"/>
          <w:szCs w:val="24"/>
        </w:rPr>
        <w:footnoteRef/>
      </w:r>
      <w:r w:rsidRPr="003C3BA7">
        <w:rPr>
          <w:rFonts w:ascii="Times New Roman" w:hAnsi="Times New Roman" w:cs="Times New Roman"/>
          <w:sz w:val="24"/>
          <w:szCs w:val="24"/>
        </w:rPr>
        <w:t xml:space="preserve"> Ibid, p. 485.</w:t>
      </w:r>
    </w:p>
  </w:footnote>
  <w:footnote w:id="28">
    <w:p w14:paraId="154DDAFD" w14:textId="77777777" w:rsidR="00B10FA3" w:rsidRPr="00303007" w:rsidRDefault="00B10FA3">
      <w:pPr>
        <w:pStyle w:val="FootnoteText"/>
        <w:rPr>
          <w:rFonts w:ascii="Times New Roman" w:hAnsi="Times New Roman" w:cs="Times New Roman"/>
          <w:sz w:val="24"/>
          <w:szCs w:val="24"/>
        </w:rPr>
      </w:pPr>
      <w:r w:rsidRPr="00303007">
        <w:rPr>
          <w:rStyle w:val="FootnoteReference"/>
          <w:rFonts w:ascii="Times New Roman" w:hAnsi="Times New Roman" w:cs="Times New Roman"/>
          <w:sz w:val="24"/>
          <w:szCs w:val="24"/>
        </w:rPr>
        <w:footnoteRef/>
      </w:r>
      <w:r w:rsidRPr="00303007">
        <w:rPr>
          <w:rFonts w:ascii="Times New Roman" w:hAnsi="Times New Roman" w:cs="Times New Roman"/>
          <w:sz w:val="24"/>
          <w:szCs w:val="24"/>
        </w:rPr>
        <w:t xml:space="preserve"> </w:t>
      </w:r>
      <w:r w:rsidRPr="00303007">
        <w:rPr>
          <w:rFonts w:ascii="Times New Roman" w:hAnsi="Times New Roman" w:cs="Times New Roman"/>
          <w:i/>
          <w:iCs/>
          <w:sz w:val="24"/>
          <w:szCs w:val="24"/>
        </w:rPr>
        <w:t>American Constitutional Law</w:t>
      </w:r>
      <w:r w:rsidRPr="00303007">
        <w:rPr>
          <w:rFonts w:ascii="Times New Roman" w:hAnsi="Times New Roman" w:cs="Times New Roman"/>
          <w:sz w:val="24"/>
          <w:szCs w:val="24"/>
        </w:rPr>
        <w:t>, Robert J. Steamer, 1992 McGraw-Hill, p.59.</w:t>
      </w:r>
    </w:p>
  </w:footnote>
  <w:footnote w:id="29">
    <w:p w14:paraId="66D6DBF9" w14:textId="77777777" w:rsidR="00B10FA3" w:rsidRPr="00303007" w:rsidRDefault="00B10FA3">
      <w:pPr>
        <w:pStyle w:val="FootnoteText"/>
        <w:rPr>
          <w:rFonts w:ascii="Times New Roman" w:hAnsi="Times New Roman" w:cs="Times New Roman"/>
          <w:sz w:val="24"/>
          <w:szCs w:val="24"/>
        </w:rPr>
      </w:pPr>
      <w:r w:rsidRPr="00303007">
        <w:rPr>
          <w:rStyle w:val="FootnoteReference"/>
          <w:rFonts w:ascii="Times New Roman" w:hAnsi="Times New Roman" w:cs="Times New Roman"/>
          <w:sz w:val="24"/>
          <w:szCs w:val="24"/>
        </w:rPr>
        <w:footnoteRef/>
      </w:r>
      <w:r w:rsidRPr="00303007">
        <w:rPr>
          <w:rFonts w:ascii="Times New Roman" w:hAnsi="Times New Roman" w:cs="Times New Roman"/>
          <w:sz w:val="24"/>
          <w:szCs w:val="24"/>
        </w:rPr>
        <w:t xml:space="preserve"> Ibid, p. 59</w:t>
      </w:r>
    </w:p>
    <w:p w14:paraId="5BC1C4E9" w14:textId="77777777" w:rsidR="00B10FA3" w:rsidRPr="00303007" w:rsidRDefault="00B10FA3">
      <w:pPr>
        <w:pStyle w:val="FootnoteText"/>
        <w:rPr>
          <w:rFonts w:ascii="Times New Roman" w:hAnsi="Times New Roman" w:cs="Times New Roman"/>
          <w:sz w:val="24"/>
          <w:szCs w:val="24"/>
        </w:rPr>
      </w:pPr>
    </w:p>
  </w:footnote>
  <w:footnote w:id="30">
    <w:p w14:paraId="33ABF63D" w14:textId="77777777" w:rsidR="00B10FA3" w:rsidRPr="00303007" w:rsidRDefault="00B10FA3">
      <w:pPr>
        <w:pStyle w:val="FootnoteText"/>
        <w:rPr>
          <w:rFonts w:ascii="Times New Roman" w:hAnsi="Times New Roman" w:cs="Times New Roman"/>
          <w:sz w:val="24"/>
          <w:szCs w:val="24"/>
        </w:rPr>
      </w:pPr>
      <w:r w:rsidRPr="00303007">
        <w:rPr>
          <w:rStyle w:val="FootnoteReference"/>
          <w:rFonts w:ascii="Times New Roman" w:hAnsi="Times New Roman" w:cs="Times New Roman"/>
          <w:sz w:val="24"/>
          <w:szCs w:val="24"/>
        </w:rPr>
        <w:footnoteRef/>
      </w:r>
      <w:r w:rsidRPr="00303007">
        <w:rPr>
          <w:rFonts w:ascii="Times New Roman" w:hAnsi="Times New Roman" w:cs="Times New Roman"/>
          <w:sz w:val="24"/>
          <w:szCs w:val="24"/>
        </w:rPr>
        <w:t xml:space="preserve"> Ibid, p. 60-61</w:t>
      </w:r>
    </w:p>
    <w:p w14:paraId="67124299" w14:textId="77777777" w:rsidR="00B10FA3" w:rsidRDefault="00B10FA3">
      <w:pPr>
        <w:pStyle w:val="FootnoteText"/>
      </w:pPr>
    </w:p>
  </w:footnote>
  <w:footnote w:id="31">
    <w:p w14:paraId="4291C983" w14:textId="77777777" w:rsidR="00B10FA3" w:rsidRPr="00303007" w:rsidRDefault="00B10FA3">
      <w:pPr>
        <w:pStyle w:val="FootnoteText"/>
        <w:rPr>
          <w:rFonts w:ascii="Times New Roman" w:hAnsi="Times New Roman" w:cs="Times New Roman"/>
          <w:sz w:val="24"/>
          <w:szCs w:val="24"/>
        </w:rPr>
      </w:pPr>
      <w:r w:rsidRPr="00303007">
        <w:rPr>
          <w:rStyle w:val="FootnoteReference"/>
          <w:rFonts w:ascii="Times New Roman" w:hAnsi="Times New Roman" w:cs="Times New Roman"/>
          <w:sz w:val="24"/>
          <w:szCs w:val="24"/>
        </w:rPr>
        <w:footnoteRef/>
      </w:r>
      <w:r w:rsidRPr="00303007">
        <w:rPr>
          <w:rFonts w:ascii="Times New Roman" w:hAnsi="Times New Roman" w:cs="Times New Roman"/>
          <w:sz w:val="24"/>
          <w:szCs w:val="24"/>
        </w:rPr>
        <w:t xml:space="preserve"> </w:t>
      </w:r>
      <w:r w:rsidRPr="00E2092B">
        <w:rPr>
          <w:rFonts w:ascii="Times New Roman" w:hAnsi="Times New Roman" w:cs="Times New Roman"/>
          <w:sz w:val="24"/>
          <w:szCs w:val="24"/>
        </w:rPr>
        <w:t>Ibid</w:t>
      </w:r>
      <w:r w:rsidRPr="00303007">
        <w:rPr>
          <w:rFonts w:ascii="Times New Roman" w:hAnsi="Times New Roman" w:cs="Times New Roman"/>
          <w:sz w:val="24"/>
          <w:szCs w:val="24"/>
        </w:rPr>
        <w:t>, p.60.</w:t>
      </w:r>
    </w:p>
  </w:footnote>
  <w:footnote w:id="32">
    <w:p w14:paraId="6DEC8FF0" w14:textId="77777777" w:rsidR="00B10FA3" w:rsidRDefault="00B10FA3" w:rsidP="007607BC">
      <w:pPr>
        <w:pStyle w:val="FootnoteText"/>
      </w:pPr>
      <w:r>
        <w:rPr>
          <w:rStyle w:val="FootnoteReference"/>
        </w:rPr>
        <w:footnoteRef/>
      </w:r>
      <w:r>
        <w:t xml:space="preserve"> </w:t>
      </w:r>
      <w:r w:rsidRPr="00B854AF">
        <w:rPr>
          <w:rFonts w:ascii="Times New Roman" w:hAnsi="Times New Roman" w:cs="Times New Roman"/>
          <w:i/>
          <w:iCs/>
          <w:sz w:val="24"/>
          <w:szCs w:val="24"/>
        </w:rPr>
        <w:t xml:space="preserve">American Ideologies Today, </w:t>
      </w:r>
      <w:r w:rsidRPr="00B854AF">
        <w:rPr>
          <w:rFonts w:ascii="Times New Roman" w:hAnsi="Times New Roman" w:cs="Times New Roman"/>
          <w:sz w:val="24"/>
          <w:szCs w:val="24"/>
        </w:rPr>
        <w:t>Kenneth M. Dolbeare, McGraw Hill, 1993.</w:t>
      </w:r>
    </w:p>
    <w:p w14:paraId="275AD2DD" w14:textId="77777777" w:rsidR="00B10FA3" w:rsidRPr="00DF5E55" w:rsidRDefault="00B10FA3" w:rsidP="007607BC">
      <w:pPr>
        <w:pStyle w:val="FootnoteText"/>
        <w:jc w:val="both"/>
      </w:pPr>
    </w:p>
  </w:footnote>
  <w:footnote w:id="33">
    <w:p w14:paraId="0F68C87D" w14:textId="6CCCDBCA" w:rsidR="00B10FA3" w:rsidRPr="00B10FA3" w:rsidRDefault="00B10FA3">
      <w:pPr>
        <w:pStyle w:val="FootnoteText"/>
        <w:rPr>
          <w:sz w:val="24"/>
          <w:szCs w:val="24"/>
          <w:lang w:val="fr-FR"/>
        </w:rPr>
      </w:pPr>
      <w:r w:rsidRPr="00BE5AD6">
        <w:rPr>
          <w:rStyle w:val="FootnoteReference"/>
          <w:rFonts w:ascii="Times New Roman" w:hAnsi="Times New Roman" w:cs="Times New Roman"/>
          <w:sz w:val="24"/>
          <w:szCs w:val="24"/>
        </w:rPr>
        <w:footnoteRef/>
      </w:r>
      <w:r w:rsidR="6375CABF" w:rsidRPr="00BE5AD6">
        <w:rPr>
          <w:rFonts w:ascii="Times New Roman" w:hAnsi="Times New Roman" w:cs="Times New Roman"/>
          <w:sz w:val="24"/>
          <w:szCs w:val="24"/>
          <w:lang w:val="fr-FR"/>
        </w:rPr>
        <w:t xml:space="preserve">  https://Pantheism.com</w:t>
      </w:r>
      <w:r w:rsidR="6375CABF" w:rsidRPr="00B10FA3">
        <w:rPr>
          <w:sz w:val="24"/>
          <w:szCs w:val="24"/>
          <w:lang w:val="fr-FR"/>
        </w:rPr>
        <w:t>.</w:t>
      </w:r>
    </w:p>
  </w:footnote>
  <w:footnote w:id="34">
    <w:p w14:paraId="41E00A39" w14:textId="77777777" w:rsidR="00B10FA3" w:rsidRPr="00BE5AD6" w:rsidRDefault="00B10FA3">
      <w:pPr>
        <w:pStyle w:val="FootnoteText"/>
        <w:rPr>
          <w:rFonts w:ascii="Times New Roman" w:hAnsi="Times New Roman" w:cs="Times New Roman"/>
          <w:sz w:val="24"/>
          <w:szCs w:val="24"/>
          <w:lang w:val="fr-FR"/>
        </w:rPr>
      </w:pPr>
      <w:r w:rsidRPr="00BE5AD6">
        <w:rPr>
          <w:rStyle w:val="FootnoteReference"/>
          <w:rFonts w:ascii="Times New Roman" w:hAnsi="Times New Roman" w:cs="Times New Roman"/>
          <w:sz w:val="24"/>
          <w:szCs w:val="24"/>
        </w:rPr>
        <w:footnoteRef/>
      </w:r>
      <w:r w:rsidRPr="00BE5AD6">
        <w:rPr>
          <w:rFonts w:ascii="Times New Roman" w:hAnsi="Times New Roman" w:cs="Times New Roman"/>
          <w:sz w:val="24"/>
          <w:szCs w:val="24"/>
          <w:lang w:val="fr-FR"/>
        </w:rPr>
        <w:t xml:space="preserve"> Georges Louis Leclerc Buffon, </w:t>
      </w:r>
      <w:proofErr w:type="spellStart"/>
      <w:r w:rsidRPr="00BE5AD6">
        <w:rPr>
          <w:rFonts w:ascii="Times New Roman" w:hAnsi="Times New Roman" w:cs="Times New Roman"/>
          <w:i/>
          <w:iCs/>
          <w:sz w:val="24"/>
          <w:szCs w:val="24"/>
          <w:lang w:val="fr-FR"/>
        </w:rPr>
        <w:t>Oeuvres</w:t>
      </w:r>
      <w:proofErr w:type="spellEnd"/>
      <w:r w:rsidRPr="00BE5AD6">
        <w:rPr>
          <w:rFonts w:ascii="Times New Roman" w:hAnsi="Times New Roman" w:cs="Times New Roman"/>
          <w:i/>
          <w:iCs/>
          <w:sz w:val="24"/>
          <w:szCs w:val="24"/>
          <w:lang w:val="fr-FR"/>
        </w:rPr>
        <w:t xml:space="preserve"> Complètes, vol. 15 </w:t>
      </w:r>
      <w:r w:rsidRPr="00BE5AD6">
        <w:rPr>
          <w:rFonts w:ascii="Times New Roman" w:hAnsi="Times New Roman" w:cs="Times New Roman"/>
          <w:sz w:val="24"/>
          <w:szCs w:val="24"/>
          <w:lang w:val="fr-FR"/>
        </w:rPr>
        <w:t>(Paris: Baudoin Frères, 1828), 455-56.</w:t>
      </w:r>
    </w:p>
  </w:footnote>
  <w:footnote w:id="35">
    <w:p w14:paraId="4AF509FE" w14:textId="77777777" w:rsidR="00B10FA3" w:rsidRPr="00B10FA3" w:rsidRDefault="00B10FA3">
      <w:pPr>
        <w:pStyle w:val="FootnoteText"/>
        <w:rPr>
          <w:lang w:val="fr-FR"/>
        </w:rPr>
      </w:pPr>
      <w:r w:rsidRPr="00BE5AD6">
        <w:rPr>
          <w:rStyle w:val="FootnoteReference"/>
          <w:rFonts w:ascii="Times New Roman" w:hAnsi="Times New Roman" w:cs="Times New Roman"/>
          <w:sz w:val="24"/>
          <w:szCs w:val="24"/>
        </w:rPr>
        <w:footnoteRef/>
      </w:r>
      <w:r w:rsidRPr="00BE5AD6">
        <w:rPr>
          <w:rFonts w:ascii="Times New Roman" w:hAnsi="Times New Roman" w:cs="Times New Roman"/>
          <w:sz w:val="24"/>
          <w:szCs w:val="24"/>
          <w:lang w:val="fr-FR"/>
        </w:rPr>
        <w:t xml:space="preserve"> Guillaume Thomas Raynal, </w:t>
      </w:r>
      <w:r w:rsidRPr="00BE5AD6">
        <w:rPr>
          <w:rFonts w:ascii="Times New Roman" w:hAnsi="Times New Roman" w:cs="Times New Roman"/>
          <w:i/>
          <w:iCs/>
          <w:sz w:val="24"/>
          <w:szCs w:val="24"/>
          <w:lang w:val="fr-FR"/>
        </w:rPr>
        <w:t xml:space="preserve">Histoire Philosophique des Établissements des Européens dans les Deux </w:t>
      </w:r>
      <w:proofErr w:type="spellStart"/>
      <w:r w:rsidRPr="00BE5AD6">
        <w:rPr>
          <w:rFonts w:ascii="Times New Roman" w:hAnsi="Times New Roman" w:cs="Times New Roman"/>
          <w:i/>
          <w:iCs/>
          <w:sz w:val="24"/>
          <w:szCs w:val="24"/>
          <w:lang w:val="fr-FR"/>
        </w:rPr>
        <w:t>Indies</w:t>
      </w:r>
      <w:proofErr w:type="spellEnd"/>
      <w:r w:rsidRPr="00BE5AD6">
        <w:rPr>
          <w:rFonts w:ascii="Times New Roman" w:hAnsi="Times New Roman" w:cs="Times New Roman"/>
          <w:i/>
          <w:iCs/>
          <w:sz w:val="24"/>
          <w:szCs w:val="24"/>
          <w:lang w:val="fr-FR"/>
        </w:rPr>
        <w:t xml:space="preserve">, </w:t>
      </w:r>
      <w:r w:rsidRPr="00BE5AD6">
        <w:rPr>
          <w:rFonts w:ascii="Times New Roman" w:hAnsi="Times New Roman" w:cs="Times New Roman"/>
          <w:sz w:val="24"/>
          <w:szCs w:val="24"/>
          <w:lang w:val="fr-FR"/>
        </w:rPr>
        <w:t>vol. 6 (Paris: Amable, 1821), 23.</w:t>
      </w:r>
    </w:p>
  </w:footnote>
  <w:footnote w:id="36">
    <w:p w14:paraId="358D3495" w14:textId="77777777" w:rsidR="00B10FA3" w:rsidRPr="00BE5AD6" w:rsidRDefault="00B10FA3">
      <w:pPr>
        <w:pStyle w:val="FootnoteText"/>
        <w:rPr>
          <w:rFonts w:ascii="Times New Roman" w:hAnsi="Times New Roman" w:cs="Times New Roman"/>
          <w:sz w:val="24"/>
          <w:szCs w:val="24"/>
        </w:rPr>
      </w:pPr>
      <w:r w:rsidRPr="00BE5AD6">
        <w:rPr>
          <w:rStyle w:val="FootnoteReference"/>
          <w:rFonts w:ascii="Times New Roman" w:hAnsi="Times New Roman" w:cs="Times New Roman"/>
          <w:sz w:val="24"/>
          <w:szCs w:val="24"/>
        </w:rPr>
        <w:footnoteRef/>
      </w:r>
      <w:r w:rsidRPr="00BE5AD6">
        <w:rPr>
          <w:rFonts w:ascii="Times New Roman" w:hAnsi="Times New Roman" w:cs="Times New Roman"/>
          <w:sz w:val="24"/>
          <w:szCs w:val="24"/>
        </w:rPr>
        <w:t xml:space="preserve"> James Loewen, </w:t>
      </w:r>
      <w:r w:rsidRPr="00BE5AD6">
        <w:rPr>
          <w:rFonts w:ascii="Times New Roman" w:hAnsi="Times New Roman" w:cs="Times New Roman"/>
          <w:i/>
          <w:iCs/>
          <w:sz w:val="24"/>
          <w:szCs w:val="24"/>
        </w:rPr>
        <w:t>Lies my Teacher Told Me.</w:t>
      </w:r>
      <w:r w:rsidRPr="00BE5AD6">
        <w:rPr>
          <w:rFonts w:ascii="Times New Roman" w:hAnsi="Times New Roman" w:cs="Times New Roman"/>
          <w:i/>
          <w:iCs/>
          <w:color w:val="000000" w:themeColor="text1"/>
          <w:sz w:val="24"/>
          <w:szCs w:val="24"/>
        </w:rPr>
        <w:t xml:space="preserve"> </w:t>
      </w:r>
      <w:hyperlink r:id="rId5" w:history="1">
        <w:r w:rsidRPr="00BE5AD6">
          <w:rPr>
            <w:rStyle w:val="Hyperlink"/>
            <w:rFonts w:ascii="Times New Roman" w:hAnsi="Times New Roman" w:cs="Times New Roman"/>
            <w:color w:val="000000" w:themeColor="text1"/>
            <w:sz w:val="24"/>
            <w:szCs w:val="24"/>
          </w:rPr>
          <w:t>https://www.npr.org/2018/08/09/63</w:t>
        </w:r>
      </w:hyperlink>
    </w:p>
    <w:p w14:paraId="052713C5" w14:textId="77777777" w:rsidR="00B10FA3" w:rsidRPr="00F857EA" w:rsidRDefault="00B10FA3">
      <w:pPr>
        <w:pStyle w:val="FootnoteText"/>
        <w:rPr>
          <w:i/>
          <w:iCs/>
        </w:rPr>
      </w:pPr>
      <w:r w:rsidRPr="00BE5AD6">
        <w:rPr>
          <w:rFonts w:ascii="Times New Roman" w:hAnsi="Times New Roman" w:cs="Times New Roman"/>
          <w:sz w:val="24"/>
          <w:szCs w:val="24"/>
        </w:rPr>
        <w:t>hh4991713/lies-my-teacher-told-me-and-how-american-history-can-be-used-as-a-weapon.</w:t>
      </w:r>
    </w:p>
  </w:footnote>
  <w:footnote w:id="37">
    <w:p w14:paraId="472E25A9" w14:textId="77777777" w:rsidR="00B10FA3" w:rsidRPr="00BE5AD6" w:rsidRDefault="00B10FA3">
      <w:pPr>
        <w:pStyle w:val="FootnoteText"/>
        <w:rPr>
          <w:rFonts w:ascii="Times New Roman" w:hAnsi="Times New Roman" w:cs="Times New Roman"/>
          <w:sz w:val="24"/>
          <w:szCs w:val="24"/>
        </w:rPr>
      </w:pPr>
      <w:r w:rsidRPr="00BE5AD6">
        <w:rPr>
          <w:rStyle w:val="FootnoteReference"/>
          <w:rFonts w:ascii="Times New Roman" w:hAnsi="Times New Roman" w:cs="Times New Roman"/>
          <w:sz w:val="24"/>
          <w:szCs w:val="24"/>
        </w:rPr>
        <w:footnoteRef/>
      </w:r>
      <w:r w:rsidRPr="00BE5AD6">
        <w:rPr>
          <w:rFonts w:ascii="Times New Roman" w:hAnsi="Times New Roman" w:cs="Times New Roman"/>
          <w:sz w:val="24"/>
          <w:szCs w:val="24"/>
        </w:rPr>
        <w:t xml:space="preserve"> David A. Hollinger, </w:t>
      </w:r>
      <w:r w:rsidRPr="00BE5AD6">
        <w:rPr>
          <w:rFonts w:ascii="Times New Roman" w:hAnsi="Times New Roman" w:cs="Times New Roman"/>
          <w:i/>
          <w:iCs/>
          <w:sz w:val="24"/>
          <w:szCs w:val="24"/>
        </w:rPr>
        <w:t xml:space="preserve">The American Intellectual Tradition, </w:t>
      </w:r>
      <w:r w:rsidRPr="00BE5AD6">
        <w:rPr>
          <w:rFonts w:ascii="Times New Roman" w:hAnsi="Times New Roman" w:cs="Times New Roman"/>
          <w:sz w:val="24"/>
          <w:szCs w:val="24"/>
        </w:rPr>
        <w:t>Oxford University Press, p. 3-4.</w:t>
      </w:r>
    </w:p>
  </w:footnote>
  <w:footnote w:id="38">
    <w:p w14:paraId="5067ADF8" w14:textId="77777777" w:rsidR="00B10FA3" w:rsidRDefault="00B10FA3">
      <w:pPr>
        <w:pStyle w:val="FootnoteText"/>
      </w:pPr>
      <w:r w:rsidRPr="00BE5AD6">
        <w:rPr>
          <w:rStyle w:val="FootnoteReference"/>
          <w:rFonts w:ascii="Times New Roman" w:hAnsi="Times New Roman" w:cs="Times New Roman"/>
          <w:sz w:val="24"/>
          <w:szCs w:val="24"/>
        </w:rPr>
        <w:footnoteRef/>
      </w:r>
      <w:r w:rsidRPr="00BE5AD6">
        <w:rPr>
          <w:rFonts w:ascii="Times New Roman" w:hAnsi="Times New Roman" w:cs="Times New Roman"/>
          <w:sz w:val="24"/>
          <w:szCs w:val="24"/>
        </w:rPr>
        <w:t xml:space="preserve"> Ibid, 6.</w:t>
      </w:r>
    </w:p>
  </w:footnote>
  <w:footnote w:id="39">
    <w:p w14:paraId="3489DA50" w14:textId="77777777" w:rsidR="00B10FA3" w:rsidRPr="00BE5AD6" w:rsidRDefault="00B10FA3">
      <w:pPr>
        <w:pStyle w:val="FootnoteText"/>
        <w:rPr>
          <w:rFonts w:ascii="Times New Roman" w:hAnsi="Times New Roman" w:cs="Times New Roman"/>
          <w:sz w:val="24"/>
          <w:szCs w:val="24"/>
        </w:rPr>
      </w:pPr>
      <w:r w:rsidRPr="00BE5AD6">
        <w:rPr>
          <w:rStyle w:val="FootnoteReference"/>
          <w:rFonts w:ascii="Times New Roman" w:hAnsi="Times New Roman" w:cs="Times New Roman"/>
          <w:sz w:val="24"/>
          <w:szCs w:val="24"/>
        </w:rPr>
        <w:footnoteRef/>
      </w:r>
      <w:r w:rsidRPr="00BE5AD6">
        <w:rPr>
          <w:rFonts w:ascii="Times New Roman" w:hAnsi="Times New Roman" w:cs="Times New Roman"/>
          <w:sz w:val="24"/>
          <w:szCs w:val="24"/>
        </w:rPr>
        <w:t xml:space="preserve"> Ibid, 20-21.</w:t>
      </w:r>
    </w:p>
  </w:footnote>
  <w:footnote w:id="40">
    <w:p w14:paraId="2788F306" w14:textId="77777777" w:rsidR="00B10FA3" w:rsidRPr="00BE5AD6" w:rsidRDefault="00B10FA3">
      <w:pPr>
        <w:pStyle w:val="FootnoteText"/>
        <w:rPr>
          <w:rFonts w:ascii="Times New Roman" w:hAnsi="Times New Roman" w:cs="Times New Roman"/>
          <w:sz w:val="24"/>
          <w:szCs w:val="24"/>
        </w:rPr>
      </w:pPr>
      <w:r w:rsidRPr="00BE5AD6">
        <w:rPr>
          <w:rStyle w:val="FootnoteReference"/>
          <w:rFonts w:ascii="Times New Roman" w:hAnsi="Times New Roman" w:cs="Times New Roman"/>
          <w:sz w:val="24"/>
          <w:szCs w:val="24"/>
        </w:rPr>
        <w:footnoteRef/>
      </w:r>
      <w:r w:rsidRPr="00BE5AD6">
        <w:rPr>
          <w:rFonts w:ascii="Times New Roman" w:hAnsi="Times New Roman" w:cs="Times New Roman"/>
          <w:sz w:val="24"/>
          <w:szCs w:val="24"/>
        </w:rPr>
        <w:t xml:space="preserve"> </w:t>
      </w:r>
      <w:r w:rsidRPr="00BE5AD6">
        <w:rPr>
          <w:rFonts w:ascii="Times New Roman" w:hAnsi="Times New Roman" w:cs="Times New Roman"/>
          <w:i/>
          <w:iCs/>
          <w:sz w:val="24"/>
          <w:szCs w:val="24"/>
        </w:rPr>
        <w:t>Constitutional Rights Foundation,</w:t>
      </w:r>
      <w:r w:rsidRPr="00BE5AD6">
        <w:rPr>
          <w:rFonts w:ascii="Times New Roman" w:hAnsi="Times New Roman" w:cs="Times New Roman"/>
          <w:sz w:val="24"/>
          <w:szCs w:val="24"/>
        </w:rPr>
        <w:t xml:space="preserve"> Winter, 2004 (21:1) Online: https://www.crf-usa.org/bill-of-rights-in-action/bria-21-1-c-indian-removal-the-cherokees-jackson-and-the-trail-of-tears.html.</w:t>
      </w:r>
    </w:p>
  </w:footnote>
  <w:footnote w:id="41">
    <w:p w14:paraId="4BDFFD5A" w14:textId="77777777" w:rsidR="00B10FA3" w:rsidRPr="00BE5AD6" w:rsidRDefault="00B10FA3" w:rsidP="009674ED">
      <w:pPr>
        <w:pStyle w:val="FootnoteText"/>
        <w:rPr>
          <w:rFonts w:ascii="Times New Roman" w:hAnsi="Times New Roman" w:cs="Times New Roman"/>
          <w:sz w:val="24"/>
          <w:szCs w:val="24"/>
        </w:rPr>
      </w:pPr>
      <w:r w:rsidRPr="00BE5AD6">
        <w:rPr>
          <w:rStyle w:val="FootnoteReference"/>
          <w:rFonts w:ascii="Times New Roman" w:hAnsi="Times New Roman" w:cs="Times New Roman"/>
          <w:sz w:val="24"/>
          <w:szCs w:val="24"/>
        </w:rPr>
        <w:footnoteRef/>
      </w:r>
      <w:r w:rsidRPr="00BE5AD6">
        <w:rPr>
          <w:rFonts w:ascii="Times New Roman" w:hAnsi="Times New Roman" w:cs="Times New Roman"/>
          <w:sz w:val="24"/>
          <w:szCs w:val="24"/>
        </w:rPr>
        <w:t xml:space="preserve"> Hollinger, </w:t>
      </w:r>
      <w:r w:rsidRPr="00BE5AD6">
        <w:rPr>
          <w:rFonts w:ascii="Times New Roman" w:hAnsi="Times New Roman" w:cs="Times New Roman"/>
          <w:i/>
          <w:iCs/>
          <w:sz w:val="24"/>
          <w:szCs w:val="24"/>
        </w:rPr>
        <w:t>American Intellectual Tradition, p</w:t>
      </w:r>
      <w:r w:rsidRPr="00BE5AD6">
        <w:rPr>
          <w:rFonts w:ascii="Times New Roman" w:hAnsi="Times New Roman" w:cs="Times New Roman"/>
          <w:sz w:val="24"/>
          <w:szCs w:val="24"/>
        </w:rPr>
        <w:t>. 35.</w:t>
      </w:r>
    </w:p>
  </w:footnote>
  <w:footnote w:id="42">
    <w:p w14:paraId="6B074D2B" w14:textId="77777777" w:rsidR="00B10FA3" w:rsidRPr="00BE5AD6" w:rsidRDefault="00B10FA3" w:rsidP="009674ED">
      <w:pPr>
        <w:pStyle w:val="FootnoteText"/>
        <w:rPr>
          <w:rFonts w:ascii="Times New Roman" w:hAnsi="Times New Roman" w:cs="Times New Roman"/>
        </w:rPr>
      </w:pPr>
      <w:r w:rsidRPr="00BE5AD6">
        <w:rPr>
          <w:rStyle w:val="FootnoteReference"/>
          <w:rFonts w:ascii="Times New Roman" w:hAnsi="Times New Roman" w:cs="Times New Roman"/>
          <w:sz w:val="24"/>
          <w:szCs w:val="24"/>
        </w:rPr>
        <w:footnoteRef/>
      </w:r>
      <w:r w:rsidRPr="00BE5AD6">
        <w:rPr>
          <w:rFonts w:ascii="Times New Roman" w:hAnsi="Times New Roman" w:cs="Times New Roman"/>
          <w:sz w:val="24"/>
          <w:szCs w:val="24"/>
        </w:rPr>
        <w:t xml:space="preserve"> Ibid, 36-37.</w:t>
      </w:r>
    </w:p>
  </w:footnote>
  <w:footnote w:id="43">
    <w:p w14:paraId="122864E8" w14:textId="77777777" w:rsidR="00B10FA3" w:rsidRPr="00852603" w:rsidRDefault="00B10FA3" w:rsidP="00781266">
      <w:pPr>
        <w:pStyle w:val="FootnoteText"/>
        <w:rPr>
          <w:sz w:val="24"/>
          <w:szCs w:val="24"/>
        </w:rPr>
      </w:pPr>
      <w:r w:rsidRPr="00BE5AD6">
        <w:rPr>
          <w:rStyle w:val="FootnoteReference"/>
          <w:rFonts w:ascii="Times New Roman" w:hAnsi="Times New Roman" w:cs="Times New Roman"/>
          <w:sz w:val="24"/>
          <w:szCs w:val="24"/>
        </w:rPr>
        <w:footnoteRef/>
      </w:r>
      <w:r w:rsidRPr="00BE5AD6">
        <w:rPr>
          <w:rFonts w:ascii="Times New Roman" w:hAnsi="Times New Roman" w:cs="Times New Roman"/>
          <w:sz w:val="24"/>
          <w:szCs w:val="24"/>
        </w:rPr>
        <w:t xml:space="preserve"> Seymour Lipset,</w:t>
      </w:r>
      <w:r w:rsidRPr="00BE5AD6">
        <w:rPr>
          <w:rFonts w:ascii="Times New Roman" w:hAnsi="Times New Roman" w:cs="Times New Roman"/>
          <w:i/>
          <w:iCs/>
          <w:sz w:val="24"/>
          <w:szCs w:val="24"/>
        </w:rPr>
        <w:t xml:space="preserve"> The Politics of Unreason, </w:t>
      </w:r>
      <w:r w:rsidRPr="00BE5AD6">
        <w:rPr>
          <w:rFonts w:ascii="Times New Roman" w:hAnsi="Times New Roman" w:cs="Times New Roman"/>
          <w:sz w:val="24"/>
          <w:szCs w:val="24"/>
        </w:rPr>
        <w:t>Harper and Row, 1970, p. 36-37</w:t>
      </w:r>
      <w:r w:rsidRPr="00852603">
        <w:rPr>
          <w:sz w:val="24"/>
          <w:szCs w:val="24"/>
        </w:rPr>
        <w:t>.</w:t>
      </w:r>
    </w:p>
  </w:footnote>
  <w:footnote w:id="44">
    <w:p w14:paraId="32B3DC8B" w14:textId="35D295F9" w:rsidR="00B10FA3" w:rsidRPr="00BE5AD6" w:rsidRDefault="00B10FA3" w:rsidP="00781266">
      <w:pPr>
        <w:pStyle w:val="FootnoteText"/>
        <w:rPr>
          <w:rFonts w:ascii="Times New Roman" w:hAnsi="Times New Roman" w:cs="Times New Roman"/>
          <w:sz w:val="24"/>
          <w:szCs w:val="24"/>
        </w:rPr>
      </w:pPr>
      <w:r w:rsidRPr="00BE5AD6">
        <w:rPr>
          <w:rStyle w:val="FootnoteReference"/>
          <w:rFonts w:ascii="Times New Roman" w:hAnsi="Times New Roman" w:cs="Times New Roman"/>
          <w:sz w:val="24"/>
          <w:szCs w:val="24"/>
        </w:rPr>
        <w:footnoteRef/>
      </w:r>
      <w:r w:rsidR="6375CABF" w:rsidRPr="00BE5AD6">
        <w:rPr>
          <w:rFonts w:ascii="Times New Roman" w:hAnsi="Times New Roman" w:cs="Times New Roman"/>
          <w:sz w:val="24"/>
          <w:szCs w:val="24"/>
        </w:rPr>
        <w:t xml:space="preserve">  Ibid.</w:t>
      </w:r>
    </w:p>
  </w:footnote>
  <w:footnote w:id="45">
    <w:p w14:paraId="3920862E" w14:textId="77777777" w:rsidR="00B10FA3" w:rsidRPr="00BE5AD6" w:rsidRDefault="00B10FA3" w:rsidP="00781266">
      <w:pPr>
        <w:pStyle w:val="FootnoteText"/>
        <w:rPr>
          <w:rFonts w:ascii="Times New Roman" w:hAnsi="Times New Roman" w:cs="Times New Roman"/>
        </w:rPr>
      </w:pPr>
      <w:r w:rsidRPr="00BE5AD6">
        <w:rPr>
          <w:rStyle w:val="FootnoteReference"/>
          <w:rFonts w:ascii="Times New Roman" w:hAnsi="Times New Roman" w:cs="Times New Roman"/>
          <w:sz w:val="24"/>
          <w:szCs w:val="24"/>
        </w:rPr>
        <w:footnoteRef/>
      </w:r>
      <w:r w:rsidRPr="00BE5AD6">
        <w:rPr>
          <w:rFonts w:ascii="Times New Roman" w:hAnsi="Times New Roman" w:cs="Times New Roman"/>
          <w:sz w:val="24"/>
          <w:szCs w:val="24"/>
        </w:rPr>
        <w:t xml:space="preserve"> Ibid, 36-37.</w:t>
      </w:r>
    </w:p>
  </w:footnote>
  <w:footnote w:id="46">
    <w:p w14:paraId="2FC869B4" w14:textId="77777777" w:rsidR="00B10FA3" w:rsidRPr="00BE5AD6" w:rsidRDefault="00B10FA3">
      <w:pPr>
        <w:pStyle w:val="FootnoteText"/>
        <w:rPr>
          <w:rFonts w:ascii="Times New Roman" w:hAnsi="Times New Roman" w:cs="Times New Roman"/>
          <w:color w:val="FF0000"/>
          <w:lang w:val="en-US"/>
        </w:rPr>
      </w:pPr>
      <w:r w:rsidRPr="00BE5AD6">
        <w:rPr>
          <w:rStyle w:val="FootnoteReference"/>
          <w:rFonts w:ascii="Times New Roman" w:hAnsi="Times New Roman" w:cs="Times New Roman"/>
          <w:sz w:val="24"/>
          <w:szCs w:val="24"/>
        </w:rPr>
        <w:footnoteRef/>
      </w:r>
      <w:r w:rsidRPr="00BE5AD6">
        <w:rPr>
          <w:rFonts w:ascii="Times New Roman" w:hAnsi="Times New Roman" w:cs="Times New Roman"/>
          <w:sz w:val="24"/>
          <w:szCs w:val="24"/>
        </w:rPr>
        <w:t xml:space="preserve"> </w:t>
      </w:r>
      <w:r w:rsidRPr="00BE5AD6">
        <w:rPr>
          <w:rFonts w:ascii="Times New Roman" w:hAnsi="Times New Roman" w:cs="Times New Roman"/>
          <w:sz w:val="24"/>
          <w:szCs w:val="24"/>
          <w:lang w:val="en-US"/>
        </w:rPr>
        <w:t xml:space="preserve">Richard S. Levy, </w:t>
      </w:r>
      <w:r w:rsidRPr="00BE5AD6">
        <w:rPr>
          <w:rFonts w:ascii="Times New Roman" w:hAnsi="Times New Roman" w:cs="Times New Roman"/>
          <w:i/>
          <w:iCs/>
          <w:sz w:val="24"/>
          <w:szCs w:val="24"/>
          <w:lang w:val="en-US"/>
        </w:rPr>
        <w:t xml:space="preserve">A Brief History of Anti-Semitism, </w:t>
      </w:r>
      <w:r w:rsidRPr="00BE5AD6">
        <w:rPr>
          <w:rFonts w:ascii="Times New Roman" w:hAnsi="Times New Roman" w:cs="Times New Roman"/>
          <w:sz w:val="24"/>
          <w:szCs w:val="24"/>
          <w:lang w:val="en-US"/>
        </w:rPr>
        <w:t>Holt, 1987, p. 166-67</w:t>
      </w:r>
      <w:r w:rsidRPr="00BE5AD6">
        <w:rPr>
          <w:rFonts w:ascii="Times New Roman" w:hAnsi="Times New Roman" w:cs="Times New Roman"/>
          <w:lang w:val="en-US"/>
        </w:rPr>
        <w:t>.</w:t>
      </w:r>
      <w:r w:rsidRPr="00BE5AD6">
        <w:rPr>
          <w:rFonts w:ascii="Times New Roman" w:hAnsi="Times New Roman" w:cs="Times New Roman"/>
          <w:color w:val="FF0000"/>
          <w:lang w:val="en-US"/>
        </w:rPr>
        <w:t xml:space="preserve"> </w:t>
      </w:r>
    </w:p>
  </w:footnote>
  <w:footnote w:id="47">
    <w:p w14:paraId="368BF3CF" w14:textId="77777777" w:rsidR="00B10FA3" w:rsidRPr="00D47CAE" w:rsidRDefault="00B10FA3">
      <w:pPr>
        <w:pStyle w:val="FootnoteText"/>
        <w:rPr>
          <w:sz w:val="24"/>
          <w:szCs w:val="24"/>
          <w:lang w:val="en-US"/>
        </w:rPr>
      </w:pPr>
      <w:r w:rsidRPr="00BE5AD6">
        <w:rPr>
          <w:rStyle w:val="FootnoteReference"/>
          <w:rFonts w:ascii="Times New Roman" w:hAnsi="Times New Roman" w:cs="Times New Roman"/>
          <w:sz w:val="24"/>
          <w:szCs w:val="24"/>
        </w:rPr>
        <w:footnoteRef/>
      </w:r>
      <w:r w:rsidRPr="00BE5AD6">
        <w:rPr>
          <w:rFonts w:ascii="Times New Roman" w:hAnsi="Times New Roman" w:cs="Times New Roman"/>
          <w:sz w:val="24"/>
          <w:szCs w:val="24"/>
        </w:rPr>
        <w:t xml:space="preserve"> </w:t>
      </w:r>
      <w:r w:rsidRPr="00BE5AD6">
        <w:rPr>
          <w:rFonts w:ascii="Times New Roman" w:hAnsi="Times New Roman" w:cs="Times New Roman"/>
          <w:sz w:val="24"/>
          <w:szCs w:val="24"/>
          <w:lang w:val="en-US"/>
        </w:rPr>
        <w:t>Ibid.</w:t>
      </w:r>
    </w:p>
  </w:footnote>
  <w:footnote w:id="48">
    <w:p w14:paraId="321528BD" w14:textId="77777777" w:rsidR="00B10FA3" w:rsidRPr="00BE5AD6" w:rsidRDefault="00B10FA3">
      <w:pPr>
        <w:pStyle w:val="FootnoteText"/>
        <w:rPr>
          <w:rFonts w:ascii="Times New Roman" w:hAnsi="Times New Roman" w:cs="Times New Roman"/>
          <w:lang w:val="en-US"/>
        </w:rPr>
      </w:pPr>
      <w:r w:rsidRPr="00BE5AD6">
        <w:rPr>
          <w:rStyle w:val="FootnoteReference"/>
          <w:rFonts w:ascii="Times New Roman" w:hAnsi="Times New Roman" w:cs="Times New Roman"/>
          <w:sz w:val="24"/>
          <w:szCs w:val="24"/>
        </w:rPr>
        <w:footnoteRef/>
      </w:r>
      <w:r w:rsidRPr="00BE5AD6">
        <w:rPr>
          <w:rFonts w:ascii="Times New Roman" w:hAnsi="Times New Roman" w:cs="Times New Roman"/>
          <w:sz w:val="24"/>
          <w:szCs w:val="24"/>
        </w:rPr>
        <w:t xml:space="preserve"> </w:t>
      </w:r>
      <w:r w:rsidRPr="00BE5AD6">
        <w:rPr>
          <w:rFonts w:ascii="Times New Roman" w:hAnsi="Times New Roman" w:cs="Times New Roman"/>
          <w:sz w:val="24"/>
          <w:szCs w:val="24"/>
          <w:lang w:val="en-US"/>
        </w:rPr>
        <w:t>Ibid.</w:t>
      </w:r>
      <w:r w:rsidRPr="00BE5AD6">
        <w:rPr>
          <w:rFonts w:ascii="Times New Roman" w:hAnsi="Times New Roman" w:cs="Times New Roman"/>
          <w:lang w:val="en-US"/>
        </w:rPr>
        <w:t xml:space="preserve"> </w:t>
      </w:r>
    </w:p>
  </w:footnote>
  <w:footnote w:id="49">
    <w:p w14:paraId="70C89AA5" w14:textId="77777777" w:rsidR="00B10FA3" w:rsidRPr="00BE5AD6" w:rsidRDefault="00B10FA3">
      <w:pPr>
        <w:pStyle w:val="FootnoteText"/>
        <w:rPr>
          <w:rFonts w:ascii="Times New Roman" w:hAnsi="Times New Roman" w:cs="Times New Roman"/>
          <w:sz w:val="24"/>
          <w:szCs w:val="24"/>
        </w:rPr>
      </w:pPr>
      <w:r w:rsidRPr="00BE5AD6">
        <w:rPr>
          <w:rStyle w:val="FootnoteReference"/>
          <w:rFonts w:ascii="Times New Roman" w:hAnsi="Times New Roman" w:cs="Times New Roman"/>
          <w:color w:val="000000" w:themeColor="text1"/>
          <w:sz w:val="24"/>
          <w:szCs w:val="24"/>
        </w:rPr>
        <w:footnoteRef/>
      </w:r>
      <w:r w:rsidRPr="00BE5AD6">
        <w:rPr>
          <w:rFonts w:ascii="Times New Roman" w:hAnsi="Times New Roman" w:cs="Times New Roman"/>
          <w:color w:val="000000" w:themeColor="text1"/>
          <w:sz w:val="24"/>
          <w:szCs w:val="24"/>
        </w:rPr>
        <w:t xml:space="preserve"> </w:t>
      </w:r>
      <w:hyperlink r:id="rId6" w:history="1">
        <w:r w:rsidRPr="00BE5AD6">
          <w:rPr>
            <w:rStyle w:val="Hyperlink"/>
            <w:rFonts w:ascii="Times New Roman" w:hAnsi="Times New Roman" w:cs="Times New Roman"/>
            <w:color w:val="000000" w:themeColor="text1"/>
            <w:sz w:val="24"/>
            <w:szCs w:val="24"/>
          </w:rPr>
          <w:t>https://en.wikipedia.org/wiki/Manifest_destiny</w:t>
        </w:r>
      </w:hyperlink>
      <w:r w:rsidRPr="00BE5AD6">
        <w:rPr>
          <w:rFonts w:ascii="Times New Roman" w:hAnsi="Times New Roman" w:cs="Times New Roman"/>
          <w:sz w:val="24"/>
          <w:szCs w:val="24"/>
        </w:rPr>
        <w:t>, p.1</w:t>
      </w:r>
    </w:p>
  </w:footnote>
  <w:footnote w:id="50">
    <w:p w14:paraId="5AE1B0CA" w14:textId="39A8A1DA" w:rsidR="00B10FA3" w:rsidRPr="00852603" w:rsidRDefault="00B10FA3">
      <w:pPr>
        <w:pStyle w:val="FootnoteText"/>
        <w:rPr>
          <w:sz w:val="24"/>
          <w:szCs w:val="24"/>
        </w:rPr>
      </w:pPr>
      <w:r w:rsidRPr="00BE5AD6">
        <w:rPr>
          <w:rStyle w:val="FootnoteReference"/>
          <w:rFonts w:ascii="Times New Roman" w:hAnsi="Times New Roman" w:cs="Times New Roman"/>
          <w:sz w:val="24"/>
          <w:szCs w:val="24"/>
        </w:rPr>
        <w:footnoteRef/>
      </w:r>
      <w:r w:rsidRPr="00BE5AD6">
        <w:rPr>
          <w:rFonts w:ascii="Times New Roman" w:hAnsi="Times New Roman" w:cs="Times New Roman"/>
          <w:sz w:val="24"/>
          <w:szCs w:val="24"/>
        </w:rPr>
        <w:t xml:space="preserve"> Gore Vidal, </w:t>
      </w:r>
      <w:r w:rsidRPr="00BE5AD6">
        <w:rPr>
          <w:rFonts w:ascii="Times New Roman" w:hAnsi="Times New Roman" w:cs="Times New Roman"/>
          <w:i/>
          <w:iCs/>
          <w:sz w:val="24"/>
          <w:szCs w:val="24"/>
        </w:rPr>
        <w:t>Perpetual War for Perpetual Peace</w:t>
      </w:r>
      <w:r w:rsidRPr="00BE5AD6">
        <w:rPr>
          <w:rFonts w:ascii="Times New Roman" w:hAnsi="Times New Roman" w:cs="Times New Roman"/>
          <w:sz w:val="24"/>
          <w:szCs w:val="24"/>
        </w:rPr>
        <w:t>, Thunder’s Mouth/Nation, 1999, pgs</w:t>
      </w:r>
      <w:r w:rsidR="005A1F77">
        <w:rPr>
          <w:rFonts w:ascii="Times New Roman" w:hAnsi="Times New Roman" w:cs="Times New Roman"/>
          <w:sz w:val="24"/>
          <w:szCs w:val="24"/>
        </w:rPr>
        <w:t>.</w:t>
      </w:r>
      <w:r w:rsidRPr="00BE5AD6">
        <w:rPr>
          <w:rFonts w:ascii="Times New Roman" w:hAnsi="Times New Roman" w:cs="Times New Roman"/>
          <w:sz w:val="24"/>
          <w:szCs w:val="24"/>
        </w:rPr>
        <w:t xml:space="preserve"> 1-20.</w:t>
      </w:r>
    </w:p>
  </w:footnote>
  <w:footnote w:id="51">
    <w:p w14:paraId="1F48112C" w14:textId="77777777" w:rsidR="00B10FA3" w:rsidRPr="00BE5AD6" w:rsidRDefault="00B10FA3">
      <w:pPr>
        <w:pStyle w:val="FootnoteText"/>
        <w:rPr>
          <w:rFonts w:ascii="Times New Roman" w:hAnsi="Times New Roman" w:cs="Times New Roman"/>
          <w:i/>
          <w:iCs/>
          <w:sz w:val="24"/>
          <w:szCs w:val="24"/>
        </w:rPr>
      </w:pPr>
      <w:r w:rsidRPr="00BE5AD6">
        <w:rPr>
          <w:rStyle w:val="FootnoteReference"/>
          <w:rFonts w:ascii="Times New Roman" w:hAnsi="Times New Roman" w:cs="Times New Roman"/>
          <w:sz w:val="24"/>
          <w:szCs w:val="24"/>
        </w:rPr>
        <w:footnoteRef/>
      </w:r>
      <w:r w:rsidRPr="00BE5AD6">
        <w:rPr>
          <w:rFonts w:ascii="Times New Roman" w:hAnsi="Times New Roman" w:cs="Times New Roman"/>
          <w:sz w:val="24"/>
          <w:szCs w:val="24"/>
        </w:rPr>
        <w:t xml:space="preserve"> Walt Whitman, </w:t>
      </w:r>
      <w:r w:rsidRPr="00BE5AD6">
        <w:rPr>
          <w:rFonts w:ascii="Times New Roman" w:hAnsi="Times New Roman" w:cs="Times New Roman"/>
          <w:i/>
          <w:iCs/>
          <w:sz w:val="24"/>
          <w:szCs w:val="24"/>
        </w:rPr>
        <w:t>Pioneers! O Pioneers! https://en.wikipedia.org/wiki/Pioneers!_O_Pioneers!</w:t>
      </w:r>
    </w:p>
  </w:footnote>
  <w:footnote w:id="52">
    <w:p w14:paraId="2AC78C05" w14:textId="77777777" w:rsidR="00B10FA3" w:rsidRPr="00BE5AD6" w:rsidRDefault="00B10FA3">
      <w:pPr>
        <w:pStyle w:val="FootnoteText"/>
        <w:rPr>
          <w:rFonts w:ascii="Times New Roman" w:hAnsi="Times New Roman" w:cs="Times New Roman"/>
          <w:sz w:val="24"/>
          <w:szCs w:val="24"/>
        </w:rPr>
      </w:pPr>
      <w:r w:rsidRPr="00BE5AD6">
        <w:rPr>
          <w:rStyle w:val="FootnoteReference"/>
          <w:rFonts w:ascii="Times New Roman" w:hAnsi="Times New Roman" w:cs="Times New Roman"/>
          <w:sz w:val="24"/>
          <w:szCs w:val="24"/>
        </w:rPr>
        <w:footnoteRef/>
      </w:r>
      <w:r w:rsidRPr="00BE5AD6">
        <w:rPr>
          <w:rFonts w:ascii="Times New Roman" w:hAnsi="Times New Roman" w:cs="Times New Roman"/>
          <w:sz w:val="24"/>
          <w:szCs w:val="24"/>
        </w:rPr>
        <w:t xml:space="preserve"> https://www.walden.org/what-we-do/library/thoreau/</w:t>
      </w:r>
    </w:p>
  </w:footnote>
  <w:footnote w:id="53">
    <w:p w14:paraId="445356C9" w14:textId="77777777" w:rsidR="00B10FA3" w:rsidRPr="00BE5AD6" w:rsidRDefault="00B10FA3">
      <w:pPr>
        <w:pStyle w:val="FootnoteText"/>
        <w:rPr>
          <w:rFonts w:ascii="Times New Roman" w:hAnsi="Times New Roman" w:cs="Times New Roman"/>
        </w:rPr>
      </w:pPr>
      <w:r w:rsidRPr="00BE5AD6">
        <w:rPr>
          <w:rStyle w:val="FootnoteReference"/>
          <w:rFonts w:ascii="Times New Roman" w:hAnsi="Times New Roman" w:cs="Times New Roman"/>
          <w:sz w:val="24"/>
          <w:szCs w:val="24"/>
        </w:rPr>
        <w:footnoteRef/>
      </w:r>
      <w:r w:rsidRPr="00BE5AD6">
        <w:rPr>
          <w:rFonts w:ascii="Times New Roman" w:hAnsi="Times New Roman" w:cs="Times New Roman"/>
          <w:sz w:val="24"/>
          <w:szCs w:val="24"/>
        </w:rPr>
        <w:t xml:space="preserve"> </w:t>
      </w:r>
      <w:hyperlink r:id="rId7" w:history="1">
        <w:r w:rsidRPr="00BE5AD6">
          <w:rPr>
            <w:rStyle w:val="Hyperlink"/>
            <w:rFonts w:ascii="Times New Roman" w:hAnsi="Times New Roman" w:cs="Times New Roman"/>
            <w:color w:val="000000" w:themeColor="text1"/>
            <w:sz w:val="24"/>
            <w:szCs w:val="24"/>
          </w:rPr>
          <w:t>https://jfcoopersociety.org/articles/ALA/2006ala-permaul.html</w:t>
        </w:r>
      </w:hyperlink>
      <w:r w:rsidRPr="00BE5AD6">
        <w:rPr>
          <w:rFonts w:ascii="Times New Roman" w:hAnsi="Times New Roman" w:cs="Times New Roman"/>
          <w:color w:val="000000" w:themeColor="text1"/>
          <w:sz w:val="24"/>
          <w:szCs w:val="24"/>
        </w:rPr>
        <w:t>, p. 1.</w:t>
      </w:r>
    </w:p>
  </w:footnote>
  <w:footnote w:id="54">
    <w:p w14:paraId="4C3534FC" w14:textId="77777777" w:rsidR="00B10FA3" w:rsidRPr="00BE5AD6" w:rsidRDefault="00B10FA3" w:rsidP="003D7A05">
      <w:pPr>
        <w:spacing w:line="240" w:lineRule="auto"/>
        <w:rPr>
          <w:rFonts w:ascii="Times New Roman" w:eastAsia="Times New Roman" w:hAnsi="Times New Roman" w:cs="Times New Roman"/>
          <w:lang w:eastAsia="en-CA"/>
        </w:rPr>
      </w:pPr>
      <w:r w:rsidRPr="00BE5AD6">
        <w:rPr>
          <w:rStyle w:val="FootnoteReference"/>
          <w:rFonts w:ascii="Times New Roman" w:hAnsi="Times New Roman" w:cs="Times New Roman"/>
        </w:rPr>
        <w:footnoteRef/>
      </w:r>
      <w:r w:rsidRPr="00BE5AD6">
        <w:rPr>
          <w:rFonts w:ascii="Times New Roman" w:eastAsia="Times New Roman" w:hAnsi="Times New Roman" w:cs="Times New Roman"/>
          <w:lang w:eastAsia="en-CA"/>
        </w:rPr>
        <w:t xml:space="preserve"> Mahmood </w:t>
      </w:r>
      <w:proofErr w:type="spellStart"/>
      <w:r w:rsidRPr="00BE5AD6">
        <w:rPr>
          <w:rFonts w:ascii="Times New Roman" w:eastAsia="Times New Roman" w:hAnsi="Times New Roman" w:cs="Times New Roman"/>
          <w:lang w:eastAsia="en-CA"/>
        </w:rPr>
        <w:t>Mamdani</w:t>
      </w:r>
      <w:r w:rsidRPr="00BE5AD6">
        <w:rPr>
          <w:rFonts w:ascii="Times New Roman" w:eastAsia="Times New Roman" w:hAnsi="Times New Roman" w:cs="Times New Roman"/>
          <w:i/>
          <w:iCs/>
          <w:lang w:eastAsia="en-CA"/>
        </w:rPr>
        <w:t>,“</w:t>
      </w:r>
      <w:r w:rsidRPr="00BE5AD6">
        <w:rPr>
          <w:rFonts w:ascii="Times New Roman" w:eastAsia="Times New Roman" w:hAnsi="Times New Roman" w:cs="Times New Roman"/>
          <w:lang w:eastAsia="en-CA"/>
        </w:rPr>
        <w:t>Settler</w:t>
      </w:r>
      <w:proofErr w:type="spellEnd"/>
      <w:r w:rsidRPr="00BE5AD6">
        <w:rPr>
          <w:rFonts w:ascii="Times New Roman" w:eastAsia="Times New Roman" w:hAnsi="Times New Roman" w:cs="Times New Roman"/>
          <w:lang w:eastAsia="en-CA"/>
        </w:rPr>
        <w:t xml:space="preserve"> Colonialism: Then and Now</w:t>
      </w:r>
      <w:r w:rsidRPr="00BE5AD6">
        <w:rPr>
          <w:rFonts w:ascii="Times New Roman" w:eastAsia="Times New Roman" w:hAnsi="Times New Roman" w:cs="Times New Roman"/>
          <w:i/>
          <w:iCs/>
          <w:lang w:eastAsia="en-CA"/>
        </w:rPr>
        <w:t xml:space="preserve">,” Critical Inquiry, </w:t>
      </w:r>
      <w:r w:rsidRPr="00BE5AD6">
        <w:rPr>
          <w:rFonts w:ascii="Times New Roman" w:eastAsia="Times New Roman" w:hAnsi="Times New Roman" w:cs="Times New Roman"/>
          <w:lang w:eastAsia="en-CA"/>
        </w:rPr>
        <w:t>Vol. 41, No. 3 (Spring 2015), pp. 596-614 (19 pages)</w:t>
      </w:r>
    </w:p>
    <w:p w14:paraId="303E8AD4" w14:textId="77777777" w:rsidR="00B10FA3" w:rsidRDefault="00B10FA3">
      <w:pPr>
        <w:pStyle w:val="FootnoteText"/>
      </w:pPr>
    </w:p>
  </w:footnote>
  <w:footnote w:id="55">
    <w:p w14:paraId="6A60B457" w14:textId="77777777" w:rsidR="00B10FA3" w:rsidRPr="00BE5AD6" w:rsidRDefault="00B10FA3" w:rsidP="00E76967">
      <w:pPr>
        <w:rPr>
          <w:rFonts w:ascii="Times New Roman" w:eastAsia="Times New Roman" w:hAnsi="Times New Roman" w:cs="Times New Roman"/>
          <w:sz w:val="22"/>
          <w:szCs w:val="22"/>
          <w:lang w:eastAsia="en-CA"/>
        </w:rPr>
      </w:pPr>
      <w:r w:rsidRPr="00BE5AD6">
        <w:rPr>
          <w:rStyle w:val="FootnoteReference"/>
          <w:rFonts w:ascii="Times New Roman" w:hAnsi="Times New Roman" w:cs="Times New Roman"/>
          <w:color w:val="000000" w:themeColor="text1"/>
        </w:rPr>
        <w:footnoteRef/>
      </w:r>
      <w:r w:rsidRPr="00BE5AD6">
        <w:rPr>
          <w:rFonts w:ascii="Times New Roman" w:hAnsi="Times New Roman" w:cs="Times New Roman"/>
          <w:color w:val="000000" w:themeColor="text1"/>
        </w:rPr>
        <w:t xml:space="preserve"> </w:t>
      </w:r>
      <w:hyperlink r:id="rId8" w:history="1">
        <w:r w:rsidRPr="00BE5AD6">
          <w:rPr>
            <w:rStyle w:val="Hyperlink"/>
            <w:rFonts w:ascii="Times New Roman" w:hAnsi="Times New Roman" w:cs="Times New Roman"/>
            <w:color w:val="000000" w:themeColor="text1"/>
          </w:rPr>
          <w:t>https://www.cato.org/policy-analysis/space-force-ahead-its-time-or-dreadfully-premature</w:t>
        </w:r>
      </w:hyperlink>
      <w:r w:rsidRPr="00BE5AD6">
        <w:rPr>
          <w:rFonts w:ascii="Times New Roman" w:hAnsi="Times New Roman" w:cs="Times New Roman"/>
          <w:color w:val="000000" w:themeColor="text1"/>
        </w:rPr>
        <w:t xml:space="preserve">. </w:t>
      </w:r>
      <w:r w:rsidRPr="00BE5AD6">
        <w:rPr>
          <w:rFonts w:ascii="Times New Roman" w:hAnsi="Times New Roman" w:cs="Times New Roman"/>
        </w:rPr>
        <w:t xml:space="preserve">Robert Farley, </w:t>
      </w:r>
      <w:r w:rsidRPr="00BE5AD6">
        <w:rPr>
          <w:rFonts w:ascii="Times New Roman" w:eastAsia="Times New Roman" w:hAnsi="Times New Roman" w:cs="Times New Roman"/>
          <w:lang w:eastAsia="en-CA"/>
        </w:rPr>
        <w:t>December 1, 2020 • Policy Analysis No. 904, p. 1-6</w:t>
      </w:r>
      <w:r w:rsidRPr="00BE5AD6">
        <w:rPr>
          <w:rFonts w:ascii="Times New Roman" w:eastAsia="Times New Roman" w:hAnsi="Times New Roman" w:cs="Times New Roman"/>
          <w:sz w:val="20"/>
          <w:szCs w:val="20"/>
          <w:lang w:eastAsia="en-CA"/>
        </w:rPr>
        <w:t>.</w:t>
      </w:r>
      <w:r w:rsidRPr="00BE5AD6">
        <w:rPr>
          <w:rFonts w:ascii="Times New Roman" w:eastAsia="Times New Roman" w:hAnsi="Times New Roman" w:cs="Times New Roman"/>
          <w:sz w:val="22"/>
          <w:szCs w:val="22"/>
          <w:lang w:eastAsia="en-CA"/>
        </w:rPr>
        <w:t xml:space="preserve"> </w:t>
      </w:r>
    </w:p>
    <w:p w14:paraId="1AF358D5" w14:textId="77777777" w:rsidR="00B10FA3" w:rsidRDefault="00B10FA3">
      <w:pPr>
        <w:pStyle w:val="FootnoteText"/>
      </w:pPr>
    </w:p>
  </w:footnote>
  <w:footnote w:id="56">
    <w:p w14:paraId="04A39416" w14:textId="77777777" w:rsidR="00B10FA3" w:rsidRPr="00BE5AD6" w:rsidRDefault="00B10FA3">
      <w:pPr>
        <w:pStyle w:val="FootnoteText"/>
        <w:rPr>
          <w:rFonts w:ascii="Times New Roman" w:hAnsi="Times New Roman" w:cs="Times New Roman"/>
          <w:sz w:val="24"/>
          <w:szCs w:val="24"/>
        </w:rPr>
      </w:pPr>
      <w:r w:rsidRPr="00BE5AD6">
        <w:rPr>
          <w:rStyle w:val="FootnoteReference"/>
          <w:rFonts w:ascii="Times New Roman" w:hAnsi="Times New Roman" w:cs="Times New Roman"/>
          <w:color w:val="000000" w:themeColor="text1"/>
          <w:sz w:val="24"/>
          <w:szCs w:val="24"/>
        </w:rPr>
        <w:footnoteRef/>
      </w:r>
      <w:r w:rsidRPr="00BE5AD6">
        <w:rPr>
          <w:rFonts w:ascii="Times New Roman" w:hAnsi="Times New Roman" w:cs="Times New Roman"/>
          <w:color w:val="000000" w:themeColor="text1"/>
          <w:sz w:val="24"/>
          <w:szCs w:val="24"/>
        </w:rPr>
        <w:t xml:space="preserve"> </w:t>
      </w:r>
      <w:hyperlink r:id="rId9" w:history="1">
        <w:r w:rsidRPr="00BE5AD6">
          <w:rPr>
            <w:rStyle w:val="Hyperlink"/>
            <w:rFonts w:ascii="Times New Roman" w:hAnsi="Times New Roman" w:cs="Times New Roman"/>
            <w:color w:val="000000" w:themeColor="text1"/>
            <w:sz w:val="24"/>
            <w:szCs w:val="24"/>
          </w:rPr>
          <w:t>https://www.statista.com/statistics/249740/percentage-of-households-in-the-united-states-owning-a-firearm</w:t>
        </w:r>
      </w:hyperlink>
      <w:r w:rsidRPr="00BE5AD6">
        <w:rPr>
          <w:rFonts w:ascii="Times New Roman" w:hAnsi="Times New Roman" w:cs="Times New Roman"/>
          <w:sz w:val="24"/>
          <w:szCs w:val="24"/>
        </w:rPr>
        <w:t>. While gun ownership in the US has remained between 37% and 45% per household since 1972, a huge increase in gun purchases took place upon Barack Obama’s election to the Presidency.</w:t>
      </w:r>
    </w:p>
  </w:footnote>
  <w:footnote w:id="57">
    <w:p w14:paraId="1274C605" w14:textId="77777777" w:rsidR="00B10FA3" w:rsidRPr="00BE5AD6" w:rsidRDefault="00B10FA3">
      <w:pPr>
        <w:pStyle w:val="FootnoteText"/>
        <w:rPr>
          <w:rFonts w:ascii="Times New Roman" w:hAnsi="Times New Roman" w:cs="Times New Roman"/>
          <w:sz w:val="24"/>
          <w:szCs w:val="24"/>
        </w:rPr>
      </w:pPr>
      <w:r w:rsidRPr="00BE5AD6">
        <w:rPr>
          <w:rStyle w:val="FootnoteReference"/>
          <w:rFonts w:ascii="Times New Roman" w:hAnsi="Times New Roman" w:cs="Times New Roman"/>
          <w:sz w:val="24"/>
          <w:szCs w:val="24"/>
        </w:rPr>
        <w:footnoteRef/>
      </w:r>
      <w:r w:rsidRPr="00BE5AD6">
        <w:rPr>
          <w:rFonts w:ascii="Times New Roman" w:hAnsi="Times New Roman" w:cs="Times New Roman"/>
          <w:sz w:val="24"/>
          <w:szCs w:val="24"/>
        </w:rPr>
        <w:t xml:space="preserve"> </w:t>
      </w:r>
      <w:r w:rsidRPr="00BE5AD6">
        <w:rPr>
          <w:rFonts w:ascii="Times New Roman" w:hAnsi="Times New Roman" w:cs="Times New Roman"/>
          <w:i/>
          <w:iCs/>
          <w:sz w:val="24"/>
          <w:szCs w:val="24"/>
        </w:rPr>
        <w:t xml:space="preserve">The Nation. </w:t>
      </w:r>
      <w:r w:rsidRPr="00BE5AD6">
        <w:rPr>
          <w:rFonts w:ascii="Times New Roman" w:hAnsi="Times New Roman" w:cs="Times New Roman"/>
          <w:sz w:val="24"/>
          <w:szCs w:val="24"/>
        </w:rPr>
        <w:t>4/1/19, J. B. Purdy.</w:t>
      </w:r>
    </w:p>
  </w:footnote>
  <w:footnote w:id="58">
    <w:p w14:paraId="24DD5FDF" w14:textId="77777777" w:rsidR="00B10FA3" w:rsidRPr="00BE5AD6" w:rsidRDefault="00B10FA3">
      <w:pPr>
        <w:pStyle w:val="FootnoteText"/>
        <w:rPr>
          <w:rFonts w:ascii="Times New Roman" w:hAnsi="Times New Roman" w:cs="Times New Roman"/>
        </w:rPr>
      </w:pPr>
      <w:r w:rsidRPr="00BE5AD6">
        <w:rPr>
          <w:rStyle w:val="FootnoteReference"/>
          <w:rFonts w:ascii="Times New Roman" w:hAnsi="Times New Roman" w:cs="Times New Roman"/>
          <w:sz w:val="24"/>
          <w:szCs w:val="24"/>
        </w:rPr>
        <w:footnoteRef/>
      </w:r>
      <w:r w:rsidRPr="00BE5AD6">
        <w:rPr>
          <w:rFonts w:ascii="Times New Roman" w:hAnsi="Times New Roman" w:cs="Times New Roman"/>
          <w:sz w:val="24"/>
          <w:szCs w:val="24"/>
        </w:rPr>
        <w:t xml:space="preserve"> Ibid.</w:t>
      </w:r>
    </w:p>
  </w:footnote>
  <w:footnote w:id="59">
    <w:p w14:paraId="5BB3AE60" w14:textId="77777777" w:rsidR="00B10FA3" w:rsidRPr="0022587C" w:rsidRDefault="00B10FA3">
      <w:pPr>
        <w:pStyle w:val="FootnoteText"/>
      </w:pPr>
      <w:r w:rsidRPr="00BE5AD6">
        <w:rPr>
          <w:rStyle w:val="FootnoteReference"/>
          <w:rFonts w:ascii="Times New Roman" w:hAnsi="Times New Roman" w:cs="Times New Roman"/>
          <w:sz w:val="24"/>
          <w:szCs w:val="24"/>
        </w:rPr>
        <w:footnoteRef/>
      </w:r>
      <w:r w:rsidRPr="00BE5AD6">
        <w:rPr>
          <w:rFonts w:ascii="Times New Roman" w:hAnsi="Times New Roman" w:cs="Times New Roman"/>
          <w:sz w:val="24"/>
          <w:szCs w:val="24"/>
        </w:rPr>
        <w:t xml:space="preserve"> Ibid, 36-37.</w:t>
      </w:r>
    </w:p>
  </w:footnote>
  <w:footnote w:id="60">
    <w:p w14:paraId="173573D7" w14:textId="77777777" w:rsidR="00B10FA3" w:rsidRPr="00BE5AD6" w:rsidRDefault="00B10FA3">
      <w:pPr>
        <w:pStyle w:val="FootnoteText"/>
        <w:rPr>
          <w:rFonts w:ascii="Times New Roman" w:hAnsi="Times New Roman" w:cs="Times New Roman"/>
          <w:sz w:val="24"/>
          <w:szCs w:val="24"/>
        </w:rPr>
      </w:pPr>
      <w:r w:rsidRPr="00BE5AD6">
        <w:rPr>
          <w:rStyle w:val="FootnoteReference"/>
          <w:rFonts w:ascii="Times New Roman" w:hAnsi="Times New Roman" w:cs="Times New Roman"/>
          <w:sz w:val="24"/>
          <w:szCs w:val="24"/>
        </w:rPr>
        <w:footnoteRef/>
      </w:r>
      <w:r w:rsidRPr="00BE5AD6">
        <w:rPr>
          <w:rFonts w:ascii="Times New Roman" w:hAnsi="Times New Roman" w:cs="Times New Roman"/>
          <w:sz w:val="24"/>
          <w:szCs w:val="24"/>
        </w:rPr>
        <w:t xml:space="preserve"> Ibid, p. 39-40.</w:t>
      </w:r>
    </w:p>
  </w:footnote>
  <w:footnote w:id="61">
    <w:p w14:paraId="78A9C636" w14:textId="77777777" w:rsidR="00B10FA3" w:rsidRPr="00852603" w:rsidRDefault="00B10FA3">
      <w:pPr>
        <w:pStyle w:val="FootnoteText"/>
        <w:rPr>
          <w:sz w:val="24"/>
          <w:szCs w:val="24"/>
        </w:rPr>
      </w:pPr>
      <w:r w:rsidRPr="00BE5AD6">
        <w:rPr>
          <w:rStyle w:val="FootnoteReference"/>
          <w:rFonts w:ascii="Times New Roman" w:hAnsi="Times New Roman" w:cs="Times New Roman"/>
          <w:sz w:val="24"/>
          <w:szCs w:val="24"/>
        </w:rPr>
        <w:footnoteRef/>
      </w:r>
      <w:r w:rsidRPr="00BE5AD6">
        <w:rPr>
          <w:rFonts w:ascii="Times New Roman" w:hAnsi="Times New Roman" w:cs="Times New Roman"/>
          <w:sz w:val="24"/>
          <w:szCs w:val="24"/>
        </w:rPr>
        <w:t xml:space="preserve"> “Towards a Perfectionist Liberal Theology,” </w:t>
      </w:r>
      <w:r w:rsidRPr="00BE5AD6">
        <w:rPr>
          <w:rFonts w:ascii="Times New Roman" w:hAnsi="Times New Roman" w:cs="Times New Roman"/>
          <w:i/>
          <w:iCs/>
          <w:sz w:val="24"/>
          <w:szCs w:val="24"/>
        </w:rPr>
        <w:t>American Journal of Theology and Philosophy</w:t>
      </w:r>
      <w:r w:rsidRPr="00BE5AD6">
        <w:rPr>
          <w:rFonts w:ascii="Times New Roman" w:hAnsi="Times New Roman" w:cs="Times New Roman"/>
          <w:sz w:val="24"/>
          <w:szCs w:val="24"/>
        </w:rPr>
        <w:t>, 5/13, Vol. 34, Issue 2, 2013. University of Illinois Press.</w:t>
      </w:r>
    </w:p>
  </w:footnote>
  <w:footnote w:id="62">
    <w:p w14:paraId="2425EDEB" w14:textId="77777777" w:rsidR="00B10FA3" w:rsidRPr="0022587C" w:rsidRDefault="00B10FA3">
      <w:pPr>
        <w:pStyle w:val="FootnoteText"/>
      </w:pPr>
      <w:r w:rsidRPr="00852603">
        <w:rPr>
          <w:rStyle w:val="FootnoteReference"/>
          <w:sz w:val="24"/>
          <w:szCs w:val="24"/>
        </w:rPr>
        <w:footnoteRef/>
      </w:r>
      <w:r w:rsidRPr="00852603">
        <w:rPr>
          <w:sz w:val="24"/>
          <w:szCs w:val="24"/>
        </w:rPr>
        <w:t xml:space="preserve"> </w:t>
      </w:r>
      <w:r w:rsidRPr="00735D55">
        <w:rPr>
          <w:rFonts w:ascii="Times New Roman" w:hAnsi="Times New Roman" w:cs="Times New Roman"/>
          <w:sz w:val="24"/>
          <w:szCs w:val="24"/>
        </w:rPr>
        <w:t>Ibid, p. 3</w:t>
      </w:r>
      <w:r w:rsidRPr="00852603">
        <w:rPr>
          <w:sz w:val="24"/>
          <w:szCs w:val="24"/>
        </w:rPr>
        <w:t>.</w:t>
      </w:r>
    </w:p>
  </w:footnote>
  <w:footnote w:id="63">
    <w:p w14:paraId="5E252437" w14:textId="77777777" w:rsidR="00B10FA3" w:rsidRPr="00BE5AD6" w:rsidRDefault="00B10FA3">
      <w:pPr>
        <w:pStyle w:val="FootnoteText"/>
        <w:rPr>
          <w:rFonts w:ascii="Times New Roman" w:hAnsi="Times New Roman" w:cs="Times New Roman"/>
          <w:sz w:val="24"/>
          <w:szCs w:val="24"/>
        </w:rPr>
      </w:pPr>
      <w:r w:rsidRPr="00BE5AD6">
        <w:rPr>
          <w:rStyle w:val="FootnoteReference"/>
          <w:rFonts w:ascii="Times New Roman" w:hAnsi="Times New Roman" w:cs="Times New Roman"/>
          <w:sz w:val="24"/>
          <w:szCs w:val="24"/>
        </w:rPr>
        <w:footnoteRef/>
      </w:r>
      <w:r w:rsidRPr="00BE5AD6">
        <w:rPr>
          <w:rFonts w:ascii="Times New Roman" w:hAnsi="Times New Roman" w:cs="Times New Roman"/>
          <w:sz w:val="24"/>
          <w:szCs w:val="24"/>
        </w:rPr>
        <w:t xml:space="preserve"> Ibid, p. 5</w:t>
      </w:r>
    </w:p>
  </w:footnote>
  <w:footnote w:id="64">
    <w:p w14:paraId="51EB35A2" w14:textId="77777777" w:rsidR="00B10FA3" w:rsidRPr="00BE5AD6" w:rsidRDefault="00B10FA3">
      <w:pPr>
        <w:pStyle w:val="FootnoteText"/>
        <w:rPr>
          <w:rFonts w:ascii="Times New Roman" w:hAnsi="Times New Roman" w:cs="Times New Roman"/>
        </w:rPr>
      </w:pPr>
      <w:r w:rsidRPr="00BE5AD6">
        <w:rPr>
          <w:rStyle w:val="FootnoteReference"/>
          <w:rFonts w:ascii="Times New Roman" w:hAnsi="Times New Roman" w:cs="Times New Roman"/>
          <w:sz w:val="24"/>
          <w:szCs w:val="24"/>
        </w:rPr>
        <w:footnoteRef/>
      </w:r>
      <w:r w:rsidRPr="00BE5AD6">
        <w:rPr>
          <w:rFonts w:ascii="Times New Roman" w:hAnsi="Times New Roman" w:cs="Times New Roman"/>
          <w:sz w:val="24"/>
          <w:szCs w:val="24"/>
        </w:rPr>
        <w:t xml:space="preserve"> Naoko Saito, </w:t>
      </w:r>
      <w:r w:rsidRPr="00BE5AD6">
        <w:rPr>
          <w:rFonts w:ascii="Times New Roman" w:hAnsi="Times New Roman" w:cs="Times New Roman"/>
          <w:i/>
          <w:iCs/>
          <w:sz w:val="24"/>
          <w:szCs w:val="24"/>
        </w:rPr>
        <w:t xml:space="preserve">The Gleam of Light; Moral Perfectionism and Education in Dewey and Emerson, </w:t>
      </w:r>
      <w:r w:rsidRPr="00BE5AD6">
        <w:rPr>
          <w:rFonts w:ascii="Times New Roman" w:hAnsi="Times New Roman" w:cs="Times New Roman"/>
          <w:sz w:val="24"/>
          <w:szCs w:val="24"/>
        </w:rPr>
        <w:t>10/08, Vol. 58, Issue 4, University of Hawaii Press, p. 1-3.</w:t>
      </w:r>
    </w:p>
  </w:footnote>
  <w:footnote w:id="65">
    <w:p w14:paraId="47757805" w14:textId="77777777" w:rsidR="00B10FA3" w:rsidRPr="00852603" w:rsidRDefault="00B10FA3">
      <w:pPr>
        <w:pStyle w:val="FootnoteText"/>
        <w:rPr>
          <w:sz w:val="24"/>
          <w:szCs w:val="24"/>
        </w:rPr>
      </w:pPr>
      <w:r w:rsidRPr="00BE5AD6">
        <w:rPr>
          <w:rStyle w:val="FootnoteReference"/>
          <w:rFonts w:ascii="Times New Roman" w:hAnsi="Times New Roman" w:cs="Times New Roman"/>
          <w:sz w:val="24"/>
          <w:szCs w:val="24"/>
        </w:rPr>
        <w:footnoteRef/>
      </w:r>
      <w:r w:rsidRPr="00BE5AD6">
        <w:rPr>
          <w:rFonts w:ascii="Times New Roman" w:hAnsi="Times New Roman" w:cs="Times New Roman"/>
          <w:sz w:val="24"/>
          <w:szCs w:val="24"/>
        </w:rPr>
        <w:t xml:space="preserve"> Ibid, p. 4.</w:t>
      </w:r>
    </w:p>
  </w:footnote>
  <w:footnote w:id="66">
    <w:p w14:paraId="008A2E70" w14:textId="77777777" w:rsidR="00B10FA3" w:rsidRPr="00BE5AD6" w:rsidRDefault="00B10FA3">
      <w:pPr>
        <w:pStyle w:val="FootnoteText"/>
        <w:rPr>
          <w:rFonts w:ascii="Times New Roman" w:hAnsi="Times New Roman" w:cs="Times New Roman"/>
          <w:sz w:val="24"/>
          <w:szCs w:val="24"/>
        </w:rPr>
      </w:pPr>
      <w:r w:rsidRPr="00BE5AD6">
        <w:rPr>
          <w:rStyle w:val="FootnoteReference"/>
          <w:rFonts w:ascii="Times New Roman" w:hAnsi="Times New Roman" w:cs="Times New Roman"/>
          <w:sz w:val="24"/>
          <w:szCs w:val="24"/>
        </w:rPr>
        <w:footnoteRef/>
      </w:r>
      <w:r w:rsidRPr="00BE5AD6">
        <w:rPr>
          <w:rFonts w:ascii="Times New Roman" w:hAnsi="Times New Roman" w:cs="Times New Roman"/>
          <w:sz w:val="24"/>
          <w:szCs w:val="24"/>
        </w:rPr>
        <w:t xml:space="preserve"> Ibid, p. 6.</w:t>
      </w:r>
    </w:p>
  </w:footnote>
  <w:footnote w:id="67">
    <w:p w14:paraId="50243143" w14:textId="77777777" w:rsidR="00B10FA3" w:rsidRPr="0022587C" w:rsidRDefault="00B10FA3">
      <w:pPr>
        <w:pStyle w:val="FootnoteText"/>
      </w:pPr>
      <w:r w:rsidRPr="00BE5AD6">
        <w:rPr>
          <w:rStyle w:val="FootnoteReference"/>
          <w:rFonts w:ascii="Times New Roman" w:hAnsi="Times New Roman" w:cs="Times New Roman"/>
          <w:sz w:val="24"/>
          <w:szCs w:val="24"/>
        </w:rPr>
        <w:footnoteRef/>
      </w:r>
      <w:r w:rsidRPr="00BE5AD6">
        <w:rPr>
          <w:rFonts w:ascii="Times New Roman" w:hAnsi="Times New Roman" w:cs="Times New Roman"/>
          <w:sz w:val="24"/>
          <w:szCs w:val="24"/>
        </w:rPr>
        <w:t xml:space="preserve"> Douglas M. Strong, </w:t>
      </w:r>
      <w:r w:rsidRPr="00BE5AD6">
        <w:rPr>
          <w:rFonts w:ascii="Times New Roman" w:hAnsi="Times New Roman" w:cs="Times New Roman"/>
          <w:i/>
          <w:iCs/>
          <w:sz w:val="24"/>
          <w:szCs w:val="24"/>
        </w:rPr>
        <w:t>Perfectionist Politics: Abolitionism and the Religious Tensions of American Democracy</w:t>
      </w:r>
      <w:r w:rsidRPr="00BE5AD6">
        <w:rPr>
          <w:rFonts w:ascii="Times New Roman" w:hAnsi="Times New Roman" w:cs="Times New Roman"/>
          <w:sz w:val="24"/>
          <w:szCs w:val="24"/>
        </w:rPr>
        <w:t>, Syracuse, NY.: Syracuse University, 1999. Review, Peter Huff, p. 1-2</w:t>
      </w:r>
    </w:p>
  </w:footnote>
  <w:footnote w:id="68">
    <w:p w14:paraId="1782C87C" w14:textId="77777777" w:rsidR="00B10FA3" w:rsidRPr="00852603" w:rsidRDefault="00B10FA3" w:rsidP="001B0392">
      <w:pPr>
        <w:pStyle w:val="FootnoteText"/>
        <w:rPr>
          <w:sz w:val="24"/>
          <w:szCs w:val="24"/>
        </w:rPr>
      </w:pPr>
      <w:r w:rsidRPr="00BE5AD6">
        <w:rPr>
          <w:rStyle w:val="FootnoteReference"/>
          <w:rFonts w:ascii="Times New Roman" w:hAnsi="Times New Roman" w:cs="Times New Roman"/>
          <w:sz w:val="24"/>
          <w:szCs w:val="24"/>
        </w:rPr>
        <w:footnoteRef/>
      </w:r>
      <w:r w:rsidRPr="00BE5AD6">
        <w:rPr>
          <w:rFonts w:ascii="Times New Roman" w:hAnsi="Times New Roman" w:cs="Times New Roman"/>
          <w:sz w:val="24"/>
          <w:szCs w:val="24"/>
        </w:rPr>
        <w:t xml:space="preserve"> John Humphrey Noyes, </w:t>
      </w:r>
      <w:r w:rsidRPr="00BE5AD6">
        <w:rPr>
          <w:rFonts w:ascii="Times New Roman" w:hAnsi="Times New Roman" w:cs="Times New Roman"/>
          <w:i/>
          <w:iCs/>
          <w:sz w:val="24"/>
          <w:szCs w:val="24"/>
        </w:rPr>
        <w:t>Male Continence</w:t>
      </w:r>
      <w:r w:rsidRPr="00BE5AD6">
        <w:rPr>
          <w:rFonts w:ascii="Times New Roman" w:hAnsi="Times New Roman" w:cs="Times New Roman"/>
          <w:sz w:val="24"/>
          <w:szCs w:val="24"/>
        </w:rPr>
        <w:t>, 1848. The Shakers were another 19</w:t>
      </w:r>
      <w:r w:rsidRPr="00BE5AD6">
        <w:rPr>
          <w:rFonts w:ascii="Times New Roman" w:hAnsi="Times New Roman" w:cs="Times New Roman"/>
          <w:sz w:val="24"/>
          <w:szCs w:val="24"/>
          <w:vertAlign w:val="superscript"/>
        </w:rPr>
        <w:t>th</w:t>
      </w:r>
      <w:r w:rsidRPr="00BE5AD6">
        <w:rPr>
          <w:rFonts w:ascii="Times New Roman" w:hAnsi="Times New Roman" w:cs="Times New Roman"/>
          <w:sz w:val="24"/>
          <w:szCs w:val="24"/>
        </w:rPr>
        <w:t xml:space="preserve"> century sect that strived towards perfectionism. Seeing sex as a temptation to evil, they practiced a form of sublimation, by vigorously dancing in large groups, thus ridding themselves of unhealthy energies</w:t>
      </w:r>
      <w:r w:rsidRPr="00852603">
        <w:rPr>
          <w:sz w:val="24"/>
          <w:szCs w:val="24"/>
        </w:rPr>
        <w:t>.</w:t>
      </w:r>
    </w:p>
  </w:footnote>
  <w:footnote w:id="69">
    <w:p w14:paraId="0F5206A1" w14:textId="77777777" w:rsidR="00B10FA3" w:rsidRPr="00BE5AD6" w:rsidRDefault="00B10FA3">
      <w:pPr>
        <w:pStyle w:val="FootnoteText"/>
        <w:rPr>
          <w:rFonts w:ascii="Times New Roman" w:hAnsi="Times New Roman" w:cs="Times New Roman"/>
          <w:i/>
          <w:iCs/>
          <w:sz w:val="24"/>
          <w:szCs w:val="24"/>
        </w:rPr>
      </w:pPr>
      <w:r w:rsidRPr="00BE5AD6">
        <w:rPr>
          <w:rStyle w:val="FootnoteReference"/>
          <w:rFonts w:ascii="Times New Roman" w:hAnsi="Times New Roman" w:cs="Times New Roman"/>
          <w:sz w:val="24"/>
          <w:szCs w:val="24"/>
        </w:rPr>
        <w:footnoteRef/>
      </w:r>
      <w:r w:rsidRPr="00BE5AD6">
        <w:rPr>
          <w:rFonts w:ascii="Times New Roman" w:hAnsi="Times New Roman" w:cs="Times New Roman"/>
          <w:sz w:val="24"/>
          <w:szCs w:val="24"/>
        </w:rPr>
        <w:t xml:space="preserve"> Winthrop D Jordan, </w:t>
      </w:r>
      <w:r w:rsidRPr="00BE5AD6">
        <w:rPr>
          <w:rFonts w:ascii="Times New Roman" w:hAnsi="Times New Roman" w:cs="Times New Roman"/>
          <w:i/>
          <w:iCs/>
          <w:sz w:val="24"/>
          <w:szCs w:val="24"/>
        </w:rPr>
        <w:t>White Over Black: American Attitudes Towards the Negro 1550-1812</w:t>
      </w:r>
      <w:r w:rsidRPr="00BE5AD6">
        <w:rPr>
          <w:rFonts w:ascii="Times New Roman" w:hAnsi="Times New Roman" w:cs="Times New Roman"/>
          <w:i/>
          <w:iCs/>
        </w:rPr>
        <w:t>.</w:t>
      </w:r>
    </w:p>
  </w:footnote>
  <w:footnote w:id="70">
    <w:p w14:paraId="58D51033" w14:textId="77777777" w:rsidR="00B10FA3" w:rsidRPr="00852603" w:rsidRDefault="00B10FA3">
      <w:pPr>
        <w:pStyle w:val="FootnoteText"/>
        <w:rPr>
          <w:sz w:val="24"/>
          <w:szCs w:val="24"/>
        </w:rPr>
      </w:pPr>
      <w:r w:rsidRPr="00BE5AD6">
        <w:rPr>
          <w:rStyle w:val="FootnoteReference"/>
          <w:rFonts w:ascii="Times New Roman" w:hAnsi="Times New Roman" w:cs="Times New Roman"/>
          <w:sz w:val="24"/>
          <w:szCs w:val="24"/>
        </w:rPr>
        <w:footnoteRef/>
      </w:r>
      <w:r w:rsidRPr="00BE5AD6">
        <w:rPr>
          <w:rFonts w:ascii="Times New Roman" w:hAnsi="Times New Roman" w:cs="Times New Roman"/>
          <w:sz w:val="24"/>
          <w:szCs w:val="24"/>
        </w:rPr>
        <w:t xml:space="preserve"> Ibid.</w:t>
      </w:r>
    </w:p>
  </w:footnote>
  <w:footnote w:id="71">
    <w:p w14:paraId="00DB59D6" w14:textId="77777777" w:rsidR="00B10FA3" w:rsidRPr="00BE5AD6" w:rsidRDefault="00B10FA3">
      <w:pPr>
        <w:pStyle w:val="FootnoteText"/>
        <w:rPr>
          <w:rFonts w:ascii="Times New Roman" w:hAnsi="Times New Roman" w:cs="Times New Roman"/>
        </w:rPr>
      </w:pPr>
      <w:r w:rsidRPr="00BE5AD6">
        <w:rPr>
          <w:rStyle w:val="FootnoteReference"/>
          <w:rFonts w:ascii="Times New Roman" w:hAnsi="Times New Roman" w:cs="Times New Roman"/>
          <w:sz w:val="24"/>
          <w:szCs w:val="24"/>
        </w:rPr>
        <w:footnoteRef/>
      </w:r>
      <w:r w:rsidRPr="00BE5AD6">
        <w:rPr>
          <w:rFonts w:ascii="Times New Roman" w:hAnsi="Times New Roman" w:cs="Times New Roman"/>
          <w:sz w:val="24"/>
          <w:szCs w:val="24"/>
        </w:rPr>
        <w:t xml:space="preserve"> Ibid.</w:t>
      </w:r>
    </w:p>
  </w:footnote>
  <w:footnote w:id="72">
    <w:p w14:paraId="7A120A08" w14:textId="77777777" w:rsidR="00B10FA3" w:rsidRPr="00852603" w:rsidRDefault="00B10FA3">
      <w:pPr>
        <w:pStyle w:val="FootnoteText"/>
        <w:rPr>
          <w:sz w:val="24"/>
          <w:szCs w:val="24"/>
        </w:rPr>
      </w:pPr>
      <w:r w:rsidRPr="00BE5AD6">
        <w:rPr>
          <w:rStyle w:val="FootnoteReference"/>
          <w:rFonts w:ascii="Times New Roman" w:hAnsi="Times New Roman" w:cs="Times New Roman"/>
          <w:sz w:val="24"/>
          <w:szCs w:val="24"/>
        </w:rPr>
        <w:footnoteRef/>
      </w:r>
      <w:r w:rsidRPr="00BE5AD6">
        <w:rPr>
          <w:rFonts w:ascii="Times New Roman" w:hAnsi="Times New Roman" w:cs="Times New Roman"/>
          <w:sz w:val="24"/>
          <w:szCs w:val="24"/>
        </w:rPr>
        <w:t xml:space="preserve"> D. Hollinger, </w:t>
      </w:r>
      <w:r w:rsidRPr="00BE5AD6">
        <w:rPr>
          <w:rFonts w:ascii="Times New Roman" w:hAnsi="Times New Roman" w:cs="Times New Roman"/>
          <w:i/>
          <w:iCs/>
          <w:sz w:val="24"/>
          <w:szCs w:val="24"/>
        </w:rPr>
        <w:t>The American Intellectual Tradition, Vol 1,</w:t>
      </w:r>
      <w:r w:rsidRPr="00BE5AD6">
        <w:rPr>
          <w:rFonts w:ascii="Times New Roman" w:hAnsi="Times New Roman" w:cs="Times New Roman"/>
          <w:sz w:val="24"/>
          <w:szCs w:val="24"/>
        </w:rPr>
        <w:t xml:space="preserve"> p. 341.</w:t>
      </w:r>
    </w:p>
  </w:footnote>
  <w:footnote w:id="73">
    <w:p w14:paraId="2117C3F4" w14:textId="77777777" w:rsidR="00B10FA3" w:rsidRPr="00BE5AD6" w:rsidRDefault="00B10FA3">
      <w:pPr>
        <w:pStyle w:val="FootnoteText"/>
        <w:rPr>
          <w:rFonts w:ascii="Times New Roman" w:hAnsi="Times New Roman" w:cs="Times New Roman"/>
          <w:sz w:val="24"/>
          <w:szCs w:val="24"/>
        </w:rPr>
      </w:pPr>
      <w:r w:rsidRPr="00BE5AD6">
        <w:rPr>
          <w:rStyle w:val="FootnoteReference"/>
          <w:rFonts w:ascii="Times New Roman" w:hAnsi="Times New Roman" w:cs="Times New Roman"/>
          <w:sz w:val="24"/>
          <w:szCs w:val="24"/>
        </w:rPr>
        <w:footnoteRef/>
      </w:r>
      <w:r w:rsidRPr="00BE5AD6">
        <w:rPr>
          <w:rFonts w:ascii="Times New Roman" w:hAnsi="Times New Roman" w:cs="Times New Roman"/>
          <w:sz w:val="24"/>
          <w:szCs w:val="24"/>
        </w:rPr>
        <w:t xml:space="preserve"> Ibid, p. 346.</w:t>
      </w:r>
    </w:p>
  </w:footnote>
  <w:footnote w:id="74">
    <w:p w14:paraId="27C52E00" w14:textId="77777777" w:rsidR="00B10FA3" w:rsidRPr="002339AB" w:rsidRDefault="00B10FA3">
      <w:pPr>
        <w:pStyle w:val="FootnoteText"/>
        <w:rPr>
          <w:sz w:val="24"/>
          <w:szCs w:val="24"/>
        </w:rPr>
      </w:pPr>
      <w:r w:rsidRPr="00BE5AD6">
        <w:rPr>
          <w:rStyle w:val="FootnoteReference"/>
          <w:rFonts w:ascii="Times New Roman" w:hAnsi="Times New Roman" w:cs="Times New Roman"/>
          <w:sz w:val="24"/>
          <w:szCs w:val="24"/>
        </w:rPr>
        <w:footnoteRef/>
      </w:r>
      <w:r w:rsidRPr="00BE5AD6">
        <w:rPr>
          <w:rFonts w:ascii="Times New Roman" w:hAnsi="Times New Roman" w:cs="Times New Roman"/>
          <w:sz w:val="24"/>
          <w:szCs w:val="24"/>
        </w:rPr>
        <w:t xml:space="preserve"> Gabriell Ballot, “The Famous Buckley-Baldwin Debate,” </w:t>
      </w:r>
      <w:r w:rsidRPr="00BE5AD6">
        <w:rPr>
          <w:rFonts w:ascii="Times New Roman" w:hAnsi="Times New Roman" w:cs="Times New Roman"/>
          <w:i/>
          <w:iCs/>
          <w:sz w:val="24"/>
          <w:szCs w:val="24"/>
        </w:rPr>
        <w:t>The Atlantic</w:t>
      </w:r>
      <w:r w:rsidRPr="00BE5AD6">
        <w:rPr>
          <w:rFonts w:ascii="Times New Roman" w:hAnsi="Times New Roman" w:cs="Times New Roman"/>
          <w:sz w:val="24"/>
          <w:szCs w:val="24"/>
        </w:rPr>
        <w:t>, 2015.</w:t>
      </w:r>
    </w:p>
  </w:footnote>
  <w:footnote w:id="75">
    <w:p w14:paraId="52827EFB" w14:textId="77777777" w:rsidR="00B10FA3" w:rsidRPr="00D31F7C" w:rsidRDefault="00B10FA3">
      <w:pPr>
        <w:pStyle w:val="FootnoteText"/>
        <w:rPr>
          <w:rFonts w:ascii="Times New Roman" w:hAnsi="Times New Roman" w:cs="Times New Roman"/>
          <w:i/>
          <w:iCs/>
          <w:sz w:val="24"/>
          <w:szCs w:val="24"/>
        </w:rPr>
      </w:pPr>
      <w:r w:rsidRPr="00D31F7C">
        <w:rPr>
          <w:rStyle w:val="FootnoteReference"/>
          <w:rFonts w:ascii="Times New Roman" w:hAnsi="Times New Roman" w:cs="Times New Roman"/>
          <w:sz w:val="24"/>
          <w:szCs w:val="24"/>
        </w:rPr>
        <w:footnoteRef/>
      </w:r>
      <w:r w:rsidRPr="00D31F7C">
        <w:rPr>
          <w:rFonts w:ascii="Times New Roman" w:hAnsi="Times New Roman" w:cs="Times New Roman"/>
          <w:sz w:val="24"/>
          <w:szCs w:val="24"/>
        </w:rPr>
        <w:t xml:space="preserve"> </w:t>
      </w:r>
      <w:proofErr w:type="spellStart"/>
      <w:r w:rsidRPr="00D31F7C">
        <w:rPr>
          <w:rFonts w:ascii="Times New Roman" w:hAnsi="Times New Roman" w:cs="Times New Roman"/>
          <w:sz w:val="24"/>
          <w:szCs w:val="24"/>
        </w:rPr>
        <w:t>Lipset</w:t>
      </w:r>
      <w:proofErr w:type="spellEnd"/>
      <w:r w:rsidRPr="00D31F7C">
        <w:rPr>
          <w:rFonts w:ascii="Times New Roman" w:hAnsi="Times New Roman" w:cs="Times New Roman"/>
          <w:sz w:val="24"/>
          <w:szCs w:val="24"/>
        </w:rPr>
        <w:t xml:space="preserve">, </w:t>
      </w:r>
      <w:r w:rsidRPr="00D31F7C">
        <w:rPr>
          <w:rFonts w:ascii="Times New Roman" w:hAnsi="Times New Roman" w:cs="Times New Roman"/>
          <w:i/>
          <w:iCs/>
          <w:sz w:val="24"/>
          <w:szCs w:val="24"/>
        </w:rPr>
        <w:t xml:space="preserve">The Politics of Unreason, </w:t>
      </w:r>
      <w:r w:rsidRPr="00D31F7C">
        <w:rPr>
          <w:rFonts w:ascii="Times New Roman" w:hAnsi="Times New Roman" w:cs="Times New Roman"/>
          <w:sz w:val="24"/>
          <w:szCs w:val="24"/>
        </w:rPr>
        <w:t>p. 6-7.</w:t>
      </w:r>
    </w:p>
  </w:footnote>
  <w:footnote w:id="76">
    <w:p w14:paraId="734E39DF" w14:textId="77777777" w:rsidR="00B10FA3" w:rsidRPr="00D31F7C" w:rsidRDefault="00B10FA3">
      <w:pPr>
        <w:pStyle w:val="FootnoteText"/>
        <w:rPr>
          <w:rFonts w:ascii="Times New Roman" w:hAnsi="Times New Roman" w:cs="Times New Roman"/>
          <w:sz w:val="24"/>
          <w:szCs w:val="24"/>
        </w:rPr>
      </w:pPr>
      <w:r w:rsidRPr="00D31F7C">
        <w:rPr>
          <w:rStyle w:val="FootnoteReference"/>
          <w:rFonts w:ascii="Times New Roman" w:hAnsi="Times New Roman" w:cs="Times New Roman"/>
          <w:sz w:val="24"/>
          <w:szCs w:val="24"/>
        </w:rPr>
        <w:footnoteRef/>
      </w:r>
      <w:r w:rsidRPr="00D31F7C">
        <w:rPr>
          <w:rFonts w:ascii="Times New Roman" w:hAnsi="Times New Roman" w:cs="Times New Roman"/>
          <w:sz w:val="24"/>
          <w:szCs w:val="24"/>
        </w:rPr>
        <w:t xml:space="preserve"> See ‘</w:t>
      </w:r>
      <w:r w:rsidRPr="00D31F7C">
        <w:rPr>
          <w:rFonts w:ascii="Times New Roman" w:hAnsi="Times New Roman" w:cs="Times New Roman"/>
          <w:i/>
          <w:iCs/>
          <w:sz w:val="24"/>
          <w:szCs w:val="24"/>
        </w:rPr>
        <w:t>Fantasyland</w:t>
      </w:r>
      <w:r w:rsidRPr="00D31F7C">
        <w:rPr>
          <w:rFonts w:ascii="Times New Roman" w:hAnsi="Times New Roman" w:cs="Times New Roman"/>
          <w:sz w:val="24"/>
          <w:szCs w:val="24"/>
        </w:rPr>
        <w:t>,” by Kurt Andersen for a comprehensive explication of American cultural, religious and normative trends since the 17</w:t>
      </w:r>
      <w:r w:rsidRPr="00D31F7C">
        <w:rPr>
          <w:rFonts w:ascii="Times New Roman" w:hAnsi="Times New Roman" w:cs="Times New Roman"/>
          <w:sz w:val="24"/>
          <w:szCs w:val="24"/>
          <w:vertAlign w:val="superscript"/>
        </w:rPr>
        <w:t>th</w:t>
      </w:r>
      <w:r w:rsidRPr="00D31F7C">
        <w:rPr>
          <w:rFonts w:ascii="Times New Roman" w:hAnsi="Times New Roman" w:cs="Times New Roman"/>
          <w:sz w:val="24"/>
          <w:szCs w:val="24"/>
        </w:rPr>
        <w:t xml:space="preserve"> century, leading to processes of fantastical thinking and imagining as both stimulating and deluding the ability of the American body politic to function in the modern world.</w:t>
      </w:r>
    </w:p>
  </w:footnote>
  <w:footnote w:id="77">
    <w:p w14:paraId="1B0F2649" w14:textId="77777777" w:rsidR="00B10FA3" w:rsidRPr="00852603" w:rsidRDefault="00B10FA3">
      <w:pPr>
        <w:pStyle w:val="FootnoteText"/>
        <w:rPr>
          <w:sz w:val="24"/>
          <w:szCs w:val="24"/>
        </w:rPr>
      </w:pPr>
      <w:r w:rsidRPr="00D31F7C">
        <w:rPr>
          <w:rStyle w:val="FootnoteReference"/>
          <w:rFonts w:ascii="Times New Roman" w:hAnsi="Times New Roman" w:cs="Times New Roman"/>
          <w:sz w:val="24"/>
          <w:szCs w:val="24"/>
        </w:rPr>
        <w:footnoteRef/>
      </w:r>
      <w:r w:rsidRPr="00D31F7C">
        <w:rPr>
          <w:rFonts w:ascii="Times New Roman" w:hAnsi="Times New Roman" w:cs="Times New Roman"/>
          <w:sz w:val="24"/>
          <w:szCs w:val="24"/>
        </w:rPr>
        <w:t xml:space="preserve"> Clay Wirestone, 12/14/21, </w:t>
      </w:r>
      <w:r w:rsidRPr="00D31F7C">
        <w:rPr>
          <w:rFonts w:ascii="Times New Roman" w:hAnsi="Times New Roman" w:cs="Times New Roman"/>
          <w:i/>
          <w:iCs/>
          <w:sz w:val="24"/>
          <w:szCs w:val="24"/>
        </w:rPr>
        <w:t xml:space="preserve">Lee Norman’s Example Shows How Wishful Thinking Hampered the Covid-19 Response from the Start, </w:t>
      </w:r>
      <w:r w:rsidRPr="00D31F7C">
        <w:rPr>
          <w:rFonts w:ascii="Times New Roman" w:hAnsi="Times New Roman" w:cs="Times New Roman"/>
          <w:sz w:val="24"/>
          <w:szCs w:val="24"/>
        </w:rPr>
        <w:t>https://kansasreflector.com/2021/12/14/lee-normans-example-shows-how-wishful-thinking-hampered-covid-19-response-from-the-start.</w:t>
      </w:r>
    </w:p>
  </w:footnote>
  <w:footnote w:id="78">
    <w:p w14:paraId="2F3C852E" w14:textId="77777777" w:rsidR="00B10FA3" w:rsidRPr="00D31F7C" w:rsidRDefault="00B10FA3">
      <w:pPr>
        <w:pStyle w:val="FootnoteText"/>
        <w:rPr>
          <w:rFonts w:ascii="Times New Roman" w:hAnsi="Times New Roman" w:cs="Times New Roman"/>
          <w:sz w:val="24"/>
          <w:szCs w:val="24"/>
        </w:rPr>
      </w:pPr>
      <w:r w:rsidRPr="00D31F7C">
        <w:rPr>
          <w:rStyle w:val="FootnoteReference"/>
          <w:rFonts w:ascii="Times New Roman" w:hAnsi="Times New Roman" w:cs="Times New Roman"/>
          <w:sz w:val="24"/>
          <w:szCs w:val="24"/>
        </w:rPr>
        <w:footnoteRef/>
      </w:r>
      <w:r w:rsidRPr="00D31F7C">
        <w:rPr>
          <w:rFonts w:ascii="Times New Roman" w:hAnsi="Times New Roman" w:cs="Times New Roman"/>
          <w:sz w:val="24"/>
          <w:szCs w:val="24"/>
        </w:rPr>
        <w:t xml:space="preserve"> Noam Chomsky, </w:t>
      </w:r>
      <w:r w:rsidRPr="00D31F7C">
        <w:rPr>
          <w:rFonts w:ascii="Times New Roman" w:hAnsi="Times New Roman" w:cs="Times New Roman"/>
          <w:i/>
          <w:iCs/>
          <w:sz w:val="24"/>
          <w:szCs w:val="24"/>
        </w:rPr>
        <w:t xml:space="preserve">Media Control: The Spectacular Achievements of Propaganda, </w:t>
      </w:r>
      <w:r w:rsidRPr="00D31F7C">
        <w:rPr>
          <w:rFonts w:ascii="Times New Roman" w:hAnsi="Times New Roman" w:cs="Times New Roman"/>
          <w:sz w:val="24"/>
          <w:szCs w:val="24"/>
        </w:rPr>
        <w:t>Seven Stories Press, p. 7-9.</w:t>
      </w:r>
    </w:p>
  </w:footnote>
  <w:footnote w:id="79">
    <w:p w14:paraId="58E41CE9" w14:textId="77777777" w:rsidR="00B10FA3" w:rsidRPr="00951BCD" w:rsidRDefault="00B10FA3">
      <w:pPr>
        <w:pStyle w:val="FootnoteText"/>
        <w:rPr>
          <w:rFonts w:ascii="Times New Roman" w:hAnsi="Times New Roman" w:cs="Times New Roman"/>
          <w:sz w:val="24"/>
          <w:szCs w:val="24"/>
        </w:rPr>
      </w:pPr>
      <w:r w:rsidRPr="00951BCD">
        <w:rPr>
          <w:rStyle w:val="FootnoteReference"/>
          <w:rFonts w:ascii="Times New Roman" w:hAnsi="Times New Roman" w:cs="Times New Roman"/>
          <w:sz w:val="24"/>
          <w:szCs w:val="24"/>
        </w:rPr>
        <w:footnoteRef/>
      </w:r>
      <w:r w:rsidRPr="00951BCD">
        <w:rPr>
          <w:rFonts w:ascii="Times New Roman" w:hAnsi="Times New Roman" w:cs="Times New Roman"/>
          <w:sz w:val="24"/>
          <w:szCs w:val="24"/>
        </w:rPr>
        <w:t xml:space="preserve"> Wikipedia, “</w:t>
      </w:r>
      <w:r w:rsidRPr="00951BCD">
        <w:rPr>
          <w:rFonts w:ascii="Times New Roman" w:hAnsi="Times New Roman" w:cs="Times New Roman"/>
          <w:i/>
          <w:iCs/>
          <w:sz w:val="24"/>
          <w:szCs w:val="24"/>
        </w:rPr>
        <w:t>White Americans</w:t>
      </w:r>
      <w:r w:rsidRPr="00951BCD">
        <w:rPr>
          <w:rFonts w:ascii="Times New Roman" w:hAnsi="Times New Roman" w:cs="Times New Roman"/>
          <w:sz w:val="24"/>
          <w:szCs w:val="24"/>
        </w:rPr>
        <w:t>.”  https://en.wikipedia.org/wiki/White_Americans, p. 1-3.</w:t>
      </w:r>
    </w:p>
  </w:footnote>
  <w:footnote w:id="80">
    <w:p w14:paraId="42360D2E" w14:textId="77777777" w:rsidR="00B10FA3" w:rsidRDefault="00B10FA3">
      <w:pPr>
        <w:pStyle w:val="FootnoteText"/>
      </w:pPr>
      <w:r w:rsidRPr="00951BCD">
        <w:rPr>
          <w:rStyle w:val="FootnoteReference"/>
          <w:rFonts w:ascii="Times New Roman" w:hAnsi="Times New Roman" w:cs="Times New Roman"/>
          <w:sz w:val="24"/>
          <w:szCs w:val="24"/>
        </w:rPr>
        <w:footnoteRef/>
      </w:r>
      <w:r w:rsidRPr="00951BCD">
        <w:rPr>
          <w:rFonts w:ascii="Times New Roman" w:hAnsi="Times New Roman" w:cs="Times New Roman"/>
          <w:sz w:val="24"/>
          <w:szCs w:val="24"/>
        </w:rPr>
        <w:t xml:space="preserve"> Ibid.</w:t>
      </w:r>
    </w:p>
  </w:footnote>
  <w:footnote w:id="81">
    <w:p w14:paraId="2EA48530" w14:textId="77777777" w:rsidR="00B10FA3" w:rsidRPr="00606BA5" w:rsidRDefault="00B10FA3">
      <w:pPr>
        <w:pStyle w:val="FootnoteText"/>
        <w:rPr>
          <w:rFonts w:ascii="Times New Roman" w:hAnsi="Times New Roman" w:cs="Times New Roman"/>
          <w:color w:val="FF0000"/>
          <w:sz w:val="24"/>
          <w:szCs w:val="24"/>
        </w:rPr>
      </w:pPr>
      <w:r w:rsidRPr="00606BA5">
        <w:rPr>
          <w:rStyle w:val="FootnoteReference"/>
          <w:rFonts w:ascii="Times New Roman" w:hAnsi="Times New Roman" w:cs="Times New Roman"/>
          <w:sz w:val="24"/>
          <w:szCs w:val="24"/>
        </w:rPr>
        <w:footnoteRef/>
      </w:r>
      <w:r w:rsidRPr="00606BA5">
        <w:rPr>
          <w:rFonts w:ascii="Times New Roman" w:hAnsi="Times New Roman" w:cs="Times New Roman"/>
          <w:sz w:val="24"/>
          <w:szCs w:val="24"/>
        </w:rPr>
        <w:t xml:space="preserve"> Warren Ferrell, </w:t>
      </w:r>
      <w:r w:rsidRPr="00606BA5">
        <w:rPr>
          <w:rFonts w:ascii="Times New Roman" w:hAnsi="Times New Roman" w:cs="Times New Roman"/>
          <w:i/>
          <w:iCs/>
          <w:sz w:val="24"/>
          <w:szCs w:val="24"/>
        </w:rPr>
        <w:t>The Myth of Male Power</w:t>
      </w:r>
      <w:r w:rsidRPr="00606BA5">
        <w:rPr>
          <w:rFonts w:ascii="Times New Roman" w:hAnsi="Times New Roman" w:cs="Times New Roman"/>
          <w:sz w:val="24"/>
          <w:szCs w:val="24"/>
        </w:rPr>
        <w:t>, 2001, Berkley Trade, p. 55.</w:t>
      </w:r>
      <w:r w:rsidRPr="00606BA5">
        <w:rPr>
          <w:rFonts w:ascii="Times New Roman" w:hAnsi="Times New Roman" w:cs="Times New Roman"/>
          <w:color w:val="FF0000"/>
          <w:sz w:val="24"/>
          <w:szCs w:val="24"/>
        </w:rPr>
        <w:t xml:space="preserve"> </w:t>
      </w:r>
    </w:p>
  </w:footnote>
  <w:footnote w:id="82">
    <w:p w14:paraId="7896565B" w14:textId="77777777" w:rsidR="00B10FA3" w:rsidRPr="00606BA5" w:rsidRDefault="00B10FA3">
      <w:pPr>
        <w:pStyle w:val="FootnoteText"/>
        <w:rPr>
          <w:rFonts w:ascii="Times New Roman" w:hAnsi="Times New Roman" w:cs="Times New Roman"/>
        </w:rPr>
      </w:pPr>
      <w:r w:rsidRPr="00606BA5">
        <w:rPr>
          <w:rStyle w:val="FootnoteReference"/>
          <w:rFonts w:ascii="Times New Roman" w:hAnsi="Times New Roman" w:cs="Times New Roman"/>
        </w:rPr>
        <w:footnoteRef/>
      </w:r>
      <w:r w:rsidRPr="00606BA5">
        <w:rPr>
          <w:rFonts w:ascii="Times New Roman" w:hAnsi="Times New Roman" w:cs="Times New Roman"/>
        </w:rPr>
        <w:t xml:space="preserve"> </w:t>
      </w:r>
      <w:r w:rsidRPr="00606BA5">
        <w:rPr>
          <w:rFonts w:ascii="Times New Roman" w:hAnsi="Times New Roman" w:cs="Times New Roman"/>
          <w:sz w:val="24"/>
          <w:szCs w:val="24"/>
        </w:rPr>
        <w:t>Ibid.</w:t>
      </w:r>
    </w:p>
  </w:footnote>
  <w:footnote w:id="83">
    <w:p w14:paraId="3A7BCBAF" w14:textId="77777777" w:rsidR="00B10FA3" w:rsidRPr="00606BA5" w:rsidRDefault="00B10FA3">
      <w:pPr>
        <w:pStyle w:val="FootnoteText"/>
        <w:rPr>
          <w:rFonts w:ascii="Times New Roman" w:hAnsi="Times New Roman" w:cs="Times New Roman"/>
          <w:sz w:val="24"/>
          <w:szCs w:val="24"/>
        </w:rPr>
      </w:pPr>
      <w:r w:rsidRPr="00606BA5">
        <w:rPr>
          <w:rStyle w:val="FootnoteReference"/>
          <w:rFonts w:ascii="Times New Roman" w:hAnsi="Times New Roman" w:cs="Times New Roman"/>
        </w:rPr>
        <w:footnoteRef/>
      </w:r>
      <w:r w:rsidRPr="00606BA5">
        <w:rPr>
          <w:rFonts w:ascii="Times New Roman" w:hAnsi="Times New Roman" w:cs="Times New Roman"/>
        </w:rPr>
        <w:t xml:space="preserve"> </w:t>
      </w:r>
      <w:r w:rsidRPr="00606BA5">
        <w:rPr>
          <w:rFonts w:ascii="Times New Roman" w:hAnsi="Times New Roman" w:cs="Times New Roman"/>
          <w:sz w:val="24"/>
          <w:szCs w:val="24"/>
        </w:rPr>
        <w:t xml:space="preserve">Ibid, p. 57.   </w:t>
      </w:r>
    </w:p>
  </w:footnote>
  <w:footnote w:id="84">
    <w:p w14:paraId="3A41BE55" w14:textId="77777777" w:rsidR="00B10FA3" w:rsidRPr="00930F7F" w:rsidRDefault="00B10FA3">
      <w:pPr>
        <w:pStyle w:val="FootnoteText"/>
        <w:rPr>
          <w:sz w:val="24"/>
          <w:szCs w:val="24"/>
        </w:rPr>
      </w:pPr>
      <w:r w:rsidRPr="00606BA5">
        <w:rPr>
          <w:rStyle w:val="FootnoteReference"/>
          <w:rFonts w:ascii="Times New Roman" w:hAnsi="Times New Roman" w:cs="Times New Roman"/>
        </w:rPr>
        <w:footnoteRef/>
      </w:r>
      <w:r w:rsidRPr="00606BA5">
        <w:rPr>
          <w:rFonts w:ascii="Times New Roman" w:hAnsi="Times New Roman" w:cs="Times New Roman"/>
        </w:rPr>
        <w:t xml:space="preserve"> </w:t>
      </w:r>
      <w:r w:rsidRPr="00606BA5">
        <w:rPr>
          <w:rFonts w:ascii="Times New Roman" w:hAnsi="Times New Roman" w:cs="Times New Roman"/>
          <w:sz w:val="24"/>
          <w:szCs w:val="24"/>
        </w:rPr>
        <w:t>Ibid, p.304</w:t>
      </w:r>
      <w:r>
        <w:rPr>
          <w:sz w:val="24"/>
          <w:szCs w:val="24"/>
        </w:rPr>
        <w:t>.</w:t>
      </w:r>
    </w:p>
  </w:footnote>
  <w:footnote w:id="85">
    <w:p w14:paraId="072FA0D8" w14:textId="77777777" w:rsidR="00B10FA3" w:rsidRPr="00D31F7C" w:rsidRDefault="00B10FA3">
      <w:pPr>
        <w:pStyle w:val="FootnoteText"/>
        <w:rPr>
          <w:rFonts w:ascii="Times New Roman" w:hAnsi="Times New Roman" w:cs="Times New Roman"/>
          <w:sz w:val="24"/>
          <w:szCs w:val="24"/>
        </w:rPr>
      </w:pPr>
      <w:r w:rsidRPr="00D31F7C">
        <w:rPr>
          <w:rStyle w:val="FootnoteReference"/>
          <w:rFonts w:ascii="Times New Roman" w:hAnsi="Times New Roman" w:cs="Times New Roman"/>
        </w:rPr>
        <w:footnoteRef/>
      </w:r>
      <w:r w:rsidRPr="00D31F7C">
        <w:rPr>
          <w:rFonts w:ascii="Times New Roman" w:hAnsi="Times New Roman" w:cs="Times New Roman"/>
        </w:rPr>
        <w:t xml:space="preserve"> </w:t>
      </w:r>
      <w:r w:rsidRPr="00D31F7C">
        <w:rPr>
          <w:rFonts w:ascii="Times New Roman" w:hAnsi="Times New Roman" w:cs="Times New Roman"/>
          <w:sz w:val="24"/>
          <w:szCs w:val="24"/>
        </w:rPr>
        <w:t>Ibid, p. 162.</w:t>
      </w:r>
    </w:p>
  </w:footnote>
  <w:footnote w:id="86">
    <w:p w14:paraId="493A2967" w14:textId="77777777" w:rsidR="00B10FA3" w:rsidRPr="00D31F7C" w:rsidRDefault="00B10FA3">
      <w:pPr>
        <w:pStyle w:val="FootnoteText"/>
        <w:rPr>
          <w:rFonts w:ascii="Times New Roman" w:hAnsi="Times New Roman" w:cs="Times New Roman"/>
          <w:sz w:val="24"/>
          <w:szCs w:val="24"/>
        </w:rPr>
      </w:pPr>
      <w:r w:rsidRPr="00D31F7C">
        <w:rPr>
          <w:rStyle w:val="FootnoteReference"/>
          <w:rFonts w:ascii="Times New Roman" w:hAnsi="Times New Roman" w:cs="Times New Roman"/>
          <w:sz w:val="24"/>
          <w:szCs w:val="24"/>
        </w:rPr>
        <w:footnoteRef/>
      </w:r>
      <w:r w:rsidRPr="00D31F7C">
        <w:rPr>
          <w:rFonts w:ascii="Times New Roman" w:hAnsi="Times New Roman" w:cs="Times New Roman"/>
          <w:sz w:val="24"/>
          <w:szCs w:val="24"/>
        </w:rPr>
        <w:t xml:space="preserve"> Jerry M. Burger, </w:t>
      </w:r>
      <w:r w:rsidRPr="00D31F7C">
        <w:rPr>
          <w:rFonts w:ascii="Times New Roman" w:hAnsi="Times New Roman" w:cs="Times New Roman"/>
          <w:i/>
          <w:iCs/>
          <w:sz w:val="24"/>
          <w:szCs w:val="24"/>
        </w:rPr>
        <w:t>Personality</w:t>
      </w:r>
      <w:r w:rsidRPr="00D31F7C">
        <w:rPr>
          <w:rFonts w:ascii="Times New Roman" w:hAnsi="Times New Roman" w:cs="Times New Roman"/>
          <w:sz w:val="24"/>
          <w:szCs w:val="24"/>
        </w:rPr>
        <w:t>, 6</w:t>
      </w:r>
      <w:r w:rsidRPr="00D31F7C">
        <w:rPr>
          <w:rFonts w:ascii="Times New Roman" w:hAnsi="Times New Roman" w:cs="Times New Roman"/>
          <w:sz w:val="24"/>
          <w:szCs w:val="24"/>
          <w:vertAlign w:val="superscript"/>
        </w:rPr>
        <w:t>th</w:t>
      </w:r>
      <w:r w:rsidRPr="00D31F7C">
        <w:rPr>
          <w:rFonts w:ascii="Times New Roman" w:hAnsi="Times New Roman" w:cs="Times New Roman"/>
          <w:sz w:val="24"/>
          <w:szCs w:val="24"/>
        </w:rPr>
        <w:t xml:space="preserve"> edition, Thomson Wadsworth, p.128.</w:t>
      </w:r>
    </w:p>
  </w:footnote>
  <w:footnote w:id="87">
    <w:p w14:paraId="57533154" w14:textId="77777777" w:rsidR="00B10FA3" w:rsidRPr="00D31F7C" w:rsidRDefault="00B10FA3">
      <w:pPr>
        <w:pStyle w:val="FootnoteText"/>
        <w:rPr>
          <w:rFonts w:ascii="Times New Roman" w:hAnsi="Times New Roman" w:cs="Times New Roman"/>
          <w:sz w:val="24"/>
          <w:szCs w:val="24"/>
        </w:rPr>
      </w:pPr>
      <w:r w:rsidRPr="00D31F7C">
        <w:rPr>
          <w:rStyle w:val="FootnoteReference"/>
          <w:rFonts w:ascii="Times New Roman" w:hAnsi="Times New Roman" w:cs="Times New Roman"/>
          <w:sz w:val="24"/>
          <w:szCs w:val="24"/>
        </w:rPr>
        <w:footnoteRef/>
      </w:r>
      <w:r w:rsidRPr="00D31F7C">
        <w:rPr>
          <w:rFonts w:ascii="Times New Roman" w:hAnsi="Times New Roman" w:cs="Times New Roman"/>
          <w:sz w:val="24"/>
          <w:szCs w:val="24"/>
        </w:rPr>
        <w:t xml:space="preserve"> Ibid, p. 128-129.</w:t>
      </w:r>
    </w:p>
  </w:footnote>
  <w:footnote w:id="88">
    <w:p w14:paraId="2D984659" w14:textId="77777777" w:rsidR="00B10FA3" w:rsidRPr="006A24AB" w:rsidRDefault="00B10FA3">
      <w:pPr>
        <w:pStyle w:val="FootnoteText"/>
        <w:rPr>
          <w:sz w:val="24"/>
          <w:szCs w:val="24"/>
        </w:rPr>
      </w:pPr>
      <w:r w:rsidRPr="00D31F7C">
        <w:rPr>
          <w:rStyle w:val="FootnoteReference"/>
          <w:rFonts w:ascii="Times New Roman" w:hAnsi="Times New Roman" w:cs="Times New Roman"/>
          <w:sz w:val="24"/>
          <w:szCs w:val="24"/>
        </w:rPr>
        <w:footnoteRef/>
      </w:r>
      <w:r w:rsidRPr="00D31F7C">
        <w:rPr>
          <w:rFonts w:ascii="Times New Roman" w:hAnsi="Times New Roman" w:cs="Times New Roman"/>
          <w:sz w:val="24"/>
          <w:szCs w:val="24"/>
        </w:rPr>
        <w:t xml:space="preserve"> Ibid, p. 130.</w:t>
      </w:r>
    </w:p>
  </w:footnote>
  <w:footnote w:id="89">
    <w:p w14:paraId="45CF8E36" w14:textId="77777777" w:rsidR="00B10FA3" w:rsidRPr="00D31F7C" w:rsidRDefault="00B10FA3">
      <w:pPr>
        <w:pStyle w:val="FootnoteText"/>
        <w:rPr>
          <w:rFonts w:ascii="Times New Roman" w:hAnsi="Times New Roman" w:cs="Times New Roman"/>
          <w:sz w:val="24"/>
          <w:szCs w:val="24"/>
        </w:rPr>
      </w:pPr>
      <w:r w:rsidRPr="00D31F7C">
        <w:rPr>
          <w:rStyle w:val="FootnoteReference"/>
          <w:rFonts w:ascii="Times New Roman" w:hAnsi="Times New Roman" w:cs="Times New Roman"/>
          <w:sz w:val="24"/>
          <w:szCs w:val="24"/>
        </w:rPr>
        <w:footnoteRef/>
      </w:r>
      <w:r w:rsidRPr="00D31F7C">
        <w:rPr>
          <w:rFonts w:ascii="Times New Roman" w:hAnsi="Times New Roman" w:cs="Times New Roman"/>
          <w:sz w:val="24"/>
          <w:szCs w:val="24"/>
        </w:rPr>
        <w:t xml:space="preserve"> Ibid.</w:t>
      </w:r>
    </w:p>
  </w:footnote>
  <w:footnote w:id="90">
    <w:p w14:paraId="468F8B34" w14:textId="77777777" w:rsidR="00B10FA3" w:rsidRPr="00BB7EF5" w:rsidRDefault="00B10FA3">
      <w:pPr>
        <w:pStyle w:val="FootnoteText"/>
        <w:rPr>
          <w:sz w:val="24"/>
          <w:szCs w:val="24"/>
        </w:rPr>
      </w:pPr>
      <w:r w:rsidRPr="00D31F7C">
        <w:rPr>
          <w:rStyle w:val="FootnoteReference"/>
          <w:rFonts w:ascii="Times New Roman" w:hAnsi="Times New Roman" w:cs="Times New Roman"/>
        </w:rPr>
        <w:footnoteRef/>
      </w:r>
      <w:r w:rsidRPr="00D31F7C">
        <w:rPr>
          <w:rFonts w:ascii="Times New Roman" w:hAnsi="Times New Roman" w:cs="Times New Roman"/>
        </w:rPr>
        <w:t xml:space="preserve"> </w:t>
      </w:r>
      <w:r w:rsidRPr="00D31F7C">
        <w:rPr>
          <w:rFonts w:ascii="Times New Roman" w:hAnsi="Times New Roman" w:cs="Times New Roman"/>
          <w:sz w:val="24"/>
          <w:szCs w:val="24"/>
        </w:rPr>
        <w:t xml:space="preserve">Michael Kimmel, “Angry White Men,” </w:t>
      </w:r>
      <w:proofErr w:type="spellStart"/>
      <w:r w:rsidRPr="00D31F7C">
        <w:rPr>
          <w:rFonts w:ascii="Times New Roman" w:hAnsi="Times New Roman" w:cs="Times New Roman"/>
          <w:sz w:val="24"/>
          <w:szCs w:val="24"/>
        </w:rPr>
        <w:t>Nationbooks</w:t>
      </w:r>
      <w:proofErr w:type="spellEnd"/>
      <w:r w:rsidRPr="00D31F7C">
        <w:rPr>
          <w:rFonts w:ascii="Times New Roman" w:hAnsi="Times New Roman" w:cs="Times New Roman"/>
          <w:sz w:val="24"/>
          <w:szCs w:val="24"/>
        </w:rPr>
        <w:t>, 2013, p. xix.</w:t>
      </w:r>
    </w:p>
  </w:footnote>
  <w:footnote w:id="91">
    <w:p w14:paraId="0BDC1EB7" w14:textId="77777777" w:rsidR="00B10FA3" w:rsidRPr="00D31F7C" w:rsidRDefault="00B10FA3">
      <w:pPr>
        <w:pStyle w:val="FootnoteText"/>
        <w:rPr>
          <w:rFonts w:ascii="Times New Roman" w:hAnsi="Times New Roman" w:cs="Times New Roman"/>
          <w:sz w:val="24"/>
          <w:szCs w:val="24"/>
        </w:rPr>
      </w:pPr>
      <w:r w:rsidRPr="00D31F7C">
        <w:rPr>
          <w:rStyle w:val="FootnoteReference"/>
          <w:rFonts w:ascii="Times New Roman" w:hAnsi="Times New Roman" w:cs="Times New Roman"/>
        </w:rPr>
        <w:footnoteRef/>
      </w:r>
      <w:r w:rsidRPr="00D31F7C">
        <w:rPr>
          <w:rFonts w:ascii="Times New Roman" w:hAnsi="Times New Roman" w:cs="Times New Roman"/>
        </w:rPr>
        <w:t xml:space="preserve"> </w:t>
      </w:r>
      <w:r w:rsidRPr="00D31F7C">
        <w:rPr>
          <w:rFonts w:ascii="Times New Roman" w:hAnsi="Times New Roman" w:cs="Times New Roman"/>
          <w:sz w:val="24"/>
          <w:szCs w:val="24"/>
        </w:rPr>
        <w:t>Ibid, p. 32-33</w:t>
      </w:r>
    </w:p>
  </w:footnote>
  <w:footnote w:id="92">
    <w:p w14:paraId="1692F746" w14:textId="77777777" w:rsidR="00B10FA3" w:rsidRPr="000E3485" w:rsidRDefault="00B10FA3">
      <w:pPr>
        <w:pStyle w:val="FootnoteText"/>
        <w:rPr>
          <w:sz w:val="24"/>
          <w:szCs w:val="24"/>
        </w:rPr>
      </w:pPr>
      <w:r w:rsidRPr="00D31F7C">
        <w:rPr>
          <w:rStyle w:val="FootnoteReference"/>
          <w:rFonts w:ascii="Times New Roman" w:hAnsi="Times New Roman" w:cs="Times New Roman"/>
          <w:sz w:val="24"/>
          <w:szCs w:val="24"/>
        </w:rPr>
        <w:footnoteRef/>
      </w:r>
      <w:r w:rsidRPr="00D31F7C">
        <w:rPr>
          <w:rFonts w:ascii="Times New Roman" w:hAnsi="Times New Roman" w:cs="Times New Roman"/>
          <w:sz w:val="24"/>
          <w:szCs w:val="24"/>
        </w:rPr>
        <w:t xml:space="preserve"> Ibid, p. 38.</w:t>
      </w:r>
    </w:p>
  </w:footnote>
  <w:footnote w:id="93">
    <w:p w14:paraId="1F24F307" w14:textId="77777777" w:rsidR="00B10FA3" w:rsidRPr="00756A88" w:rsidRDefault="00B10FA3">
      <w:pPr>
        <w:pStyle w:val="FootnoteText"/>
        <w:rPr>
          <w:rFonts w:ascii="Times New Roman" w:hAnsi="Times New Roman" w:cs="Times New Roman"/>
          <w:sz w:val="24"/>
          <w:szCs w:val="24"/>
        </w:rPr>
      </w:pPr>
      <w:r w:rsidRPr="00756A88">
        <w:rPr>
          <w:rStyle w:val="FootnoteReference"/>
          <w:rFonts w:ascii="Times New Roman" w:hAnsi="Times New Roman" w:cs="Times New Roman"/>
          <w:sz w:val="24"/>
          <w:szCs w:val="24"/>
        </w:rPr>
        <w:footnoteRef/>
      </w:r>
      <w:r w:rsidRPr="00756A88">
        <w:rPr>
          <w:rFonts w:ascii="Times New Roman" w:hAnsi="Times New Roman" w:cs="Times New Roman"/>
          <w:sz w:val="24"/>
          <w:szCs w:val="24"/>
        </w:rPr>
        <w:t xml:space="preserve"> One tactic used to walk the line between victimization and traditional masculinity was to claim that “elites” were behind the cultural and economic changes that affected the working and middle classes. Typically, these were vague political and cultural celebrities, usually of a liberal bent.</w:t>
      </w:r>
    </w:p>
  </w:footnote>
  <w:footnote w:id="94">
    <w:p w14:paraId="678C08AA" w14:textId="77777777" w:rsidR="00B10FA3" w:rsidRPr="00526EED" w:rsidRDefault="00B10FA3">
      <w:pPr>
        <w:pStyle w:val="FootnoteText"/>
        <w:rPr>
          <w:sz w:val="24"/>
          <w:szCs w:val="24"/>
        </w:rPr>
      </w:pPr>
      <w:r w:rsidRPr="00756A88">
        <w:rPr>
          <w:rStyle w:val="FootnoteReference"/>
          <w:rFonts w:ascii="Times New Roman" w:hAnsi="Times New Roman" w:cs="Times New Roman"/>
          <w:sz w:val="24"/>
          <w:szCs w:val="24"/>
        </w:rPr>
        <w:footnoteRef/>
      </w:r>
      <w:r w:rsidRPr="00756A88">
        <w:rPr>
          <w:rFonts w:ascii="Times New Roman" w:hAnsi="Times New Roman" w:cs="Times New Roman"/>
          <w:sz w:val="24"/>
          <w:szCs w:val="24"/>
        </w:rPr>
        <w:t xml:space="preserve"> Ibid, p. 45.</w:t>
      </w:r>
    </w:p>
  </w:footnote>
  <w:footnote w:id="95">
    <w:p w14:paraId="023559A6" w14:textId="77777777" w:rsidR="00B10FA3" w:rsidRPr="00951BCD" w:rsidRDefault="00B10FA3" w:rsidP="0064192E">
      <w:pPr>
        <w:pStyle w:val="Heading1"/>
        <w:rPr>
          <w:rFonts w:ascii="Times New Roman" w:hAnsi="Times New Roman" w:cs="Times New Roman"/>
          <w:color w:val="0D0D0D" w:themeColor="text1" w:themeTint="F2"/>
          <w:sz w:val="24"/>
          <w:szCs w:val="24"/>
        </w:rPr>
      </w:pPr>
      <w:r w:rsidRPr="00951BCD">
        <w:rPr>
          <w:rStyle w:val="FootnoteReference"/>
          <w:rFonts w:ascii="Times New Roman" w:hAnsi="Times New Roman" w:cs="Times New Roman"/>
          <w:sz w:val="24"/>
          <w:szCs w:val="24"/>
        </w:rPr>
        <w:footnoteRef/>
      </w:r>
      <w:r w:rsidRPr="00951BCD">
        <w:rPr>
          <w:rFonts w:ascii="Times New Roman" w:hAnsi="Times New Roman" w:cs="Times New Roman"/>
          <w:sz w:val="24"/>
          <w:szCs w:val="24"/>
        </w:rPr>
        <w:t xml:space="preserve">  “New State-by-State Analysis: States Rejecting Medicaid Expansion Under the Affordable </w:t>
      </w:r>
      <w:r w:rsidRPr="00951BCD">
        <w:rPr>
          <w:rFonts w:ascii="Times New Roman" w:hAnsi="Times New Roman" w:cs="Times New Roman"/>
          <w:color w:val="0D0D0D" w:themeColor="text1" w:themeTint="F2"/>
          <w:sz w:val="24"/>
          <w:szCs w:val="24"/>
        </w:rPr>
        <w:t>Care Act Are Costing Their Taxpayers Billions.” December 5, 2013.</w:t>
      </w:r>
      <w:r w:rsidRPr="00951BCD">
        <w:rPr>
          <w:rFonts w:ascii="Times New Roman" w:hAnsi="Times New Roman" w:cs="Times New Roman"/>
          <w:color w:val="0D0D0D" w:themeColor="text1" w:themeTint="F2"/>
        </w:rPr>
        <w:t xml:space="preserve"> </w:t>
      </w:r>
      <w:hyperlink r:id="rId10" w:history="1">
        <w:r w:rsidRPr="00951BCD">
          <w:rPr>
            <w:rStyle w:val="Hyperlink"/>
            <w:rFonts w:ascii="Times New Roman" w:hAnsi="Times New Roman" w:cs="Times New Roman"/>
            <w:color w:val="0D0D0D" w:themeColor="text1" w:themeTint="F2"/>
            <w:sz w:val="24"/>
            <w:szCs w:val="24"/>
          </w:rPr>
          <w:t>https://www.commonwealthfund.org/press-release/2013/new-state-state-analysis-states-rejecting-medicaid-expansion-under-affordable</w:t>
        </w:r>
      </w:hyperlink>
      <w:r w:rsidRPr="00951BCD">
        <w:rPr>
          <w:rFonts w:ascii="Times New Roman" w:hAnsi="Times New Roman" w:cs="Times New Roman"/>
          <w:color w:val="0D0D0D" w:themeColor="text1" w:themeTint="F2"/>
          <w:sz w:val="24"/>
          <w:szCs w:val="24"/>
        </w:rPr>
        <w:t xml:space="preserve">. The 20 states choosing not to expand their Medicaid programs under the Affordable Care Act are forgoing billions of dollars in federal funds, while residents in their states are contributing to the cost of the expansions in other states, according to a new Commonwealth Fund study. </w:t>
      </w:r>
    </w:p>
    <w:p w14:paraId="53BCDA65" w14:textId="77777777" w:rsidR="00B10FA3" w:rsidRPr="006102C2" w:rsidRDefault="00B10FA3" w:rsidP="0064192E">
      <w:pPr>
        <w:pStyle w:val="NormalWeb"/>
        <w:rPr>
          <w:color w:val="0D0D0D" w:themeColor="text1" w:themeTint="F2"/>
        </w:rPr>
      </w:pPr>
      <w:r w:rsidRPr="006102C2">
        <w:rPr>
          <w:color w:val="0D0D0D" w:themeColor="text1" w:themeTint="F2"/>
        </w:rPr>
        <w:t xml:space="preserve">After taking into account federal taxes paid by state residents, states with the highest net losses include Texas, which will see a net loss of $9.2 billion in 2022; Florida, which will lose $5 billion; Georgia, which will lose $2.9 billion, and Virginia, which will lose $2.8 billion. </w:t>
      </w:r>
    </w:p>
    <w:p w14:paraId="0F132B2A" w14:textId="77777777" w:rsidR="00B10FA3" w:rsidRDefault="00B10FA3" w:rsidP="0064192E">
      <w:pPr>
        <w:pStyle w:val="NormalWeb"/>
      </w:pPr>
      <w:hyperlink r:id="rId11" w:history="1">
        <w:r w:rsidRPr="006102C2">
          <w:rPr>
            <w:rStyle w:val="Hyperlink"/>
            <w:rFonts w:eastAsiaTheme="majorEastAsia"/>
            <w:color w:val="0D0D0D" w:themeColor="text1" w:themeTint="F2"/>
          </w:rPr>
          <w:t>How States Stand to Gain or Lose Federal Funds by Opting In or Out of the Medicaid Expansion,</w:t>
        </w:r>
      </w:hyperlink>
      <w:r w:rsidRPr="006102C2">
        <w:rPr>
          <w:color w:val="0D0D0D" w:themeColor="text1" w:themeTint="F2"/>
        </w:rPr>
        <w:t> by Sherry Glied and Stephanie Ma of New York University's Wagner Graduate School of Public Service, is the first study to calculate the net cost to taxpayers in states turning down the Affordable Care Act's Medicaid expansion. Using data from the Urban Institute projecting Medicaid enrollment and spending under the law in the year 2022, Glied and Ma</w:t>
      </w:r>
      <w:r w:rsidRPr="0064192E">
        <w:t xml:space="preserve"> estimate the effects of states’ decisions about whether to accept the health reform law’s expansion of the Medicaid program to residents w</w:t>
      </w:r>
      <w:r>
        <w:t xml:space="preserve">ith incomes at or below 138 percent of the federal poverty level ($32,499 for a family of four). The expansion, which became voluntary for states after the Supreme Court’s 2012 ruling, is mostly financed by the federal government, which pays 100 percent of the total costs through 2016. The federal contribution will decline from 100 percent to 90 percent by 2020, and stay at 90 percent after that. </w:t>
      </w:r>
    </w:p>
    <w:p w14:paraId="6D6BA5E6" w14:textId="77777777" w:rsidR="00B10FA3" w:rsidRDefault="00B10FA3" w:rsidP="0064192E">
      <w:pPr>
        <w:pStyle w:val="NormalWeb"/>
      </w:pPr>
      <w:r>
        <w:t xml:space="preserve">Federal funds that pay for state Medicaid programs are raised through federal general revenue collection—taxes paid by residents in all states—whether or not they participate in the program. Therefore, taxpayers in states not participating in the Medicaid expansion will bear a share of the overall cost, without benefitting from the program. Glied and Ma estimated the net loss of federal funds to states that do not expand Medicaid by using projected federal Medicaid spending in each state and calculating the federal Medicaid-related taxes paid by each state. </w:t>
      </w:r>
    </w:p>
    <w:p w14:paraId="55C858DF" w14:textId="77777777" w:rsidR="00B10FA3" w:rsidRDefault="00B10FA3" w:rsidP="0064192E">
      <w:pPr>
        <w:pStyle w:val="NormalWeb"/>
      </w:pPr>
      <w:r>
        <w:t xml:space="preserve">“The Medicaid expansion presents an opportunity for states to bring in new federal dollars, in addition to providing critical health coverage for their low-income residents,” said Glied. “No state that declines to expand the program is going to be fiscally better off because of it. Their tax dollars will be used to support a program from which nobody in their state will benefit.” </w:t>
      </w:r>
    </w:p>
    <w:p w14:paraId="020647A5" w14:textId="77777777" w:rsidR="00B10FA3" w:rsidRDefault="00B10FA3" w:rsidP="0064192E">
      <w:pPr>
        <w:pStyle w:val="NormalWeb"/>
      </w:pPr>
      <w:r>
        <w:t xml:space="preserve">The authors note that if all states expanded Medicaid under the law, as many as 21.3 million Americans would gain coverage by 2022. In addition to improving access to care and providing financial protections for those who gain coverage, health care providers in states would benefit from reduced uncompensated care costs. </w:t>
      </w:r>
    </w:p>
    <w:p w14:paraId="45F7363F" w14:textId="77777777" w:rsidR="00B10FA3" w:rsidRDefault="00B10FA3" w:rsidP="0064192E">
      <w:pPr>
        <w:pStyle w:val="NormalWeb"/>
      </w:pPr>
      <w:r>
        <w:t xml:space="preserve">“In states that elect not to expand Medicaid, millions of their most vulnerable residents will be unable to gain health insurance,” said Commonwealth Fund President David Blumenthal, M.D. “Those same states will be forgoing billions in federal funds while paying for other areas to provide expanded coverage. In light of these facts, it seems likely that non-expanding states will face increasing pressure over time to reconsider their decisions.” </w:t>
      </w:r>
    </w:p>
    <w:p w14:paraId="37E8D64C" w14:textId="77777777" w:rsidR="00B10FA3" w:rsidRDefault="00B10FA3" w:rsidP="0064192E">
      <w:pPr>
        <w:pStyle w:val="NormalWeb"/>
      </w:pPr>
      <w:r>
        <w:t xml:space="preserve"> The 20 states choosing not to expand their Medicaid programs under the Affordable Care Act are forgoing billions of dollars in federal funds, while residents in their states are contributing to the cost of the expansions in other states, according to a new Commonwealth Fund study. </w:t>
      </w:r>
    </w:p>
    <w:p w14:paraId="7A71F00E" w14:textId="77777777" w:rsidR="00B10FA3" w:rsidRDefault="00B10FA3" w:rsidP="0064192E">
      <w:pPr>
        <w:pStyle w:val="NormalWeb"/>
      </w:pPr>
      <w:r>
        <w:t xml:space="preserve">After taking into account federal taxes paid by state residents, states with the highest net losses include Texas, which will see a net loss of $9.2 billion in 2022; Florida, which will lose $5 billion; Georgia, which will lose $2.9 billion, and Virginia, which will lose $2.8 billion. </w:t>
      </w:r>
    </w:p>
    <w:p w14:paraId="0013501C" w14:textId="77777777" w:rsidR="00B10FA3" w:rsidRDefault="00B10FA3" w:rsidP="0064192E">
      <w:pPr>
        <w:pStyle w:val="NormalWeb"/>
      </w:pPr>
      <w:hyperlink r:id="rId12" w:history="1">
        <w:r w:rsidRPr="006102C2">
          <w:rPr>
            <w:rStyle w:val="Hyperlink"/>
            <w:rFonts w:eastAsiaTheme="majorEastAsia"/>
            <w:color w:val="0D0D0D" w:themeColor="text1" w:themeTint="F2"/>
          </w:rPr>
          <w:t>How States Stand to Gain or Lose Federal Funds by Opting In or Out of the Medicaid Expansion,</w:t>
        </w:r>
      </w:hyperlink>
      <w:r>
        <w:t xml:space="preserve"> by Sherry Glied and Stephanie Ma of New York University's Wagner Graduate School of Public Service, is the first study to calculate the net cost to taxpayers in states turning down the Affordable Care Act's Medicaid expansion. Using data from the Urban Institute projecting Medicaid enrollment and spending under the law in the year 2022, Glied and Ma estimate the effects of states’ decisions about whether to accept the health reform law’s expansion of the Medicaid program to residents with incomes at or below 138 percent of the federal poverty level ($32,499 for a family of four). The expansion, which became voluntary for states after the Supreme Court’s 2012 ruling, is mostly financed by the federal government, which pays 100 percent of the total costs through 2016. The federal contribution will decline from 100 percent to 90 percent by 2020, and stay at 90 percent after that. </w:t>
      </w:r>
    </w:p>
    <w:p w14:paraId="7FF501EF" w14:textId="77777777" w:rsidR="00B10FA3" w:rsidRDefault="00B10FA3" w:rsidP="0064192E">
      <w:pPr>
        <w:pStyle w:val="NormalWeb"/>
      </w:pPr>
      <w:r>
        <w:t xml:space="preserve">Federal funds that pay for state Medicaid programs are raised through federal general revenue collection—taxes paid by residents in all states—whether or not they participate in the program. Therefore, taxpayers in states not participating in the Medicaid expansion will bear a share of the overall cost, without benefitting from the program. Glied and Ma estimated the net loss of federal funds to states that do not expand Medicaid by using projected federal Medicaid spending in each state and calculating the federal Medicaid-related taxes paid by each state. </w:t>
      </w:r>
    </w:p>
    <w:p w14:paraId="75581DC4" w14:textId="77777777" w:rsidR="00B10FA3" w:rsidRDefault="00B10FA3" w:rsidP="0064192E">
      <w:pPr>
        <w:pStyle w:val="NormalWeb"/>
      </w:pPr>
      <w:r>
        <w:t xml:space="preserve">“The Medicaid expansion presents an opportunity for states to bring in new federal dollars, in addition to providing critical health coverage for their low-income residents,” said Glied. “No state that declines to expand the program is going to be fiscally better off because of it. Their tax dollars will be used to support a program from which nobody in their state will benefit.” </w:t>
      </w:r>
    </w:p>
    <w:p w14:paraId="507ADE11" w14:textId="77777777" w:rsidR="00B10FA3" w:rsidRDefault="00B10FA3" w:rsidP="0064192E">
      <w:pPr>
        <w:pStyle w:val="NormalWeb"/>
      </w:pPr>
      <w:r>
        <w:t xml:space="preserve">The authors note that if all states expanded Medicaid under the law, as many as 21.3 million Americans would gain coverage by 2022. In addition to improving access to care and providing financial protections for those who gain coverage, health care providers in states would benefit from reduced uncompensated care costs. </w:t>
      </w:r>
    </w:p>
    <w:p w14:paraId="14A60161" w14:textId="77777777" w:rsidR="00B10FA3" w:rsidRDefault="00B10FA3" w:rsidP="0064192E">
      <w:pPr>
        <w:pStyle w:val="NormalWeb"/>
      </w:pPr>
      <w:r>
        <w:t xml:space="preserve">“In states that elect not to expand Medicaid, millions of their most vulnerable residents will be unable to gain health insurance,” said Commonwealth Fund President David Blumenthal, M.D. “Those same states will be forgoing billions in federal funds while paying for other areas to provide expanded coverage. In light of these facts, it seems likely that non-expanding states will face increasing pressure over time to reconsider their decisions.” </w:t>
      </w:r>
    </w:p>
    <w:p w14:paraId="3F8F997D" w14:textId="77777777" w:rsidR="00B10FA3" w:rsidRDefault="00B10FA3">
      <w:pPr>
        <w:pStyle w:val="FootnoteText"/>
      </w:pPr>
    </w:p>
  </w:footnote>
  <w:footnote w:id="96">
    <w:p w14:paraId="0300338B" w14:textId="77777777" w:rsidR="00B10FA3" w:rsidRPr="00D31F7C" w:rsidRDefault="00B10FA3">
      <w:pPr>
        <w:pStyle w:val="FootnoteText"/>
        <w:rPr>
          <w:rFonts w:ascii="Times New Roman" w:hAnsi="Times New Roman" w:cs="Times New Roman"/>
        </w:rPr>
      </w:pPr>
      <w:r w:rsidRPr="00D31F7C">
        <w:rPr>
          <w:rStyle w:val="FootnoteReference"/>
          <w:rFonts w:ascii="Times New Roman" w:hAnsi="Times New Roman" w:cs="Times New Roman"/>
        </w:rPr>
        <w:footnoteRef/>
      </w:r>
      <w:r w:rsidRPr="00D31F7C">
        <w:rPr>
          <w:rFonts w:ascii="Times New Roman" w:hAnsi="Times New Roman" w:cs="Times New Roman"/>
        </w:rPr>
        <w:t xml:space="preserve"> </w:t>
      </w:r>
      <w:r w:rsidRPr="00D31F7C">
        <w:rPr>
          <w:rFonts w:ascii="Times New Roman" w:hAnsi="Times New Roman" w:cs="Times New Roman"/>
          <w:sz w:val="24"/>
          <w:szCs w:val="24"/>
        </w:rPr>
        <w:t>Ibid, p. 64-65.</w:t>
      </w:r>
    </w:p>
  </w:footnote>
  <w:footnote w:id="97">
    <w:p w14:paraId="39C61AE3" w14:textId="77777777" w:rsidR="00B10FA3" w:rsidRDefault="00B10FA3">
      <w:pPr>
        <w:pStyle w:val="FootnoteText"/>
      </w:pPr>
    </w:p>
  </w:footnote>
  <w:footnote w:id="98">
    <w:p w14:paraId="00024393" w14:textId="77777777" w:rsidR="00B10FA3" w:rsidRPr="00D31F7C" w:rsidRDefault="00B10FA3" w:rsidP="007068F0">
      <w:pPr>
        <w:pStyle w:val="FootnoteText"/>
        <w:rPr>
          <w:rFonts w:ascii="Times New Roman" w:hAnsi="Times New Roman" w:cs="Times New Roman"/>
        </w:rPr>
      </w:pPr>
      <w:r w:rsidRPr="00D31F7C">
        <w:rPr>
          <w:rStyle w:val="FootnoteReference"/>
          <w:rFonts w:ascii="Times New Roman" w:hAnsi="Times New Roman" w:cs="Times New Roman"/>
          <w:sz w:val="24"/>
          <w:szCs w:val="24"/>
        </w:rPr>
        <w:footnoteRef/>
      </w:r>
      <w:r w:rsidRPr="00D31F7C">
        <w:rPr>
          <w:rFonts w:ascii="Times New Roman" w:hAnsi="Times New Roman" w:cs="Times New Roman"/>
          <w:sz w:val="24"/>
          <w:szCs w:val="24"/>
        </w:rPr>
        <w:t xml:space="preserve"> Rebecca Solnit, </w:t>
      </w:r>
      <w:r w:rsidRPr="00D31F7C">
        <w:rPr>
          <w:rFonts w:ascii="Times New Roman" w:hAnsi="Times New Roman" w:cs="Times New Roman"/>
          <w:i/>
          <w:iCs/>
          <w:sz w:val="24"/>
          <w:szCs w:val="24"/>
        </w:rPr>
        <w:t>Men Explain Things to Me,</w:t>
      </w:r>
      <w:r w:rsidRPr="00D31F7C">
        <w:rPr>
          <w:rFonts w:ascii="Times New Roman" w:hAnsi="Times New Roman" w:cs="Times New Roman"/>
          <w:sz w:val="24"/>
          <w:szCs w:val="24"/>
        </w:rPr>
        <w:t xml:space="preserve"> Chicago: Haymarket Books, 2014, p. 150-151</w:t>
      </w:r>
      <w:r w:rsidRPr="00D31F7C">
        <w:rPr>
          <w:rFonts w:ascii="Times New Roman" w:hAnsi="Times New Roman" w:cs="Times New Roman"/>
        </w:rPr>
        <w:t>.</w:t>
      </w:r>
    </w:p>
  </w:footnote>
  <w:footnote w:id="99">
    <w:p w14:paraId="71E6FEFE" w14:textId="77777777" w:rsidR="00B10FA3" w:rsidRPr="00D31F7C" w:rsidRDefault="00B10FA3">
      <w:pPr>
        <w:pStyle w:val="FootnoteText"/>
        <w:rPr>
          <w:rFonts w:ascii="Times New Roman" w:hAnsi="Times New Roman" w:cs="Times New Roman"/>
          <w:sz w:val="24"/>
          <w:szCs w:val="24"/>
        </w:rPr>
      </w:pPr>
      <w:r w:rsidRPr="00D31F7C">
        <w:rPr>
          <w:rStyle w:val="FootnoteReference"/>
          <w:rFonts w:ascii="Times New Roman" w:hAnsi="Times New Roman" w:cs="Times New Roman"/>
          <w:sz w:val="24"/>
          <w:szCs w:val="24"/>
        </w:rPr>
        <w:footnoteRef/>
      </w:r>
      <w:r w:rsidRPr="00D31F7C">
        <w:rPr>
          <w:rFonts w:ascii="Times New Roman" w:hAnsi="Times New Roman" w:cs="Times New Roman"/>
          <w:sz w:val="24"/>
          <w:szCs w:val="24"/>
        </w:rPr>
        <w:t xml:space="preserve"> Arlie Russell Hochschild, </w:t>
      </w:r>
      <w:r w:rsidRPr="00D31F7C">
        <w:rPr>
          <w:rFonts w:ascii="Times New Roman" w:hAnsi="Times New Roman" w:cs="Times New Roman"/>
          <w:i/>
          <w:iCs/>
          <w:sz w:val="24"/>
          <w:szCs w:val="24"/>
        </w:rPr>
        <w:t xml:space="preserve">Strangers in Their Own Land, </w:t>
      </w:r>
      <w:r w:rsidRPr="00D31F7C">
        <w:rPr>
          <w:rFonts w:ascii="Times New Roman" w:hAnsi="Times New Roman" w:cs="Times New Roman"/>
          <w:sz w:val="24"/>
          <w:szCs w:val="24"/>
        </w:rPr>
        <w:t>p. 69</w:t>
      </w:r>
      <w:r w:rsidRPr="00D31F7C">
        <w:rPr>
          <w:rFonts w:ascii="Times New Roman" w:hAnsi="Times New Roman" w:cs="Times New Roman"/>
        </w:rPr>
        <w:t>.</w:t>
      </w:r>
    </w:p>
  </w:footnote>
  <w:footnote w:id="100">
    <w:p w14:paraId="45D15700" w14:textId="77777777" w:rsidR="00B10FA3" w:rsidRPr="00D31F7C" w:rsidRDefault="00B10FA3">
      <w:pPr>
        <w:pStyle w:val="FootnoteText"/>
        <w:rPr>
          <w:rFonts w:ascii="Times New Roman" w:hAnsi="Times New Roman" w:cs="Times New Roman"/>
          <w:sz w:val="24"/>
          <w:szCs w:val="24"/>
        </w:rPr>
      </w:pPr>
      <w:r w:rsidRPr="00D31F7C">
        <w:rPr>
          <w:rStyle w:val="FootnoteReference"/>
          <w:rFonts w:ascii="Times New Roman" w:hAnsi="Times New Roman" w:cs="Times New Roman"/>
          <w:sz w:val="24"/>
          <w:szCs w:val="24"/>
        </w:rPr>
        <w:footnoteRef/>
      </w:r>
      <w:r w:rsidRPr="00D31F7C">
        <w:rPr>
          <w:rFonts w:ascii="Times New Roman" w:hAnsi="Times New Roman" w:cs="Times New Roman"/>
          <w:sz w:val="24"/>
          <w:szCs w:val="24"/>
        </w:rPr>
        <w:t xml:space="preserve"> Ibid, p. 176, 314.</w:t>
      </w:r>
    </w:p>
  </w:footnote>
  <w:footnote w:id="101">
    <w:p w14:paraId="0B038507" w14:textId="77777777" w:rsidR="00B10FA3" w:rsidRPr="00D31F7C" w:rsidRDefault="00B10FA3">
      <w:pPr>
        <w:pStyle w:val="FootnoteText"/>
        <w:rPr>
          <w:rFonts w:ascii="Times New Roman" w:hAnsi="Times New Roman" w:cs="Times New Roman"/>
          <w:sz w:val="24"/>
          <w:szCs w:val="24"/>
        </w:rPr>
      </w:pPr>
      <w:r w:rsidRPr="00D31F7C">
        <w:rPr>
          <w:rStyle w:val="FootnoteReference"/>
          <w:rFonts w:ascii="Times New Roman" w:hAnsi="Times New Roman" w:cs="Times New Roman"/>
          <w:sz w:val="24"/>
          <w:szCs w:val="24"/>
        </w:rPr>
        <w:footnoteRef/>
      </w:r>
      <w:r w:rsidRPr="00D31F7C">
        <w:rPr>
          <w:rFonts w:ascii="Times New Roman" w:hAnsi="Times New Roman" w:cs="Times New Roman"/>
          <w:sz w:val="24"/>
          <w:szCs w:val="24"/>
        </w:rPr>
        <w:t xml:space="preserve"> Thomas Frank, </w:t>
      </w:r>
      <w:r w:rsidRPr="00D31F7C">
        <w:rPr>
          <w:rFonts w:ascii="Times New Roman" w:hAnsi="Times New Roman" w:cs="Times New Roman"/>
          <w:i/>
          <w:iCs/>
          <w:sz w:val="24"/>
          <w:szCs w:val="24"/>
        </w:rPr>
        <w:t>Listen Liberal</w:t>
      </w:r>
      <w:r w:rsidRPr="00D31F7C">
        <w:rPr>
          <w:rFonts w:ascii="Times New Roman" w:hAnsi="Times New Roman" w:cs="Times New Roman"/>
          <w:sz w:val="24"/>
          <w:szCs w:val="24"/>
        </w:rPr>
        <w:t>, Metropolitan Books, p.3-15.</w:t>
      </w:r>
    </w:p>
  </w:footnote>
  <w:footnote w:id="102">
    <w:p w14:paraId="211311D8" w14:textId="77777777" w:rsidR="00B10FA3" w:rsidRPr="00D31F7C" w:rsidRDefault="00B10FA3">
      <w:pPr>
        <w:pStyle w:val="FootnoteText"/>
        <w:rPr>
          <w:rFonts w:ascii="Times New Roman" w:hAnsi="Times New Roman" w:cs="Times New Roman"/>
          <w:sz w:val="24"/>
          <w:szCs w:val="24"/>
        </w:rPr>
      </w:pPr>
      <w:r w:rsidRPr="00D31F7C">
        <w:rPr>
          <w:rStyle w:val="FootnoteReference"/>
          <w:rFonts w:ascii="Times New Roman" w:hAnsi="Times New Roman" w:cs="Times New Roman"/>
          <w:sz w:val="24"/>
          <w:szCs w:val="24"/>
        </w:rPr>
        <w:footnoteRef/>
      </w:r>
      <w:r w:rsidRPr="00D31F7C">
        <w:rPr>
          <w:rFonts w:ascii="Times New Roman" w:hAnsi="Times New Roman" w:cs="Times New Roman"/>
          <w:sz w:val="24"/>
          <w:szCs w:val="24"/>
        </w:rPr>
        <w:t xml:space="preserve"> Ibid, p. 22-25.</w:t>
      </w:r>
    </w:p>
  </w:footnote>
  <w:footnote w:id="103">
    <w:p w14:paraId="73A05D10" w14:textId="77777777" w:rsidR="00B10FA3" w:rsidRPr="00D31F7C" w:rsidRDefault="00B10FA3">
      <w:pPr>
        <w:pStyle w:val="FootnoteText"/>
        <w:rPr>
          <w:rFonts w:ascii="Times New Roman" w:hAnsi="Times New Roman" w:cs="Times New Roman"/>
          <w:sz w:val="24"/>
          <w:szCs w:val="24"/>
        </w:rPr>
      </w:pPr>
      <w:r w:rsidRPr="00D31F7C">
        <w:rPr>
          <w:rStyle w:val="FootnoteReference"/>
          <w:rFonts w:ascii="Times New Roman" w:hAnsi="Times New Roman" w:cs="Times New Roman"/>
          <w:sz w:val="24"/>
          <w:szCs w:val="24"/>
        </w:rPr>
        <w:footnoteRef/>
      </w:r>
      <w:r w:rsidRPr="00D31F7C">
        <w:rPr>
          <w:rFonts w:ascii="Times New Roman" w:hAnsi="Times New Roman" w:cs="Times New Roman"/>
          <w:sz w:val="24"/>
          <w:szCs w:val="24"/>
        </w:rPr>
        <w:t xml:space="preserve"> Walter Kravitz, March 3, 1986, Cannon House Office Bldg.</w:t>
      </w:r>
    </w:p>
  </w:footnote>
  <w:footnote w:id="104">
    <w:p w14:paraId="6A1F2798" w14:textId="77777777" w:rsidR="00B10FA3" w:rsidRPr="00D31F7C" w:rsidRDefault="00B10FA3">
      <w:pPr>
        <w:pStyle w:val="FootnoteText"/>
        <w:rPr>
          <w:rFonts w:ascii="Times New Roman" w:hAnsi="Times New Roman" w:cs="Times New Roman"/>
          <w:sz w:val="24"/>
          <w:szCs w:val="24"/>
        </w:rPr>
      </w:pPr>
      <w:r w:rsidRPr="00D31F7C">
        <w:rPr>
          <w:rStyle w:val="FootnoteReference"/>
          <w:rFonts w:ascii="Times New Roman" w:hAnsi="Times New Roman" w:cs="Times New Roman"/>
          <w:sz w:val="24"/>
          <w:szCs w:val="24"/>
        </w:rPr>
        <w:footnoteRef/>
      </w:r>
      <w:r w:rsidRPr="00D31F7C">
        <w:rPr>
          <w:rFonts w:ascii="Times New Roman" w:hAnsi="Times New Roman" w:cs="Times New Roman"/>
          <w:sz w:val="24"/>
          <w:szCs w:val="24"/>
        </w:rPr>
        <w:t xml:space="preserve"> Frank, </w:t>
      </w:r>
      <w:r w:rsidRPr="00D31F7C">
        <w:rPr>
          <w:rFonts w:ascii="Times New Roman" w:hAnsi="Times New Roman" w:cs="Times New Roman"/>
          <w:i/>
          <w:iCs/>
          <w:sz w:val="24"/>
          <w:szCs w:val="24"/>
        </w:rPr>
        <w:t>Listen Liberal</w:t>
      </w:r>
      <w:r w:rsidRPr="00D31F7C">
        <w:rPr>
          <w:rFonts w:ascii="Times New Roman" w:hAnsi="Times New Roman" w:cs="Times New Roman"/>
          <w:sz w:val="24"/>
          <w:szCs w:val="24"/>
        </w:rPr>
        <w:t>, p. 46.</w:t>
      </w:r>
    </w:p>
  </w:footnote>
  <w:footnote w:id="105">
    <w:p w14:paraId="483EEAEE" w14:textId="77777777" w:rsidR="00B10FA3" w:rsidRPr="00D31F7C" w:rsidRDefault="00B10FA3">
      <w:pPr>
        <w:pStyle w:val="FootnoteText"/>
        <w:rPr>
          <w:rFonts w:ascii="Times New Roman" w:hAnsi="Times New Roman" w:cs="Times New Roman"/>
          <w:sz w:val="24"/>
          <w:szCs w:val="24"/>
        </w:rPr>
      </w:pPr>
      <w:r w:rsidRPr="00D31F7C">
        <w:rPr>
          <w:rStyle w:val="FootnoteReference"/>
          <w:rFonts w:ascii="Times New Roman" w:hAnsi="Times New Roman" w:cs="Times New Roman"/>
          <w:sz w:val="24"/>
          <w:szCs w:val="24"/>
        </w:rPr>
        <w:footnoteRef/>
      </w:r>
      <w:r w:rsidRPr="00D31F7C">
        <w:rPr>
          <w:rFonts w:ascii="Times New Roman" w:hAnsi="Times New Roman" w:cs="Times New Roman"/>
          <w:sz w:val="24"/>
          <w:szCs w:val="24"/>
        </w:rPr>
        <w:t xml:space="preserve"> Ibid, p. 70-72</w:t>
      </w:r>
    </w:p>
  </w:footnote>
  <w:footnote w:id="106">
    <w:p w14:paraId="30C777D7" w14:textId="77777777" w:rsidR="00B10FA3" w:rsidRDefault="00B10FA3">
      <w:pPr>
        <w:pStyle w:val="FootnoteText"/>
      </w:pPr>
      <w:r w:rsidRPr="00D31F7C">
        <w:rPr>
          <w:rStyle w:val="FootnoteReference"/>
          <w:rFonts w:ascii="Times New Roman" w:hAnsi="Times New Roman" w:cs="Times New Roman"/>
          <w:sz w:val="24"/>
          <w:szCs w:val="24"/>
        </w:rPr>
        <w:footnoteRef/>
      </w:r>
      <w:r w:rsidRPr="00D31F7C">
        <w:rPr>
          <w:rFonts w:ascii="Times New Roman" w:hAnsi="Times New Roman" w:cs="Times New Roman"/>
          <w:sz w:val="24"/>
          <w:szCs w:val="24"/>
        </w:rPr>
        <w:t xml:space="preserve"> Ibid, p. 87.</w:t>
      </w:r>
    </w:p>
  </w:footnote>
  <w:footnote w:id="107">
    <w:p w14:paraId="6F4D429A" w14:textId="77777777" w:rsidR="00B10FA3" w:rsidRPr="00D31F7C" w:rsidRDefault="00B10FA3">
      <w:pPr>
        <w:pStyle w:val="FootnoteText"/>
        <w:rPr>
          <w:rFonts w:ascii="Times New Roman" w:hAnsi="Times New Roman" w:cs="Times New Roman"/>
          <w:i/>
          <w:iCs/>
          <w:sz w:val="24"/>
          <w:szCs w:val="24"/>
        </w:rPr>
      </w:pPr>
      <w:r w:rsidRPr="00D31F7C">
        <w:rPr>
          <w:rStyle w:val="FootnoteReference"/>
          <w:rFonts w:ascii="Times New Roman" w:hAnsi="Times New Roman" w:cs="Times New Roman"/>
          <w:sz w:val="24"/>
          <w:szCs w:val="24"/>
        </w:rPr>
        <w:footnoteRef/>
      </w:r>
      <w:r w:rsidRPr="00D31F7C">
        <w:rPr>
          <w:rFonts w:ascii="Times New Roman" w:hAnsi="Times New Roman" w:cs="Times New Roman"/>
          <w:sz w:val="24"/>
          <w:szCs w:val="24"/>
        </w:rPr>
        <w:t xml:space="preserve"> Stephen Ducat, </w:t>
      </w:r>
      <w:r w:rsidRPr="00D31F7C">
        <w:rPr>
          <w:rFonts w:ascii="Times New Roman" w:hAnsi="Times New Roman" w:cs="Times New Roman"/>
          <w:i/>
          <w:iCs/>
          <w:sz w:val="24"/>
          <w:szCs w:val="24"/>
        </w:rPr>
        <w:t>The Wimp Factor</w:t>
      </w:r>
      <w:r w:rsidRPr="00D31F7C">
        <w:rPr>
          <w:rFonts w:ascii="Times New Roman" w:hAnsi="Times New Roman" w:cs="Times New Roman"/>
          <w:sz w:val="24"/>
          <w:szCs w:val="24"/>
        </w:rPr>
        <w:t>, Beacon Press, Boston, MA, 2004, p. 36, 162, 172.</w:t>
      </w:r>
    </w:p>
  </w:footnote>
  <w:footnote w:id="108">
    <w:p w14:paraId="02010370" w14:textId="77777777" w:rsidR="00B10FA3" w:rsidRPr="00D31F7C" w:rsidRDefault="00B10FA3">
      <w:pPr>
        <w:pStyle w:val="FootnoteText"/>
        <w:rPr>
          <w:rFonts w:ascii="Times New Roman" w:hAnsi="Times New Roman" w:cs="Times New Roman"/>
          <w:sz w:val="24"/>
          <w:szCs w:val="24"/>
        </w:rPr>
      </w:pPr>
      <w:r w:rsidRPr="00D31F7C">
        <w:rPr>
          <w:rStyle w:val="FootnoteReference"/>
          <w:rFonts w:ascii="Times New Roman" w:hAnsi="Times New Roman" w:cs="Times New Roman"/>
          <w:sz w:val="24"/>
          <w:szCs w:val="24"/>
        </w:rPr>
        <w:footnoteRef/>
      </w:r>
      <w:r w:rsidRPr="00D31F7C">
        <w:rPr>
          <w:rFonts w:ascii="Times New Roman" w:hAnsi="Times New Roman" w:cs="Times New Roman"/>
          <w:sz w:val="24"/>
          <w:szCs w:val="24"/>
        </w:rPr>
        <w:t xml:space="preserve"> Ibid, p. 2513</w:t>
      </w:r>
    </w:p>
  </w:footnote>
  <w:footnote w:id="109">
    <w:p w14:paraId="7BED8BF7" w14:textId="66A6CD5A" w:rsidR="00B10FA3" w:rsidRPr="009572F1" w:rsidRDefault="00B10FA3">
      <w:pPr>
        <w:pStyle w:val="FootnoteText"/>
        <w:rPr>
          <w:sz w:val="24"/>
          <w:szCs w:val="24"/>
        </w:rPr>
      </w:pPr>
      <w:r w:rsidRPr="00D31F7C">
        <w:rPr>
          <w:rStyle w:val="FootnoteReference"/>
          <w:rFonts w:ascii="Times New Roman" w:hAnsi="Times New Roman" w:cs="Times New Roman"/>
          <w:sz w:val="24"/>
          <w:szCs w:val="24"/>
        </w:rPr>
        <w:footnoteRef/>
      </w:r>
      <w:r w:rsidRPr="00D31F7C">
        <w:rPr>
          <w:rFonts w:ascii="Times New Roman" w:hAnsi="Times New Roman" w:cs="Times New Roman"/>
          <w:sz w:val="24"/>
          <w:szCs w:val="24"/>
        </w:rPr>
        <w:t xml:space="preserve"> Chris Blazina, </w:t>
      </w:r>
      <w:r w:rsidRPr="00D31F7C">
        <w:rPr>
          <w:rFonts w:ascii="Times New Roman" w:hAnsi="Times New Roman" w:cs="Times New Roman"/>
          <w:i/>
          <w:iCs/>
          <w:sz w:val="24"/>
          <w:szCs w:val="24"/>
        </w:rPr>
        <w:t>The Fear of the Feminine in the Western Psyche</w:t>
      </w:r>
      <w:r w:rsidRPr="00D31F7C">
        <w:rPr>
          <w:rFonts w:ascii="Times New Roman" w:hAnsi="Times New Roman" w:cs="Times New Roman"/>
          <w:sz w:val="24"/>
          <w:szCs w:val="24"/>
        </w:rPr>
        <w:t>, The Journal of Men’s Studies, Fall, 1997, ps. 1-10</w:t>
      </w:r>
    </w:p>
  </w:footnote>
  <w:footnote w:id="110">
    <w:p w14:paraId="631F9058" w14:textId="77777777" w:rsidR="00B10FA3" w:rsidRPr="00D31F7C" w:rsidRDefault="00B10FA3">
      <w:pPr>
        <w:pStyle w:val="FootnoteText"/>
        <w:rPr>
          <w:rFonts w:ascii="Times New Roman" w:hAnsi="Times New Roman" w:cs="Times New Roman"/>
          <w:sz w:val="24"/>
          <w:szCs w:val="24"/>
        </w:rPr>
      </w:pPr>
      <w:r w:rsidRPr="00D31F7C">
        <w:rPr>
          <w:rStyle w:val="FootnoteReference"/>
          <w:rFonts w:ascii="Times New Roman" w:hAnsi="Times New Roman" w:cs="Times New Roman"/>
          <w:sz w:val="24"/>
          <w:szCs w:val="24"/>
        </w:rPr>
        <w:footnoteRef/>
      </w:r>
      <w:r w:rsidRPr="00D31F7C">
        <w:rPr>
          <w:rFonts w:ascii="Times New Roman" w:hAnsi="Times New Roman" w:cs="Times New Roman"/>
          <w:sz w:val="24"/>
          <w:szCs w:val="24"/>
        </w:rPr>
        <w:t xml:space="preserve"> Ibid.</w:t>
      </w:r>
    </w:p>
  </w:footnote>
  <w:footnote w:id="111">
    <w:p w14:paraId="4CF17C6D" w14:textId="77777777" w:rsidR="00B10FA3" w:rsidRPr="005510F5" w:rsidRDefault="00B10FA3">
      <w:pPr>
        <w:pStyle w:val="FootnoteText"/>
        <w:rPr>
          <w:sz w:val="24"/>
          <w:szCs w:val="24"/>
        </w:rPr>
      </w:pPr>
      <w:r w:rsidRPr="00D31F7C">
        <w:rPr>
          <w:rStyle w:val="FootnoteReference"/>
          <w:rFonts w:ascii="Times New Roman" w:hAnsi="Times New Roman" w:cs="Times New Roman"/>
          <w:sz w:val="24"/>
          <w:szCs w:val="24"/>
        </w:rPr>
        <w:footnoteRef/>
      </w:r>
      <w:r w:rsidRPr="00D31F7C">
        <w:rPr>
          <w:rFonts w:ascii="Times New Roman" w:hAnsi="Times New Roman" w:cs="Times New Roman"/>
          <w:sz w:val="24"/>
          <w:szCs w:val="24"/>
        </w:rPr>
        <w:t xml:space="preserve"> Ibid.</w:t>
      </w:r>
    </w:p>
  </w:footnote>
  <w:footnote w:id="112">
    <w:p w14:paraId="673F301F" w14:textId="77777777" w:rsidR="00B10FA3" w:rsidRPr="00D31F7C" w:rsidRDefault="00B10FA3">
      <w:pPr>
        <w:pStyle w:val="FootnoteText"/>
        <w:rPr>
          <w:rFonts w:ascii="Times New Roman" w:hAnsi="Times New Roman" w:cs="Times New Roman"/>
          <w:sz w:val="24"/>
          <w:szCs w:val="24"/>
        </w:rPr>
      </w:pPr>
      <w:r w:rsidRPr="00D31F7C">
        <w:rPr>
          <w:rStyle w:val="FootnoteReference"/>
          <w:rFonts w:ascii="Times New Roman" w:hAnsi="Times New Roman" w:cs="Times New Roman"/>
          <w:sz w:val="24"/>
          <w:szCs w:val="24"/>
        </w:rPr>
        <w:footnoteRef/>
      </w:r>
      <w:r w:rsidRPr="00D31F7C">
        <w:rPr>
          <w:rFonts w:ascii="Times New Roman" w:hAnsi="Times New Roman" w:cs="Times New Roman"/>
          <w:sz w:val="24"/>
          <w:szCs w:val="24"/>
        </w:rPr>
        <w:t xml:space="preserve"> Wiebke Kartheus, T</w:t>
      </w:r>
      <w:r w:rsidRPr="00D31F7C">
        <w:rPr>
          <w:rFonts w:ascii="Times New Roman" w:hAnsi="Times New Roman" w:cs="Times New Roman"/>
          <w:i/>
          <w:iCs/>
          <w:sz w:val="24"/>
          <w:szCs w:val="24"/>
        </w:rPr>
        <w:t>he Other as Projection Screen: Authenticating Heroic Masculinity in War-themed Heavy Metal Music Videos</w:t>
      </w:r>
      <w:r w:rsidRPr="00D31F7C">
        <w:rPr>
          <w:rFonts w:ascii="Times New Roman" w:hAnsi="Times New Roman" w:cs="Times New Roman"/>
          <w:sz w:val="24"/>
          <w:szCs w:val="24"/>
        </w:rPr>
        <w:t>. Metal Music Studies, vol. 1, issue 3, 9/15, p. 1-3.</w:t>
      </w:r>
    </w:p>
  </w:footnote>
  <w:footnote w:id="113">
    <w:p w14:paraId="7E25FCE2" w14:textId="77777777" w:rsidR="00B10FA3" w:rsidRPr="00580967" w:rsidRDefault="00B10FA3">
      <w:pPr>
        <w:pStyle w:val="FootnoteText"/>
        <w:rPr>
          <w:sz w:val="24"/>
          <w:szCs w:val="24"/>
        </w:rPr>
      </w:pPr>
      <w:r w:rsidRPr="00D31F7C">
        <w:rPr>
          <w:rStyle w:val="FootnoteReference"/>
          <w:rFonts w:ascii="Times New Roman" w:hAnsi="Times New Roman" w:cs="Times New Roman"/>
          <w:sz w:val="24"/>
          <w:szCs w:val="24"/>
        </w:rPr>
        <w:footnoteRef/>
      </w:r>
      <w:r w:rsidRPr="00D31F7C">
        <w:rPr>
          <w:rFonts w:ascii="Times New Roman" w:hAnsi="Times New Roman" w:cs="Times New Roman"/>
          <w:sz w:val="24"/>
          <w:szCs w:val="24"/>
        </w:rPr>
        <w:t xml:space="preserve"> Ibid, p. 2-3.</w:t>
      </w:r>
    </w:p>
  </w:footnote>
  <w:footnote w:id="114">
    <w:p w14:paraId="12637253" w14:textId="77777777" w:rsidR="00B10FA3" w:rsidRPr="00107E4C" w:rsidRDefault="00B10FA3">
      <w:pPr>
        <w:pStyle w:val="FootnoteText"/>
        <w:rPr>
          <w:rFonts w:ascii="Times New Roman" w:hAnsi="Times New Roman" w:cs="Times New Roman"/>
        </w:rPr>
      </w:pPr>
      <w:r w:rsidRPr="00107E4C">
        <w:rPr>
          <w:rStyle w:val="FootnoteReference"/>
          <w:rFonts w:ascii="Times New Roman" w:hAnsi="Times New Roman" w:cs="Times New Roman"/>
          <w:sz w:val="24"/>
          <w:szCs w:val="24"/>
        </w:rPr>
        <w:footnoteRef/>
      </w:r>
      <w:r w:rsidRPr="00107E4C">
        <w:rPr>
          <w:rFonts w:ascii="Times New Roman" w:hAnsi="Times New Roman" w:cs="Times New Roman"/>
          <w:sz w:val="24"/>
          <w:szCs w:val="24"/>
        </w:rPr>
        <w:t xml:space="preserve"> In fact, various groups in the US have used vulnerable groups, such as women and children, as propagandistic justification for oppression, promulgating conspiracies and racist tropes such as that black men wish to rape white women, that communists wish to change our children, that middle easterners aspire to introduce Sharia law, and that immigrants hope to overthrow American democratic values. These are not new themes.</w:t>
      </w:r>
    </w:p>
  </w:footnote>
  <w:footnote w:id="115">
    <w:p w14:paraId="0C259653" w14:textId="77777777" w:rsidR="00B10FA3" w:rsidRPr="00107E4C" w:rsidRDefault="00B10FA3">
      <w:pPr>
        <w:pStyle w:val="FootnoteText"/>
        <w:rPr>
          <w:rFonts w:ascii="Times New Roman" w:hAnsi="Times New Roman" w:cs="Times New Roman"/>
        </w:rPr>
      </w:pPr>
      <w:r w:rsidRPr="00107E4C">
        <w:rPr>
          <w:rStyle w:val="FootnoteReference"/>
          <w:rFonts w:ascii="Times New Roman" w:hAnsi="Times New Roman" w:cs="Times New Roman"/>
          <w:sz w:val="24"/>
          <w:szCs w:val="24"/>
        </w:rPr>
        <w:footnoteRef/>
      </w:r>
      <w:r w:rsidRPr="00107E4C">
        <w:rPr>
          <w:rFonts w:ascii="Times New Roman" w:hAnsi="Times New Roman" w:cs="Times New Roman"/>
          <w:sz w:val="24"/>
          <w:szCs w:val="24"/>
        </w:rPr>
        <w:t xml:space="preserve"> Stephen Ducat, </w:t>
      </w:r>
      <w:r w:rsidRPr="00107E4C">
        <w:rPr>
          <w:rFonts w:ascii="Times New Roman" w:hAnsi="Times New Roman" w:cs="Times New Roman"/>
          <w:i/>
          <w:iCs/>
          <w:sz w:val="24"/>
          <w:szCs w:val="24"/>
        </w:rPr>
        <w:t>The Wimp Factor</w:t>
      </w:r>
      <w:r w:rsidRPr="00107E4C">
        <w:rPr>
          <w:rFonts w:ascii="Times New Roman" w:hAnsi="Times New Roman" w:cs="Times New Roman"/>
          <w:sz w:val="24"/>
          <w:szCs w:val="24"/>
        </w:rPr>
        <w:t xml:space="preserve">, Beacon Press, Boston, MA, 2004, E-book, </w:t>
      </w:r>
      <w:proofErr w:type="spellStart"/>
      <w:r w:rsidRPr="00107E4C">
        <w:rPr>
          <w:rFonts w:ascii="Times New Roman" w:hAnsi="Times New Roman" w:cs="Times New Roman"/>
          <w:sz w:val="24"/>
          <w:szCs w:val="24"/>
        </w:rPr>
        <w:t>pps</w:t>
      </w:r>
      <w:proofErr w:type="spellEnd"/>
      <w:r w:rsidRPr="00107E4C">
        <w:rPr>
          <w:rFonts w:ascii="Times New Roman" w:hAnsi="Times New Roman" w:cs="Times New Roman"/>
          <w:sz w:val="24"/>
          <w:szCs w:val="24"/>
        </w:rPr>
        <w:t>. 2553-2598.</w:t>
      </w:r>
    </w:p>
  </w:footnote>
  <w:footnote w:id="116">
    <w:p w14:paraId="5601D493" w14:textId="75F165E4" w:rsidR="00B10FA3" w:rsidRPr="00211AE0" w:rsidRDefault="00B10FA3">
      <w:pPr>
        <w:pStyle w:val="FootnoteText"/>
        <w:rPr>
          <w:sz w:val="24"/>
          <w:szCs w:val="24"/>
        </w:rPr>
      </w:pPr>
      <w:r w:rsidRPr="00211AE0">
        <w:rPr>
          <w:rStyle w:val="FootnoteReference"/>
          <w:sz w:val="24"/>
          <w:szCs w:val="24"/>
        </w:rPr>
        <w:footnoteRef/>
      </w:r>
      <w:r w:rsidRPr="00211AE0">
        <w:rPr>
          <w:sz w:val="24"/>
          <w:szCs w:val="24"/>
        </w:rPr>
        <w:t xml:space="preserve"> Zachary J. Lechner, </w:t>
      </w:r>
      <w:r w:rsidRPr="00211AE0">
        <w:rPr>
          <w:i/>
          <w:iCs/>
          <w:sz w:val="24"/>
          <w:szCs w:val="24"/>
        </w:rPr>
        <w:t xml:space="preserve">The South of the Mind: American Imaginings of White </w:t>
      </w:r>
      <w:proofErr w:type="spellStart"/>
      <w:r w:rsidRPr="00211AE0">
        <w:rPr>
          <w:i/>
          <w:iCs/>
          <w:sz w:val="24"/>
          <w:szCs w:val="24"/>
        </w:rPr>
        <w:t>Souther</w:t>
      </w:r>
      <w:r w:rsidR="002D3073">
        <w:rPr>
          <w:i/>
          <w:iCs/>
          <w:sz w:val="24"/>
          <w:szCs w:val="24"/>
        </w:rPr>
        <w:t>n</w:t>
      </w:r>
      <w:r w:rsidRPr="00211AE0">
        <w:rPr>
          <w:i/>
          <w:iCs/>
          <w:sz w:val="24"/>
          <w:szCs w:val="24"/>
        </w:rPr>
        <w:t>ness</w:t>
      </w:r>
      <w:proofErr w:type="spellEnd"/>
      <w:r w:rsidRPr="00211AE0">
        <w:rPr>
          <w:i/>
          <w:iCs/>
          <w:sz w:val="24"/>
          <w:szCs w:val="24"/>
        </w:rPr>
        <w:t xml:space="preserve"> 1960-1980. </w:t>
      </w:r>
      <w:r w:rsidRPr="00211AE0">
        <w:rPr>
          <w:sz w:val="24"/>
          <w:szCs w:val="24"/>
        </w:rPr>
        <w:t xml:space="preserve">Athens: University of Georgia Press, 2018. p.962 in </w:t>
      </w:r>
      <w:r w:rsidRPr="00211AE0">
        <w:rPr>
          <w:i/>
          <w:iCs/>
          <w:sz w:val="24"/>
          <w:szCs w:val="24"/>
        </w:rPr>
        <w:t>The Journal of Southern History</w:t>
      </w:r>
      <w:r w:rsidRPr="00211AE0">
        <w:rPr>
          <w:sz w:val="24"/>
          <w:szCs w:val="24"/>
        </w:rPr>
        <w:t xml:space="preserve">, vol 85, no. 4, 2019. </w:t>
      </w:r>
    </w:p>
  </w:footnote>
  <w:footnote w:id="117">
    <w:p w14:paraId="1F44FF3E" w14:textId="77777777" w:rsidR="00B10FA3" w:rsidRDefault="00B10FA3">
      <w:pPr>
        <w:pStyle w:val="FootnoteText"/>
      </w:pPr>
      <w:r w:rsidRPr="00211AE0">
        <w:rPr>
          <w:rStyle w:val="FootnoteReference"/>
          <w:sz w:val="24"/>
          <w:szCs w:val="24"/>
        </w:rPr>
        <w:footnoteRef/>
      </w:r>
      <w:r w:rsidRPr="00211AE0">
        <w:rPr>
          <w:sz w:val="24"/>
          <w:szCs w:val="24"/>
        </w:rPr>
        <w:t xml:space="preserve"> Ibid, p. 963.</w:t>
      </w:r>
    </w:p>
  </w:footnote>
  <w:footnote w:id="118">
    <w:p w14:paraId="3500C052" w14:textId="77777777" w:rsidR="00B10FA3" w:rsidRPr="00E46EB1" w:rsidRDefault="00B10FA3">
      <w:pPr>
        <w:pStyle w:val="FootnoteText"/>
        <w:rPr>
          <w:sz w:val="24"/>
          <w:szCs w:val="24"/>
        </w:rPr>
      </w:pPr>
      <w:r w:rsidRPr="00E46EB1">
        <w:rPr>
          <w:rStyle w:val="FootnoteReference"/>
          <w:sz w:val="24"/>
          <w:szCs w:val="24"/>
        </w:rPr>
        <w:footnoteRef/>
      </w:r>
      <w:r w:rsidRPr="00E46EB1">
        <w:rPr>
          <w:sz w:val="24"/>
          <w:szCs w:val="24"/>
        </w:rPr>
        <w:t xml:space="preserve"> Seymour Martin Lipset and Earl Raab, </w:t>
      </w:r>
      <w:r w:rsidRPr="00E46EB1">
        <w:rPr>
          <w:i/>
          <w:iCs/>
          <w:sz w:val="24"/>
          <w:szCs w:val="24"/>
        </w:rPr>
        <w:t xml:space="preserve">The Politics of Unreason: Right Wing Extremism in America 1790-1970, </w:t>
      </w:r>
      <w:r w:rsidRPr="00E46EB1">
        <w:rPr>
          <w:sz w:val="24"/>
          <w:szCs w:val="24"/>
        </w:rPr>
        <w:t xml:space="preserve">Harper &amp; Row, New York, 1970, p. 4-6. </w:t>
      </w:r>
    </w:p>
  </w:footnote>
  <w:footnote w:id="119">
    <w:p w14:paraId="78DED89C" w14:textId="77777777" w:rsidR="00B10FA3" w:rsidRPr="005E32E5" w:rsidRDefault="00B10FA3">
      <w:pPr>
        <w:pStyle w:val="FootnoteText"/>
        <w:rPr>
          <w:sz w:val="24"/>
          <w:szCs w:val="24"/>
        </w:rPr>
      </w:pPr>
      <w:r w:rsidRPr="005E32E5">
        <w:rPr>
          <w:rStyle w:val="FootnoteReference"/>
          <w:sz w:val="24"/>
          <w:szCs w:val="24"/>
        </w:rPr>
        <w:footnoteRef/>
      </w:r>
      <w:r w:rsidRPr="005E32E5">
        <w:rPr>
          <w:sz w:val="24"/>
          <w:szCs w:val="24"/>
        </w:rPr>
        <w:t xml:space="preserve"> Ibid, p. 6.</w:t>
      </w:r>
    </w:p>
  </w:footnote>
  <w:footnote w:id="120">
    <w:p w14:paraId="1828DC2C" w14:textId="77777777" w:rsidR="00B10FA3" w:rsidRPr="00712D1C" w:rsidRDefault="00B10FA3">
      <w:pPr>
        <w:pStyle w:val="FootnoteText"/>
        <w:rPr>
          <w:sz w:val="24"/>
          <w:szCs w:val="24"/>
        </w:rPr>
      </w:pPr>
      <w:r w:rsidRPr="00712D1C">
        <w:rPr>
          <w:rStyle w:val="FootnoteReference"/>
          <w:sz w:val="24"/>
          <w:szCs w:val="24"/>
        </w:rPr>
        <w:footnoteRef/>
      </w:r>
      <w:r w:rsidRPr="00712D1C">
        <w:rPr>
          <w:sz w:val="24"/>
          <w:szCs w:val="24"/>
        </w:rPr>
        <w:t xml:space="preserve"> Ibid, p. 6.</w:t>
      </w:r>
    </w:p>
  </w:footnote>
  <w:footnote w:id="121">
    <w:p w14:paraId="194147D0" w14:textId="48DEC5DA" w:rsidR="00B10FA3" w:rsidRDefault="00B10FA3" w:rsidP="002D3073">
      <w:pPr>
        <w:spacing w:before="100" w:beforeAutospacing="1" w:after="100" w:afterAutospacing="1" w:line="240" w:lineRule="auto"/>
      </w:pPr>
      <w:r>
        <w:rPr>
          <w:rStyle w:val="FootnoteReference"/>
        </w:rPr>
        <w:footnoteRef/>
      </w:r>
      <w:r>
        <w:t xml:space="preserve"> Alan Barry Marks, </w:t>
      </w:r>
      <w:r>
        <w:rPr>
          <w:rStyle w:val="reference-text"/>
        </w:rPr>
        <w:t>Bernays, "</w:t>
      </w:r>
      <w:r w:rsidRPr="00830F3C">
        <w:rPr>
          <w:rStyle w:val="reference-text"/>
          <w:i/>
          <w:iCs/>
        </w:rPr>
        <w:t>The Minority Rules</w:t>
      </w:r>
      <w:r>
        <w:rPr>
          <w:rStyle w:val="reference-text"/>
        </w:rPr>
        <w:t xml:space="preserve">" (1927), pp. 150, 151; cited in Marks (1957), p. 116. </w:t>
      </w:r>
    </w:p>
  </w:footnote>
  <w:footnote w:id="122">
    <w:p w14:paraId="786CAAEF" w14:textId="77777777" w:rsidR="00B10FA3" w:rsidRPr="00E6034E" w:rsidRDefault="00B10FA3">
      <w:pPr>
        <w:pStyle w:val="FootnoteText"/>
        <w:rPr>
          <w:sz w:val="24"/>
          <w:szCs w:val="24"/>
        </w:rPr>
      </w:pPr>
      <w:r w:rsidRPr="00E6034E">
        <w:rPr>
          <w:rStyle w:val="FootnoteReference"/>
          <w:sz w:val="24"/>
          <w:szCs w:val="24"/>
        </w:rPr>
        <w:footnoteRef/>
      </w:r>
      <w:r w:rsidRPr="00E6034E">
        <w:rPr>
          <w:sz w:val="24"/>
          <w:szCs w:val="24"/>
        </w:rPr>
        <w:t xml:space="preserve"> Ibid</w:t>
      </w:r>
      <w:r>
        <w:rPr>
          <w:sz w:val="24"/>
          <w:szCs w:val="24"/>
        </w:rPr>
        <w:t>, p. 152.</w:t>
      </w:r>
    </w:p>
  </w:footnote>
  <w:footnote w:id="123">
    <w:p w14:paraId="7BE691C0" w14:textId="77777777" w:rsidR="00B10FA3" w:rsidRPr="009025D1" w:rsidRDefault="00B10FA3">
      <w:pPr>
        <w:pStyle w:val="FootnoteText"/>
        <w:rPr>
          <w:sz w:val="24"/>
          <w:szCs w:val="24"/>
        </w:rPr>
      </w:pPr>
      <w:r w:rsidRPr="004D2B79">
        <w:rPr>
          <w:rStyle w:val="FootnoteReference"/>
          <w:sz w:val="24"/>
          <w:szCs w:val="24"/>
        </w:rPr>
        <w:footnoteRef/>
      </w:r>
      <w:r w:rsidRPr="004D2B79">
        <w:rPr>
          <w:sz w:val="24"/>
          <w:szCs w:val="24"/>
        </w:rPr>
        <w:t xml:space="preserve"> </w:t>
      </w:r>
      <w:r w:rsidRPr="009025D1">
        <w:rPr>
          <w:sz w:val="24"/>
          <w:szCs w:val="24"/>
        </w:rPr>
        <w:t xml:space="preserve">Noam Chomsky, </w:t>
      </w:r>
      <w:r w:rsidRPr="009025D1">
        <w:rPr>
          <w:i/>
          <w:iCs/>
          <w:sz w:val="24"/>
          <w:szCs w:val="24"/>
        </w:rPr>
        <w:t>Quotations</w:t>
      </w:r>
      <w:r w:rsidRPr="009025D1">
        <w:rPr>
          <w:sz w:val="24"/>
          <w:szCs w:val="24"/>
        </w:rPr>
        <w:t>, as excerpted from Media Control, 2002: https://chomsky.info/mediacontrol03/.</w:t>
      </w:r>
    </w:p>
  </w:footnote>
  <w:footnote w:id="124">
    <w:p w14:paraId="57726790" w14:textId="77777777" w:rsidR="00B10FA3" w:rsidRPr="009025D1" w:rsidRDefault="00B10FA3">
      <w:pPr>
        <w:pStyle w:val="FootnoteText"/>
        <w:rPr>
          <w:i/>
          <w:iCs/>
          <w:sz w:val="24"/>
          <w:szCs w:val="24"/>
        </w:rPr>
      </w:pPr>
      <w:r w:rsidRPr="009025D1">
        <w:rPr>
          <w:rStyle w:val="FootnoteReference"/>
          <w:sz w:val="24"/>
          <w:szCs w:val="24"/>
        </w:rPr>
        <w:footnoteRef/>
      </w:r>
      <w:r w:rsidRPr="009025D1">
        <w:rPr>
          <w:sz w:val="24"/>
          <w:szCs w:val="24"/>
        </w:rPr>
        <w:t xml:space="preserve"> Marks, </w:t>
      </w:r>
      <w:r w:rsidRPr="009025D1">
        <w:rPr>
          <w:i/>
          <w:iCs/>
          <w:sz w:val="24"/>
          <w:szCs w:val="24"/>
        </w:rPr>
        <w:t>The Minority Rules, p. 116.</w:t>
      </w:r>
    </w:p>
  </w:footnote>
  <w:footnote w:id="125">
    <w:p w14:paraId="5AFBE00B" w14:textId="77777777" w:rsidR="00B10FA3" w:rsidRDefault="00B10FA3" w:rsidP="009025D1">
      <w:pPr>
        <w:pStyle w:val="FootnoteText"/>
      </w:pPr>
      <w:r w:rsidRPr="009025D1">
        <w:rPr>
          <w:rStyle w:val="FootnoteReference"/>
          <w:sz w:val="24"/>
          <w:szCs w:val="24"/>
        </w:rPr>
        <w:footnoteRef/>
      </w:r>
      <w:r w:rsidRPr="009025D1">
        <w:rPr>
          <w:sz w:val="24"/>
          <w:szCs w:val="24"/>
        </w:rPr>
        <w:t xml:space="preserve"> Frank W. Elwell, </w:t>
      </w:r>
      <w:r w:rsidRPr="009025D1">
        <w:rPr>
          <w:i/>
          <w:iCs/>
          <w:sz w:val="24"/>
          <w:szCs w:val="24"/>
        </w:rPr>
        <w:t>C. Wright Mills on White Collar, htt</w:t>
      </w:r>
      <w:r w:rsidRPr="009025D1">
        <w:rPr>
          <w:sz w:val="24"/>
          <w:szCs w:val="24"/>
        </w:rPr>
        <w:t>ps://www.faculty.rsu.edu/users/f/felwell/www/Theorists/Essays/Mills1.htm</w:t>
      </w:r>
    </w:p>
  </w:footnote>
  <w:footnote w:id="126">
    <w:p w14:paraId="0BCEF2F2" w14:textId="77777777" w:rsidR="00B10FA3" w:rsidRPr="008F0CF2" w:rsidRDefault="00B10FA3">
      <w:pPr>
        <w:pStyle w:val="FootnoteText"/>
        <w:rPr>
          <w:sz w:val="24"/>
          <w:szCs w:val="24"/>
        </w:rPr>
      </w:pPr>
      <w:r w:rsidRPr="008F0CF2">
        <w:rPr>
          <w:rStyle w:val="FootnoteReference"/>
          <w:sz w:val="24"/>
          <w:szCs w:val="24"/>
        </w:rPr>
        <w:footnoteRef/>
      </w:r>
      <w:r w:rsidRPr="008F0CF2">
        <w:rPr>
          <w:sz w:val="24"/>
          <w:szCs w:val="24"/>
        </w:rPr>
        <w:t xml:space="preserve"> </w:t>
      </w:r>
      <w:proofErr w:type="spellStart"/>
      <w:r>
        <w:rPr>
          <w:sz w:val="24"/>
          <w:szCs w:val="24"/>
        </w:rPr>
        <w:t>Lipset</w:t>
      </w:r>
      <w:proofErr w:type="spellEnd"/>
      <w:r w:rsidRPr="008F0CF2">
        <w:rPr>
          <w:sz w:val="24"/>
          <w:szCs w:val="24"/>
        </w:rPr>
        <w:t>, p. 9.</w:t>
      </w:r>
    </w:p>
  </w:footnote>
  <w:footnote w:id="127">
    <w:p w14:paraId="1D4AE570" w14:textId="77777777" w:rsidR="00B10FA3" w:rsidRPr="001A0E8B" w:rsidRDefault="00B10FA3">
      <w:pPr>
        <w:pStyle w:val="FootnoteText"/>
        <w:rPr>
          <w:sz w:val="24"/>
          <w:szCs w:val="24"/>
          <w:vertAlign w:val="subscript"/>
        </w:rPr>
      </w:pPr>
      <w:r w:rsidRPr="001A0E8B">
        <w:rPr>
          <w:rStyle w:val="FootnoteReference"/>
          <w:sz w:val="24"/>
          <w:szCs w:val="24"/>
        </w:rPr>
        <w:footnoteRef/>
      </w:r>
      <w:r w:rsidRPr="001A0E8B">
        <w:rPr>
          <w:sz w:val="24"/>
          <w:szCs w:val="24"/>
        </w:rPr>
        <w:t xml:space="preserve"> </w:t>
      </w:r>
      <w:proofErr w:type="spellStart"/>
      <w:r w:rsidRPr="001A0E8B">
        <w:rPr>
          <w:sz w:val="24"/>
          <w:szCs w:val="24"/>
        </w:rPr>
        <w:t>Lipset</w:t>
      </w:r>
      <w:proofErr w:type="spellEnd"/>
      <w:r w:rsidRPr="001A0E8B">
        <w:rPr>
          <w:sz w:val="24"/>
          <w:szCs w:val="24"/>
        </w:rPr>
        <w:t>, p.10</w:t>
      </w:r>
    </w:p>
  </w:footnote>
  <w:footnote w:id="128">
    <w:p w14:paraId="5D50C404" w14:textId="77777777" w:rsidR="00B10FA3" w:rsidRPr="00577373" w:rsidRDefault="00B10FA3">
      <w:pPr>
        <w:pStyle w:val="FootnoteText"/>
        <w:rPr>
          <w:sz w:val="24"/>
          <w:szCs w:val="24"/>
        </w:rPr>
      </w:pPr>
      <w:r w:rsidRPr="00577373">
        <w:rPr>
          <w:rStyle w:val="FootnoteReference"/>
          <w:sz w:val="24"/>
          <w:szCs w:val="24"/>
        </w:rPr>
        <w:footnoteRef/>
      </w:r>
      <w:r w:rsidRPr="00577373">
        <w:rPr>
          <w:sz w:val="24"/>
          <w:szCs w:val="24"/>
        </w:rPr>
        <w:t xml:space="preserve"> </w:t>
      </w:r>
      <w:r w:rsidRPr="00577373">
        <w:rPr>
          <w:i/>
          <w:iCs/>
          <w:sz w:val="24"/>
          <w:szCs w:val="24"/>
        </w:rPr>
        <w:t>The Guardian</w:t>
      </w:r>
      <w:r w:rsidRPr="00577373">
        <w:rPr>
          <w:sz w:val="24"/>
          <w:szCs w:val="24"/>
        </w:rPr>
        <w:t>, 10/15/2017, “Fantasyland</w:t>
      </w:r>
      <w:r>
        <w:rPr>
          <w:sz w:val="24"/>
          <w:szCs w:val="24"/>
        </w:rPr>
        <w:t xml:space="preserve"> by Kurt Anderson Review: The Decline of America.”</w:t>
      </w:r>
      <w:r w:rsidRPr="00577373">
        <w:rPr>
          <w:sz w:val="24"/>
          <w:szCs w:val="24"/>
        </w:rPr>
        <w:t xml:space="preserve"> </w:t>
      </w:r>
    </w:p>
  </w:footnote>
  <w:footnote w:id="129">
    <w:p w14:paraId="7E7CAE7B" w14:textId="77777777" w:rsidR="00B10FA3" w:rsidRPr="0049584C" w:rsidRDefault="00B10FA3">
      <w:pPr>
        <w:pStyle w:val="FootnoteText"/>
        <w:rPr>
          <w:sz w:val="24"/>
          <w:szCs w:val="24"/>
          <w:lang w:val="de-DE"/>
        </w:rPr>
      </w:pPr>
      <w:r w:rsidRPr="007E05D2">
        <w:rPr>
          <w:rStyle w:val="FootnoteReference"/>
          <w:sz w:val="24"/>
          <w:szCs w:val="24"/>
        </w:rPr>
        <w:footnoteRef/>
      </w:r>
      <w:r w:rsidRPr="0049584C">
        <w:rPr>
          <w:sz w:val="24"/>
          <w:szCs w:val="24"/>
          <w:lang w:val="de-DE"/>
        </w:rPr>
        <w:t xml:space="preserve"> </w:t>
      </w:r>
      <w:proofErr w:type="spellStart"/>
      <w:r w:rsidRPr="0049584C">
        <w:rPr>
          <w:sz w:val="24"/>
          <w:szCs w:val="24"/>
          <w:lang w:val="de-DE"/>
        </w:rPr>
        <w:t>Ibid</w:t>
      </w:r>
      <w:proofErr w:type="spellEnd"/>
      <w:r w:rsidRPr="0049584C">
        <w:rPr>
          <w:sz w:val="24"/>
          <w:szCs w:val="24"/>
          <w:lang w:val="de-DE"/>
        </w:rPr>
        <w:t>, p. 12-13.</w:t>
      </w:r>
    </w:p>
  </w:footnote>
  <w:footnote w:id="130">
    <w:p w14:paraId="103EAD82" w14:textId="77777777" w:rsidR="00B10FA3" w:rsidRPr="0049584C" w:rsidRDefault="00B10FA3">
      <w:pPr>
        <w:pStyle w:val="FootnoteText"/>
        <w:rPr>
          <w:sz w:val="24"/>
          <w:szCs w:val="24"/>
          <w:lang w:val="de-DE"/>
        </w:rPr>
      </w:pPr>
      <w:r w:rsidRPr="004C016F">
        <w:rPr>
          <w:rStyle w:val="FootnoteReference"/>
          <w:sz w:val="24"/>
          <w:szCs w:val="24"/>
        </w:rPr>
        <w:footnoteRef/>
      </w:r>
      <w:r w:rsidRPr="0049584C">
        <w:rPr>
          <w:sz w:val="24"/>
          <w:szCs w:val="24"/>
          <w:lang w:val="de-DE"/>
        </w:rPr>
        <w:t xml:space="preserve"> Richard Hofstadter, </w:t>
      </w:r>
      <w:r w:rsidRPr="0049584C">
        <w:rPr>
          <w:i/>
          <w:iCs/>
          <w:sz w:val="24"/>
          <w:szCs w:val="24"/>
          <w:lang w:val="de-DE"/>
        </w:rPr>
        <w:t>Harpers Magazine</w:t>
      </w:r>
      <w:r w:rsidRPr="0049584C">
        <w:rPr>
          <w:sz w:val="24"/>
          <w:szCs w:val="24"/>
          <w:lang w:val="de-DE"/>
        </w:rPr>
        <w:t>,  https://harpers.org/archive/1964/11/the-paranoid-style-in-american-politics/.</w:t>
      </w:r>
    </w:p>
  </w:footnote>
  <w:footnote w:id="131">
    <w:p w14:paraId="4F92FB6A" w14:textId="77777777" w:rsidR="00B10FA3" w:rsidRDefault="00B10FA3">
      <w:pPr>
        <w:pStyle w:val="FootnoteText"/>
      </w:pPr>
      <w:r w:rsidRPr="004C016F">
        <w:rPr>
          <w:rStyle w:val="FootnoteReference"/>
          <w:sz w:val="24"/>
          <w:szCs w:val="24"/>
        </w:rPr>
        <w:footnoteRef/>
      </w:r>
      <w:r w:rsidRPr="004C016F">
        <w:rPr>
          <w:sz w:val="24"/>
          <w:szCs w:val="24"/>
        </w:rPr>
        <w:t xml:space="preserve"> Richard Hofstadter, </w:t>
      </w:r>
      <w:r w:rsidRPr="004C016F">
        <w:rPr>
          <w:i/>
          <w:iCs/>
          <w:sz w:val="24"/>
          <w:szCs w:val="24"/>
        </w:rPr>
        <w:t>The Paranoid Style in American Politics</w:t>
      </w:r>
      <w:r w:rsidRPr="004C016F">
        <w:rPr>
          <w:sz w:val="24"/>
          <w:szCs w:val="24"/>
        </w:rPr>
        <w:t>. New York, 1965. Knopf, p. 14.</w:t>
      </w:r>
    </w:p>
  </w:footnote>
  <w:footnote w:id="132">
    <w:p w14:paraId="54C3EB45" w14:textId="77777777" w:rsidR="00B10FA3" w:rsidRPr="00F70DEA" w:rsidRDefault="00B10FA3">
      <w:pPr>
        <w:pStyle w:val="FootnoteText"/>
        <w:rPr>
          <w:sz w:val="24"/>
          <w:szCs w:val="24"/>
        </w:rPr>
      </w:pPr>
      <w:r w:rsidRPr="00F70DEA">
        <w:rPr>
          <w:rStyle w:val="FootnoteReference"/>
          <w:sz w:val="24"/>
          <w:szCs w:val="24"/>
        </w:rPr>
        <w:footnoteRef/>
      </w:r>
      <w:r w:rsidRPr="00F70DEA">
        <w:rPr>
          <w:sz w:val="24"/>
          <w:szCs w:val="24"/>
        </w:rPr>
        <w:t xml:space="preserve"> Karl Popper, </w:t>
      </w:r>
      <w:r w:rsidRPr="00F70DEA">
        <w:rPr>
          <w:i/>
          <w:iCs/>
          <w:sz w:val="24"/>
          <w:szCs w:val="24"/>
        </w:rPr>
        <w:t>Critiques of Classical Theories of History</w:t>
      </w:r>
      <w:r w:rsidRPr="00F70DEA">
        <w:rPr>
          <w:sz w:val="24"/>
          <w:szCs w:val="24"/>
        </w:rPr>
        <w:t xml:space="preserve">, in Patrick Gardiner, ed., </w:t>
      </w:r>
      <w:r w:rsidRPr="00F70DEA">
        <w:rPr>
          <w:i/>
          <w:iCs/>
          <w:sz w:val="24"/>
          <w:szCs w:val="24"/>
        </w:rPr>
        <w:t>Theories of History</w:t>
      </w:r>
      <w:r w:rsidRPr="00F70DEA">
        <w:rPr>
          <w:sz w:val="24"/>
          <w:szCs w:val="24"/>
        </w:rPr>
        <w:t xml:space="preserve"> (Glencoe The Free Press, 1959), p. 282.</w:t>
      </w:r>
    </w:p>
  </w:footnote>
  <w:footnote w:id="133">
    <w:p w14:paraId="7B25A721" w14:textId="77777777" w:rsidR="00B10FA3" w:rsidRPr="007F1AD6" w:rsidRDefault="00B10FA3">
      <w:pPr>
        <w:pStyle w:val="FootnoteText"/>
        <w:rPr>
          <w:sz w:val="24"/>
          <w:szCs w:val="24"/>
        </w:rPr>
      </w:pPr>
      <w:r w:rsidRPr="007F1AD6">
        <w:rPr>
          <w:rStyle w:val="FootnoteReference"/>
          <w:sz w:val="24"/>
          <w:szCs w:val="24"/>
        </w:rPr>
        <w:footnoteRef/>
      </w:r>
      <w:r w:rsidRPr="007F1AD6">
        <w:rPr>
          <w:sz w:val="24"/>
          <w:szCs w:val="24"/>
        </w:rPr>
        <w:t xml:space="preserve"> </w:t>
      </w:r>
      <w:proofErr w:type="spellStart"/>
      <w:r w:rsidRPr="007F1AD6">
        <w:rPr>
          <w:sz w:val="24"/>
          <w:szCs w:val="24"/>
        </w:rPr>
        <w:t>Lipset</w:t>
      </w:r>
      <w:proofErr w:type="spellEnd"/>
      <w:r w:rsidRPr="007F1AD6">
        <w:rPr>
          <w:sz w:val="24"/>
          <w:szCs w:val="24"/>
        </w:rPr>
        <w:t>, p. 19-21.</w:t>
      </w:r>
    </w:p>
  </w:footnote>
  <w:footnote w:id="134">
    <w:p w14:paraId="6E89A0DC" w14:textId="77777777" w:rsidR="00B10FA3" w:rsidRDefault="00B10FA3">
      <w:pPr>
        <w:pStyle w:val="FootnoteText"/>
        <w:rPr>
          <w:sz w:val="24"/>
          <w:szCs w:val="24"/>
        </w:rPr>
      </w:pPr>
      <w:r w:rsidRPr="007F1AD6">
        <w:rPr>
          <w:rStyle w:val="FootnoteReference"/>
          <w:sz w:val="24"/>
          <w:szCs w:val="24"/>
        </w:rPr>
        <w:footnoteRef/>
      </w:r>
      <w:r w:rsidRPr="007F1AD6">
        <w:rPr>
          <w:sz w:val="24"/>
          <w:szCs w:val="24"/>
        </w:rPr>
        <w:t xml:space="preserve"> Ibid, p. 19.</w:t>
      </w:r>
    </w:p>
    <w:p w14:paraId="30ED0C23" w14:textId="77777777" w:rsidR="00B10FA3" w:rsidRDefault="00B10FA3">
      <w:pPr>
        <w:pStyle w:val="FootnoteText"/>
        <w:rPr>
          <w:sz w:val="24"/>
          <w:szCs w:val="24"/>
        </w:rPr>
      </w:pPr>
    </w:p>
    <w:p w14:paraId="10F76A11" w14:textId="77777777" w:rsidR="00B10FA3" w:rsidRDefault="00B10FA3">
      <w:pPr>
        <w:pStyle w:val="FootnoteText"/>
      </w:pPr>
    </w:p>
  </w:footnote>
  <w:footnote w:id="135">
    <w:p w14:paraId="7EACCF5C" w14:textId="77777777" w:rsidR="00B10FA3" w:rsidRPr="007914A9" w:rsidRDefault="00B10FA3">
      <w:pPr>
        <w:pStyle w:val="FootnoteText"/>
        <w:rPr>
          <w:sz w:val="24"/>
          <w:szCs w:val="24"/>
        </w:rPr>
      </w:pPr>
      <w:r w:rsidRPr="007914A9">
        <w:rPr>
          <w:rStyle w:val="FootnoteReference"/>
          <w:sz w:val="24"/>
          <w:szCs w:val="24"/>
        </w:rPr>
        <w:footnoteRef/>
      </w:r>
      <w:r w:rsidRPr="007914A9">
        <w:rPr>
          <w:sz w:val="24"/>
          <w:szCs w:val="24"/>
        </w:rPr>
        <w:t xml:space="preserve"> </w:t>
      </w:r>
      <w:proofErr w:type="spellStart"/>
      <w:r w:rsidRPr="007914A9">
        <w:rPr>
          <w:sz w:val="24"/>
          <w:szCs w:val="24"/>
        </w:rPr>
        <w:t>Lipset</w:t>
      </w:r>
      <w:proofErr w:type="spellEnd"/>
      <w:r w:rsidRPr="007914A9">
        <w:rPr>
          <w:sz w:val="24"/>
          <w:szCs w:val="24"/>
        </w:rPr>
        <w:t>, p. 27.</w:t>
      </w:r>
    </w:p>
  </w:footnote>
  <w:footnote w:id="136">
    <w:p w14:paraId="469BFDAC" w14:textId="77777777" w:rsidR="00B10FA3" w:rsidRPr="00CE05C2" w:rsidRDefault="00B10FA3">
      <w:pPr>
        <w:pStyle w:val="FootnoteText"/>
        <w:rPr>
          <w:sz w:val="24"/>
          <w:szCs w:val="24"/>
        </w:rPr>
      </w:pPr>
      <w:r w:rsidRPr="00CE05C2">
        <w:rPr>
          <w:rStyle w:val="FootnoteReference"/>
          <w:sz w:val="24"/>
          <w:szCs w:val="24"/>
        </w:rPr>
        <w:footnoteRef/>
      </w:r>
      <w:r w:rsidRPr="00CE05C2">
        <w:rPr>
          <w:sz w:val="24"/>
          <w:szCs w:val="24"/>
        </w:rPr>
        <w:t xml:space="preserve"> </w:t>
      </w:r>
      <w:proofErr w:type="spellStart"/>
      <w:r w:rsidRPr="00CE05C2">
        <w:rPr>
          <w:sz w:val="24"/>
          <w:szCs w:val="24"/>
        </w:rPr>
        <w:t>Lipset</w:t>
      </w:r>
      <w:proofErr w:type="spellEnd"/>
      <w:r w:rsidRPr="00CE05C2">
        <w:rPr>
          <w:sz w:val="24"/>
          <w:szCs w:val="24"/>
        </w:rPr>
        <w:t>, p. 227</w:t>
      </w:r>
    </w:p>
  </w:footnote>
  <w:footnote w:id="137">
    <w:p w14:paraId="494AC6C8" w14:textId="7A24FDA8" w:rsidR="00B10FA3" w:rsidRPr="00981720" w:rsidRDefault="00B10FA3">
      <w:pPr>
        <w:pStyle w:val="FootnoteText"/>
        <w:rPr>
          <w:sz w:val="24"/>
          <w:szCs w:val="24"/>
        </w:rPr>
      </w:pPr>
      <w:r w:rsidRPr="00981720">
        <w:rPr>
          <w:rStyle w:val="FootnoteReference"/>
          <w:sz w:val="24"/>
          <w:szCs w:val="24"/>
        </w:rPr>
        <w:footnoteRef/>
      </w:r>
      <w:r w:rsidRPr="00981720">
        <w:rPr>
          <w:sz w:val="24"/>
          <w:szCs w:val="24"/>
        </w:rPr>
        <w:t xml:space="preserve"> La</w:t>
      </w:r>
      <w:r w:rsidR="002D3073">
        <w:rPr>
          <w:sz w:val="24"/>
          <w:szCs w:val="24"/>
        </w:rPr>
        <w:t xml:space="preserve"> </w:t>
      </w:r>
      <w:r w:rsidRPr="00981720">
        <w:rPr>
          <w:sz w:val="24"/>
          <w:szCs w:val="24"/>
        </w:rPr>
        <w:t xml:space="preserve">Keshia N. Myers, Milwaukee Courier, </w:t>
      </w:r>
      <w:r w:rsidRPr="00981720">
        <w:rPr>
          <w:i/>
          <w:iCs/>
          <w:sz w:val="24"/>
          <w:szCs w:val="24"/>
        </w:rPr>
        <w:t>The Spirit of Lee Atwater Lingers Among Us.</w:t>
      </w:r>
      <w:r w:rsidRPr="00981720">
        <w:rPr>
          <w:sz w:val="24"/>
          <w:szCs w:val="24"/>
        </w:rPr>
        <w:t xml:space="preserve"> https://milwaukeecourieronline.com/index.php/2021/08/13/the-spirit-of-lee-atwater-lingers-among-us-how-critical-race-theory-became-the-gops-new-southern-strategy/</w:t>
      </w:r>
    </w:p>
  </w:footnote>
  <w:footnote w:id="138">
    <w:p w14:paraId="54B8CC8F" w14:textId="782404C6" w:rsidR="00B10FA3" w:rsidRPr="00AD2811" w:rsidRDefault="00B10FA3" w:rsidP="007E392C">
      <w:pPr>
        <w:pStyle w:val="FootnoteText"/>
        <w:spacing w:after="100"/>
        <w:ind w:left="0" w:right="57"/>
      </w:pPr>
      <w:r w:rsidRPr="00981720">
        <w:rPr>
          <w:rStyle w:val="FootnoteReference"/>
          <w:sz w:val="24"/>
          <w:szCs w:val="24"/>
        </w:rPr>
        <w:footnoteRef/>
      </w:r>
      <w:r w:rsidRPr="00981720">
        <w:rPr>
          <w:sz w:val="24"/>
          <w:szCs w:val="24"/>
        </w:rPr>
        <w:t xml:space="preserve"> One can refer back to the Cold War when US anti-communist policies and ideology often ‘found’ an enemy or evil where none existed; only to exacerbate an otherwise diplomatic situation into a radicalized one. Witness Ho Chi Minh’s efforts early in the Vietnam conflict to reach out to the US for assistance in fighting the French in the name of revolution, American style. Or the fact that Fidel Castro was not a Communist when he took power; only after the US showed hostility to Cuba was he radicalized and then thrown into the hands of the Soviet Union. Or the Shah of Iran, supported and coddled by the US as he terrorized his population, only to give way to a radical Islamist theocracy, under the Ayatollah Khome</w:t>
      </w:r>
      <w:r w:rsidR="002D3073">
        <w:rPr>
          <w:sz w:val="24"/>
          <w:szCs w:val="24"/>
        </w:rPr>
        <w:t>i</w:t>
      </w:r>
      <w:r w:rsidRPr="00981720">
        <w:rPr>
          <w:sz w:val="24"/>
          <w:szCs w:val="24"/>
        </w:rPr>
        <w:t xml:space="preserve">ni. Sometimes, the distortion of reality rebounds to create </w:t>
      </w:r>
      <w:r w:rsidRPr="00981720">
        <w:rPr>
          <w:i/>
          <w:iCs/>
          <w:sz w:val="24"/>
          <w:szCs w:val="24"/>
        </w:rPr>
        <w:t>in reality</w:t>
      </w:r>
      <w:r w:rsidRPr="00981720">
        <w:rPr>
          <w:sz w:val="24"/>
          <w:szCs w:val="24"/>
        </w:rPr>
        <w:t xml:space="preserve"> the very condition and danger that it had hoped to avoid.</w:t>
      </w:r>
    </w:p>
  </w:footnote>
  <w:footnote w:id="139">
    <w:p w14:paraId="508C64FD" w14:textId="77777777" w:rsidR="00B10FA3" w:rsidRPr="007E392C" w:rsidRDefault="00B10FA3">
      <w:pPr>
        <w:pStyle w:val="FootnoteText"/>
        <w:rPr>
          <w:sz w:val="24"/>
          <w:szCs w:val="24"/>
          <w:lang w:val="en-US"/>
        </w:rPr>
      </w:pPr>
      <w:r w:rsidRPr="007E392C">
        <w:rPr>
          <w:rStyle w:val="FootnoteReference"/>
          <w:sz w:val="24"/>
          <w:szCs w:val="24"/>
        </w:rPr>
        <w:footnoteRef/>
      </w:r>
      <w:r w:rsidRPr="007E392C">
        <w:rPr>
          <w:sz w:val="24"/>
          <w:szCs w:val="24"/>
        </w:rPr>
        <w:t xml:space="preserve"> </w:t>
      </w:r>
      <w:r w:rsidRPr="007E392C">
        <w:rPr>
          <w:sz w:val="24"/>
          <w:szCs w:val="24"/>
          <w:lang w:val="en-US"/>
        </w:rPr>
        <w:t xml:space="preserve">Michael Kimmel, </w:t>
      </w:r>
      <w:r w:rsidRPr="007E392C">
        <w:rPr>
          <w:i/>
          <w:iCs/>
          <w:sz w:val="24"/>
          <w:szCs w:val="24"/>
          <w:lang w:val="en-US"/>
        </w:rPr>
        <w:t>Manhood in America,</w:t>
      </w:r>
      <w:r w:rsidRPr="007E392C">
        <w:rPr>
          <w:sz w:val="24"/>
          <w:szCs w:val="24"/>
          <w:lang w:val="en-US"/>
        </w:rPr>
        <w:t xml:space="preserve"> The Free Press, 1996, New York, p.3</w:t>
      </w:r>
    </w:p>
  </w:footnote>
  <w:footnote w:id="140">
    <w:p w14:paraId="350B0BFD" w14:textId="77777777" w:rsidR="00B10FA3" w:rsidRPr="001272D7" w:rsidRDefault="00B10FA3" w:rsidP="00881D2B">
      <w:pPr>
        <w:pStyle w:val="FootnoteText"/>
        <w:rPr>
          <w:sz w:val="24"/>
          <w:szCs w:val="24"/>
        </w:rPr>
      </w:pPr>
      <w:r w:rsidRPr="001272D7">
        <w:rPr>
          <w:rStyle w:val="FootnoteReference"/>
          <w:sz w:val="24"/>
          <w:szCs w:val="24"/>
        </w:rPr>
        <w:footnoteRef/>
      </w:r>
      <w:r w:rsidRPr="001272D7">
        <w:rPr>
          <w:sz w:val="24"/>
          <w:szCs w:val="24"/>
        </w:rPr>
        <w:t xml:space="preserve"> Michael Kimmel, </w:t>
      </w:r>
      <w:r w:rsidRPr="001272D7">
        <w:rPr>
          <w:i/>
          <w:iCs/>
          <w:sz w:val="24"/>
          <w:szCs w:val="24"/>
        </w:rPr>
        <w:t xml:space="preserve">Manhood in America, </w:t>
      </w:r>
      <w:r>
        <w:rPr>
          <w:i/>
          <w:iCs/>
          <w:sz w:val="24"/>
          <w:szCs w:val="24"/>
        </w:rPr>
        <w:t>1</w:t>
      </w:r>
      <w:r w:rsidRPr="0055492C">
        <w:rPr>
          <w:sz w:val="24"/>
          <w:szCs w:val="24"/>
        </w:rPr>
        <w:t>996, Simon &amp; Shuster</w:t>
      </w:r>
      <w:r w:rsidRPr="001272D7">
        <w:rPr>
          <w:sz w:val="24"/>
          <w:szCs w:val="24"/>
        </w:rPr>
        <w:t xml:space="preserve"> </w:t>
      </w:r>
      <w:proofErr w:type="spellStart"/>
      <w:r w:rsidRPr="001272D7">
        <w:rPr>
          <w:sz w:val="24"/>
          <w:szCs w:val="24"/>
        </w:rPr>
        <w:t>pps</w:t>
      </w:r>
      <w:proofErr w:type="spellEnd"/>
      <w:r w:rsidRPr="001272D7">
        <w:rPr>
          <w:sz w:val="24"/>
          <w:szCs w:val="24"/>
        </w:rPr>
        <w:t>. 27-46.</w:t>
      </w:r>
    </w:p>
  </w:footnote>
  <w:footnote w:id="141">
    <w:p w14:paraId="03D7A6BB" w14:textId="77777777" w:rsidR="00B10FA3" w:rsidRPr="0055492C" w:rsidRDefault="00B10FA3" w:rsidP="001464E1">
      <w:pPr>
        <w:pStyle w:val="FootnoteText"/>
        <w:rPr>
          <w:sz w:val="24"/>
          <w:szCs w:val="24"/>
        </w:rPr>
      </w:pPr>
      <w:r w:rsidRPr="0055492C">
        <w:rPr>
          <w:rStyle w:val="FootnoteReference"/>
          <w:sz w:val="24"/>
          <w:szCs w:val="24"/>
        </w:rPr>
        <w:footnoteRef/>
      </w:r>
      <w:r w:rsidRPr="0055492C">
        <w:rPr>
          <w:sz w:val="24"/>
          <w:szCs w:val="24"/>
        </w:rPr>
        <w:t xml:space="preserve"> </w:t>
      </w:r>
      <w:r>
        <w:rPr>
          <w:sz w:val="24"/>
          <w:szCs w:val="24"/>
        </w:rPr>
        <w:t>Ibid</w:t>
      </w:r>
      <w:r w:rsidRPr="0055492C">
        <w:rPr>
          <w:sz w:val="24"/>
          <w:szCs w:val="24"/>
        </w:rPr>
        <w:t>, p. 33</w:t>
      </w:r>
    </w:p>
  </w:footnote>
  <w:footnote w:id="142">
    <w:p w14:paraId="032401CB" w14:textId="77777777" w:rsidR="00B10FA3" w:rsidRPr="00165ABE" w:rsidRDefault="00B10FA3">
      <w:pPr>
        <w:pStyle w:val="FootnoteText"/>
        <w:rPr>
          <w:sz w:val="24"/>
          <w:szCs w:val="24"/>
          <w:lang w:val="en-US"/>
        </w:rPr>
      </w:pPr>
      <w:r w:rsidRPr="00165ABE">
        <w:rPr>
          <w:rStyle w:val="FootnoteReference"/>
          <w:sz w:val="24"/>
          <w:szCs w:val="24"/>
        </w:rPr>
        <w:footnoteRef/>
      </w:r>
      <w:r w:rsidRPr="00165ABE">
        <w:rPr>
          <w:sz w:val="24"/>
          <w:szCs w:val="24"/>
        </w:rPr>
        <w:t xml:space="preserve"> </w:t>
      </w:r>
      <w:r w:rsidRPr="00165ABE">
        <w:rPr>
          <w:sz w:val="24"/>
          <w:szCs w:val="24"/>
          <w:lang w:val="en-US"/>
        </w:rPr>
        <w:t>Kimmel, p. 25.</w:t>
      </w:r>
    </w:p>
  </w:footnote>
  <w:footnote w:id="143">
    <w:p w14:paraId="17658285" w14:textId="77777777" w:rsidR="00B10FA3" w:rsidRPr="00BE3828" w:rsidRDefault="00B10FA3">
      <w:pPr>
        <w:pStyle w:val="FootnoteText"/>
        <w:rPr>
          <w:sz w:val="24"/>
          <w:szCs w:val="24"/>
          <w:lang w:val="en-US"/>
        </w:rPr>
      </w:pPr>
      <w:r w:rsidRPr="00BE3828">
        <w:rPr>
          <w:rStyle w:val="FootnoteReference"/>
          <w:sz w:val="24"/>
          <w:szCs w:val="24"/>
        </w:rPr>
        <w:footnoteRef/>
      </w:r>
      <w:r w:rsidRPr="00BE3828">
        <w:rPr>
          <w:sz w:val="24"/>
          <w:szCs w:val="24"/>
        </w:rPr>
        <w:t xml:space="preserve"> </w:t>
      </w:r>
      <w:r w:rsidRPr="00BE3828">
        <w:rPr>
          <w:sz w:val="24"/>
          <w:szCs w:val="24"/>
          <w:lang w:val="en-US"/>
        </w:rPr>
        <w:t>Ibid, p. 52-55.</w:t>
      </w:r>
    </w:p>
  </w:footnote>
  <w:footnote w:id="144">
    <w:p w14:paraId="2C4CDD85" w14:textId="77777777" w:rsidR="00B10FA3" w:rsidRPr="003F55C7" w:rsidRDefault="00B10FA3" w:rsidP="003F55C7">
      <w:pPr>
        <w:pStyle w:val="FootnoteText"/>
        <w:tabs>
          <w:tab w:val="left" w:pos="3143"/>
        </w:tabs>
        <w:rPr>
          <w:sz w:val="24"/>
          <w:szCs w:val="24"/>
          <w:lang w:val="en-US"/>
        </w:rPr>
      </w:pPr>
      <w:r w:rsidRPr="003F55C7">
        <w:rPr>
          <w:rStyle w:val="FootnoteReference"/>
          <w:sz w:val="24"/>
          <w:szCs w:val="24"/>
        </w:rPr>
        <w:footnoteRef/>
      </w:r>
      <w:r w:rsidRPr="003F55C7">
        <w:rPr>
          <w:sz w:val="24"/>
          <w:szCs w:val="24"/>
        </w:rPr>
        <w:t xml:space="preserve"> </w:t>
      </w:r>
      <w:r w:rsidRPr="003F55C7">
        <w:rPr>
          <w:sz w:val="24"/>
          <w:szCs w:val="24"/>
          <w:lang w:val="en-US"/>
        </w:rPr>
        <w:t>Ibid, p. 50.</w:t>
      </w:r>
      <w:r>
        <w:rPr>
          <w:sz w:val="24"/>
          <w:szCs w:val="24"/>
          <w:lang w:val="en-US"/>
        </w:rPr>
        <w:tab/>
      </w:r>
    </w:p>
  </w:footnote>
  <w:footnote w:id="145">
    <w:p w14:paraId="1BDB0073" w14:textId="77777777" w:rsidR="00B10FA3" w:rsidRPr="00FB05A3" w:rsidRDefault="00B10FA3">
      <w:pPr>
        <w:pStyle w:val="FootnoteText"/>
        <w:rPr>
          <w:lang w:val="en-US"/>
        </w:rPr>
      </w:pPr>
      <w:r>
        <w:rPr>
          <w:rStyle w:val="FootnoteReference"/>
        </w:rPr>
        <w:footnoteRef/>
      </w:r>
      <w:r>
        <w:t xml:space="preserve"> </w:t>
      </w:r>
      <w:hyperlink r:id="rId13" w:history="1">
        <w:r w:rsidRPr="00B4348F">
          <w:rPr>
            <w:rStyle w:val="Hyperlink"/>
            <w:color w:val="0D0D0D" w:themeColor="text1" w:themeTint="F2"/>
            <w:sz w:val="24"/>
            <w:szCs w:val="24"/>
          </w:rPr>
          <w:t>https://eduzaurus.com/free-essay-samples/huckleberry-finn-masculinity-power-struggles-andself-aware</w:t>
        </w:r>
      </w:hyperlink>
      <w:r w:rsidRPr="00B4348F">
        <w:rPr>
          <w:color w:val="0D0D0D" w:themeColor="text1" w:themeTint="F2"/>
          <w:sz w:val="24"/>
          <w:szCs w:val="24"/>
        </w:rPr>
        <w:t>, p. 1-3.</w:t>
      </w:r>
    </w:p>
  </w:footnote>
  <w:footnote w:id="146">
    <w:p w14:paraId="3BACFA0B" w14:textId="77777777" w:rsidR="00B10FA3" w:rsidRPr="00CB1560" w:rsidRDefault="00B10FA3">
      <w:pPr>
        <w:pStyle w:val="FootnoteText"/>
        <w:rPr>
          <w:sz w:val="24"/>
          <w:szCs w:val="24"/>
          <w:lang w:val="en-US"/>
        </w:rPr>
      </w:pPr>
      <w:r w:rsidRPr="00CB1560">
        <w:rPr>
          <w:rStyle w:val="FootnoteReference"/>
          <w:sz w:val="24"/>
          <w:szCs w:val="24"/>
        </w:rPr>
        <w:footnoteRef/>
      </w:r>
      <w:r w:rsidRPr="00CB1560">
        <w:rPr>
          <w:sz w:val="24"/>
          <w:szCs w:val="24"/>
        </w:rPr>
        <w:t xml:space="preserve"> </w:t>
      </w:r>
      <w:r>
        <w:rPr>
          <w:sz w:val="24"/>
          <w:szCs w:val="24"/>
        </w:rPr>
        <w:t xml:space="preserve">Kimmel, </w:t>
      </w:r>
      <w:r>
        <w:rPr>
          <w:i/>
          <w:iCs/>
          <w:sz w:val="24"/>
          <w:szCs w:val="24"/>
        </w:rPr>
        <w:t xml:space="preserve">Manhood in America, </w:t>
      </w:r>
      <w:r w:rsidRPr="00CB1560">
        <w:rPr>
          <w:sz w:val="24"/>
          <w:szCs w:val="24"/>
          <w:lang w:val="en-US"/>
        </w:rPr>
        <w:t>p. 71.</w:t>
      </w:r>
    </w:p>
  </w:footnote>
  <w:footnote w:id="147">
    <w:p w14:paraId="76014FA9" w14:textId="77777777" w:rsidR="00B10FA3" w:rsidRPr="00DA71D3" w:rsidRDefault="00B10FA3" w:rsidP="001464E1">
      <w:pPr>
        <w:pStyle w:val="FootnoteText"/>
        <w:rPr>
          <w:sz w:val="24"/>
          <w:szCs w:val="24"/>
        </w:rPr>
      </w:pPr>
      <w:r w:rsidRPr="00DA71D3">
        <w:rPr>
          <w:rStyle w:val="FootnoteReference"/>
          <w:sz w:val="24"/>
          <w:szCs w:val="24"/>
        </w:rPr>
        <w:footnoteRef/>
      </w:r>
      <w:r w:rsidRPr="00DA71D3">
        <w:rPr>
          <w:sz w:val="24"/>
          <w:szCs w:val="24"/>
        </w:rPr>
        <w:t xml:space="preserve"> https://www.whitehouse.gov/about-the-white-house/presidents/william-henry-harrison/</w:t>
      </w:r>
    </w:p>
  </w:footnote>
  <w:footnote w:id="148">
    <w:p w14:paraId="2B59F42B" w14:textId="77777777" w:rsidR="00B10FA3" w:rsidRPr="00DA71D3" w:rsidRDefault="00B10FA3" w:rsidP="001464E1">
      <w:pPr>
        <w:pStyle w:val="FootnoteText"/>
        <w:rPr>
          <w:sz w:val="24"/>
          <w:szCs w:val="24"/>
        </w:rPr>
      </w:pPr>
      <w:r w:rsidRPr="00DA71D3">
        <w:rPr>
          <w:rStyle w:val="FootnoteReference"/>
          <w:sz w:val="24"/>
          <w:szCs w:val="24"/>
        </w:rPr>
        <w:footnoteRef/>
      </w:r>
      <w:r w:rsidRPr="00DA71D3">
        <w:rPr>
          <w:sz w:val="24"/>
          <w:szCs w:val="24"/>
        </w:rPr>
        <w:t xml:space="preserve"> https://www.history.com/news/shot-in-the-chest-100-years-ago-teddy-roosevelt-kept-on-talking</w:t>
      </w:r>
      <w:r>
        <w:rPr>
          <w:sz w:val="24"/>
          <w:szCs w:val="24"/>
        </w:rPr>
        <w:t>.</w:t>
      </w:r>
      <w:r w:rsidRPr="00382969">
        <w:t xml:space="preserve"> </w:t>
      </w:r>
    </w:p>
  </w:footnote>
  <w:footnote w:id="149">
    <w:p w14:paraId="34F8CD25" w14:textId="77777777" w:rsidR="00B10FA3" w:rsidRPr="003B777A" w:rsidRDefault="00B10FA3" w:rsidP="005C51A7">
      <w:pPr>
        <w:pStyle w:val="FootnoteText"/>
        <w:rPr>
          <w:sz w:val="24"/>
          <w:szCs w:val="24"/>
          <w:lang w:val="en-US"/>
        </w:rPr>
      </w:pPr>
      <w:r w:rsidRPr="003B777A">
        <w:rPr>
          <w:rStyle w:val="FootnoteReference"/>
          <w:sz w:val="24"/>
          <w:szCs w:val="24"/>
        </w:rPr>
        <w:footnoteRef/>
      </w:r>
      <w:r w:rsidRPr="003B777A">
        <w:rPr>
          <w:sz w:val="24"/>
          <w:szCs w:val="24"/>
        </w:rPr>
        <w:t xml:space="preserve"> </w:t>
      </w:r>
      <w:r w:rsidRPr="003B777A">
        <w:rPr>
          <w:sz w:val="24"/>
          <w:szCs w:val="24"/>
          <w:lang w:val="en-US"/>
        </w:rPr>
        <w:t>Ibid, p. 136.</w:t>
      </w:r>
    </w:p>
  </w:footnote>
  <w:footnote w:id="150">
    <w:p w14:paraId="47E2CEC5" w14:textId="77777777" w:rsidR="00B10FA3" w:rsidRPr="00244145" w:rsidRDefault="00B10FA3" w:rsidP="005C51A7">
      <w:pPr>
        <w:pStyle w:val="Heading1"/>
        <w:rPr>
          <w:rFonts w:ascii="Times New Roman" w:hAnsi="Times New Roman" w:cs="Times New Roman"/>
          <w:color w:val="0D0D0D" w:themeColor="text1" w:themeTint="F2"/>
        </w:rPr>
      </w:pPr>
      <w:r w:rsidRPr="00244145">
        <w:rPr>
          <w:rStyle w:val="FootnoteReference"/>
          <w:rFonts w:ascii="Times New Roman" w:hAnsi="Times New Roman" w:cs="Times New Roman"/>
          <w:sz w:val="24"/>
          <w:szCs w:val="24"/>
        </w:rPr>
        <w:footnoteRef/>
      </w:r>
      <w:r w:rsidRPr="00244145">
        <w:rPr>
          <w:rFonts w:ascii="Times New Roman" w:hAnsi="Times New Roman" w:cs="Times New Roman"/>
          <w:sz w:val="24"/>
          <w:szCs w:val="24"/>
        </w:rPr>
        <w:t xml:space="preserve"> </w:t>
      </w:r>
      <w:r w:rsidRPr="00244145">
        <w:rPr>
          <w:rFonts w:ascii="Times New Roman" w:hAnsi="Times New Roman" w:cs="Times New Roman"/>
          <w:color w:val="0D0D0D" w:themeColor="text1" w:themeTint="F2"/>
          <w:sz w:val="24"/>
          <w:szCs w:val="24"/>
        </w:rPr>
        <w:t xml:space="preserve">“Gender and Crime: Sex-Role Theory,” </w:t>
      </w:r>
      <w:r w:rsidRPr="00244145">
        <w:rPr>
          <w:rFonts w:ascii="Times New Roman" w:hAnsi="Times New Roman" w:cs="Times New Roman"/>
          <w:i/>
          <w:iCs/>
          <w:color w:val="0D0D0D" w:themeColor="text1" w:themeTint="F2"/>
          <w:sz w:val="24"/>
          <w:szCs w:val="24"/>
        </w:rPr>
        <w:t xml:space="preserve">Revise Sociology, </w:t>
      </w:r>
      <w:hyperlink r:id="rId14" w:history="1">
        <w:r w:rsidRPr="00244145">
          <w:rPr>
            <w:rStyle w:val="Hyperlink"/>
            <w:rFonts w:ascii="Times New Roman" w:hAnsi="Times New Roman" w:cs="Times New Roman"/>
            <w:color w:val="0D0D0D" w:themeColor="text1" w:themeTint="F2"/>
            <w:sz w:val="24"/>
            <w:szCs w:val="24"/>
          </w:rPr>
          <w:t>November 30, 2016</w:t>
        </w:r>
      </w:hyperlink>
      <w:r w:rsidRPr="00244145">
        <w:rPr>
          <w:rStyle w:val="posted-on"/>
          <w:rFonts w:ascii="Times New Roman" w:hAnsi="Times New Roman" w:cs="Times New Roman"/>
          <w:color w:val="0D0D0D" w:themeColor="text1" w:themeTint="F2"/>
          <w:sz w:val="24"/>
          <w:szCs w:val="24"/>
        </w:rPr>
        <w:t>. https://revisesociology.com/2016/11/30/gender-crime-sex-role-theory/?utm_content=cmp-true</w:t>
      </w:r>
    </w:p>
    <w:p w14:paraId="63233C99" w14:textId="77777777" w:rsidR="00B10FA3" w:rsidRPr="00085338" w:rsidRDefault="00B10FA3" w:rsidP="00085338">
      <w:pPr>
        <w:pStyle w:val="FootnoteText"/>
        <w:rPr>
          <w:color w:val="C00000"/>
          <w:sz w:val="24"/>
          <w:szCs w:val="24"/>
          <w:lang w:val="en-US"/>
        </w:rPr>
      </w:pPr>
    </w:p>
  </w:footnote>
  <w:footnote w:id="151">
    <w:p w14:paraId="59D89C09" w14:textId="77777777" w:rsidR="00B10FA3" w:rsidRPr="002210E0" w:rsidRDefault="00B10FA3" w:rsidP="001464E1">
      <w:pPr>
        <w:pStyle w:val="FootnoteText"/>
        <w:rPr>
          <w:sz w:val="24"/>
          <w:szCs w:val="24"/>
          <w:lang w:val="de-DE"/>
        </w:rPr>
      </w:pPr>
      <w:r w:rsidRPr="00C83B58">
        <w:rPr>
          <w:rStyle w:val="FootnoteReference"/>
          <w:sz w:val="24"/>
          <w:szCs w:val="24"/>
        </w:rPr>
        <w:footnoteRef/>
      </w:r>
      <w:r w:rsidRPr="002210E0">
        <w:rPr>
          <w:sz w:val="24"/>
          <w:szCs w:val="24"/>
          <w:lang w:val="de-DE"/>
        </w:rPr>
        <w:t xml:space="preserve"> Kimmel, p. 244-45.</w:t>
      </w:r>
    </w:p>
  </w:footnote>
  <w:footnote w:id="152">
    <w:p w14:paraId="65E6F908" w14:textId="77777777" w:rsidR="00B10FA3" w:rsidRPr="002210E0" w:rsidRDefault="00B10FA3" w:rsidP="001464E1">
      <w:pPr>
        <w:pStyle w:val="FootnoteText"/>
        <w:rPr>
          <w:sz w:val="24"/>
          <w:szCs w:val="24"/>
          <w:lang w:val="de-DE"/>
        </w:rPr>
      </w:pPr>
      <w:r w:rsidRPr="00C83B58">
        <w:rPr>
          <w:rStyle w:val="FootnoteReference"/>
          <w:sz w:val="24"/>
          <w:szCs w:val="24"/>
        </w:rPr>
        <w:footnoteRef/>
      </w:r>
      <w:r w:rsidRPr="002210E0">
        <w:rPr>
          <w:sz w:val="24"/>
          <w:szCs w:val="24"/>
          <w:lang w:val="de-DE"/>
        </w:rPr>
        <w:t xml:space="preserve"> </w:t>
      </w:r>
      <w:proofErr w:type="spellStart"/>
      <w:r w:rsidRPr="002210E0">
        <w:rPr>
          <w:sz w:val="24"/>
          <w:szCs w:val="24"/>
          <w:lang w:val="de-DE"/>
        </w:rPr>
        <w:t>Ibid</w:t>
      </w:r>
      <w:proofErr w:type="spellEnd"/>
      <w:r w:rsidRPr="002210E0">
        <w:rPr>
          <w:sz w:val="24"/>
          <w:szCs w:val="24"/>
          <w:lang w:val="de-DE"/>
        </w:rPr>
        <w:t>, p. 245.</w:t>
      </w:r>
    </w:p>
  </w:footnote>
  <w:footnote w:id="153">
    <w:p w14:paraId="68EC9A18" w14:textId="77777777" w:rsidR="00B10FA3" w:rsidRPr="00911B05" w:rsidRDefault="00B10FA3" w:rsidP="001464E1">
      <w:pPr>
        <w:pStyle w:val="FootnoteText"/>
      </w:pPr>
      <w:r>
        <w:rPr>
          <w:rStyle w:val="FootnoteReference"/>
        </w:rPr>
        <w:footnoteRef/>
      </w:r>
      <w:r w:rsidRPr="002210E0">
        <w:rPr>
          <w:lang w:val="de-DE"/>
        </w:rPr>
        <w:t xml:space="preserve"> </w:t>
      </w:r>
      <w:hyperlink r:id="rId15" w:history="1">
        <w:r w:rsidRPr="002210E0">
          <w:rPr>
            <w:rStyle w:val="Hyperlink"/>
            <w:color w:val="0D0D0D" w:themeColor="text1" w:themeTint="F2"/>
            <w:sz w:val="24"/>
            <w:szCs w:val="24"/>
            <w:lang w:val="de-DE"/>
          </w:rPr>
          <w:t>https://www.nytimes.com/1996/02/26/us/politics-patrick-j-buchanan-appealing-to-gun-owners-and-perot-camp.htm</w:t>
        </w:r>
      </w:hyperlink>
      <w:r w:rsidRPr="002210E0">
        <w:rPr>
          <w:color w:val="0D0D0D" w:themeColor="text1" w:themeTint="F2"/>
          <w:sz w:val="24"/>
          <w:szCs w:val="24"/>
          <w:lang w:val="de-DE"/>
        </w:rPr>
        <w:t xml:space="preserve">. </w:t>
      </w:r>
      <w:r>
        <w:rPr>
          <w:sz w:val="24"/>
          <w:szCs w:val="24"/>
        </w:rPr>
        <w:t xml:space="preserve">As an aside, conceptions of masculinity in the United States have had many unintended consequences, especially as concerns gay and trans men. While one might empathize with a male who feels ‘trapped in a woman’s body,’ one must also give credence to the possibility that gender identification and potential is perhaps wider than previously thought; that men and women are not </w:t>
      </w:r>
      <w:r>
        <w:rPr>
          <w:i/>
          <w:iCs/>
          <w:sz w:val="24"/>
          <w:szCs w:val="24"/>
        </w:rPr>
        <w:t>opposed</w:t>
      </w:r>
      <w:r>
        <w:rPr>
          <w:sz w:val="24"/>
          <w:szCs w:val="24"/>
        </w:rPr>
        <w:t xml:space="preserve"> genders, but, rather complimentary, and that the possibilities </w:t>
      </w:r>
      <w:r>
        <w:rPr>
          <w:i/>
          <w:iCs/>
          <w:sz w:val="24"/>
          <w:szCs w:val="24"/>
        </w:rPr>
        <w:t>within</w:t>
      </w:r>
      <w:r>
        <w:rPr>
          <w:sz w:val="24"/>
          <w:szCs w:val="24"/>
        </w:rPr>
        <w:t xml:space="preserve"> one’s gender may be broader and more open to potentialities than was considered previously. In other words, men and women </w:t>
      </w:r>
      <w:r w:rsidRPr="00997BE4">
        <w:rPr>
          <w:i/>
          <w:iCs/>
          <w:sz w:val="24"/>
          <w:szCs w:val="24"/>
        </w:rPr>
        <w:t xml:space="preserve">may be more </w:t>
      </w:r>
      <w:r>
        <w:rPr>
          <w:i/>
          <w:iCs/>
          <w:sz w:val="24"/>
          <w:szCs w:val="24"/>
        </w:rPr>
        <w:t xml:space="preserve">complex and unknowable </w:t>
      </w:r>
      <w:r w:rsidRPr="00997BE4">
        <w:rPr>
          <w:i/>
          <w:iCs/>
          <w:sz w:val="24"/>
          <w:szCs w:val="24"/>
        </w:rPr>
        <w:t>than tradition</w:t>
      </w:r>
      <w:r>
        <w:rPr>
          <w:i/>
          <w:iCs/>
          <w:sz w:val="24"/>
          <w:szCs w:val="24"/>
        </w:rPr>
        <w:t>al definitions</w:t>
      </w:r>
      <w:r w:rsidRPr="00997BE4">
        <w:rPr>
          <w:i/>
          <w:iCs/>
          <w:sz w:val="24"/>
          <w:szCs w:val="24"/>
        </w:rPr>
        <w:t xml:space="preserve"> ha</w:t>
      </w:r>
      <w:r>
        <w:rPr>
          <w:i/>
          <w:iCs/>
          <w:sz w:val="24"/>
          <w:szCs w:val="24"/>
        </w:rPr>
        <w:t>ve</w:t>
      </w:r>
      <w:r w:rsidRPr="00997BE4">
        <w:rPr>
          <w:i/>
          <w:iCs/>
          <w:sz w:val="24"/>
          <w:szCs w:val="24"/>
        </w:rPr>
        <w:t xml:space="preserve"> allowed them to be.</w:t>
      </w:r>
      <w:r>
        <w:rPr>
          <w:sz w:val="24"/>
          <w:szCs w:val="24"/>
        </w:rPr>
        <w:t xml:space="preserve"> Surgical solutions to gender identity may, in the end, not adequately address the issue at hand…empathy towards a goal, an ideal, an appearance. One may find, in the end, that there is more than enough room within both the male and female genders for the expression of myriad new identities and potentialities, and that the </w:t>
      </w:r>
      <w:r>
        <w:rPr>
          <w:i/>
          <w:iCs/>
          <w:sz w:val="24"/>
          <w:szCs w:val="24"/>
        </w:rPr>
        <w:t>physical</w:t>
      </w:r>
      <w:r>
        <w:rPr>
          <w:sz w:val="24"/>
          <w:szCs w:val="24"/>
        </w:rPr>
        <w:t xml:space="preserve"> aspect of identity may prove, in the end, to be a red herring; a mere cosmetic representation of a systemically deep and evolving experienced identity </w:t>
      </w:r>
      <w:r w:rsidRPr="006A3839">
        <w:rPr>
          <w:sz w:val="24"/>
          <w:szCs w:val="24"/>
          <w:u w:val="single"/>
        </w:rPr>
        <w:t>within</w:t>
      </w:r>
      <w:r>
        <w:rPr>
          <w:sz w:val="24"/>
          <w:szCs w:val="24"/>
        </w:rPr>
        <w:t xml:space="preserve"> the genders.</w:t>
      </w:r>
    </w:p>
  </w:footnote>
  <w:footnote w:id="154">
    <w:p w14:paraId="57E08407" w14:textId="77777777" w:rsidR="00B10FA3" w:rsidRPr="00085338" w:rsidRDefault="00B10FA3">
      <w:pPr>
        <w:pStyle w:val="FootnoteText"/>
        <w:rPr>
          <w:color w:val="FF0000"/>
          <w:sz w:val="24"/>
          <w:szCs w:val="24"/>
          <w:lang w:val="en-US"/>
        </w:rPr>
      </w:pPr>
      <w:r w:rsidRPr="00850F2C">
        <w:rPr>
          <w:rStyle w:val="FootnoteReference"/>
          <w:sz w:val="24"/>
          <w:szCs w:val="24"/>
        </w:rPr>
        <w:footnoteRef/>
      </w:r>
      <w:r w:rsidRPr="00850F2C">
        <w:rPr>
          <w:sz w:val="24"/>
          <w:szCs w:val="24"/>
        </w:rPr>
        <w:t xml:space="preserve"> </w:t>
      </w:r>
      <w:r w:rsidRPr="00850F2C">
        <w:rPr>
          <w:sz w:val="24"/>
          <w:szCs w:val="24"/>
          <w:lang w:val="en-US"/>
        </w:rPr>
        <w:t>Ibid</w:t>
      </w:r>
      <w:r>
        <w:rPr>
          <w:sz w:val="24"/>
          <w:szCs w:val="24"/>
          <w:lang w:val="en-US"/>
        </w:rPr>
        <w:t>, p. 136 Kimmel.</w:t>
      </w:r>
    </w:p>
  </w:footnote>
  <w:footnote w:id="155">
    <w:p w14:paraId="5B35DD4E" w14:textId="77777777" w:rsidR="00B10FA3" w:rsidRPr="009F290A" w:rsidRDefault="00B10FA3">
      <w:pPr>
        <w:pStyle w:val="FootnoteText"/>
        <w:rPr>
          <w:sz w:val="24"/>
          <w:szCs w:val="24"/>
          <w:lang w:val="en-US"/>
        </w:rPr>
      </w:pPr>
      <w:r w:rsidRPr="009F290A">
        <w:rPr>
          <w:rStyle w:val="FootnoteReference"/>
          <w:sz w:val="24"/>
          <w:szCs w:val="24"/>
        </w:rPr>
        <w:footnoteRef/>
      </w:r>
      <w:r w:rsidRPr="009F290A">
        <w:rPr>
          <w:sz w:val="24"/>
          <w:szCs w:val="24"/>
        </w:rPr>
        <w:t xml:space="preserve"> </w:t>
      </w:r>
      <w:r w:rsidRPr="009F290A">
        <w:rPr>
          <w:sz w:val="24"/>
          <w:szCs w:val="24"/>
          <w:lang w:val="en-US"/>
        </w:rPr>
        <w:t>Ibid, p. 204</w:t>
      </w:r>
      <w:r>
        <w:rPr>
          <w:sz w:val="24"/>
          <w:szCs w:val="24"/>
          <w:lang w:val="en-US"/>
        </w:rPr>
        <w:t>.</w:t>
      </w:r>
    </w:p>
  </w:footnote>
  <w:footnote w:id="156">
    <w:p w14:paraId="3C77CE3B" w14:textId="77777777" w:rsidR="00B10FA3" w:rsidRPr="004E6BEA" w:rsidRDefault="00B10FA3">
      <w:pPr>
        <w:pStyle w:val="FootnoteText"/>
        <w:rPr>
          <w:sz w:val="24"/>
          <w:szCs w:val="24"/>
        </w:rPr>
      </w:pPr>
      <w:r w:rsidRPr="004E6BEA">
        <w:rPr>
          <w:rStyle w:val="FootnoteReference"/>
          <w:sz w:val="24"/>
          <w:szCs w:val="24"/>
        </w:rPr>
        <w:footnoteRef/>
      </w:r>
      <w:r w:rsidRPr="004E6BEA">
        <w:rPr>
          <w:sz w:val="24"/>
          <w:szCs w:val="24"/>
        </w:rPr>
        <w:t xml:space="preserve"> Ibid, p. 229</w:t>
      </w:r>
    </w:p>
  </w:footnote>
  <w:footnote w:id="157">
    <w:p w14:paraId="5B2F7F8E" w14:textId="2E86B9A3" w:rsidR="00B10FA3" w:rsidRPr="00AC5655" w:rsidRDefault="00B10FA3" w:rsidP="00367CBD">
      <w:r w:rsidRPr="00AC5655">
        <w:rPr>
          <w:rStyle w:val="FootnoteReference"/>
        </w:rPr>
        <w:footnoteRef/>
      </w:r>
      <w:r w:rsidRPr="00AC5655">
        <w:t xml:space="preserve"> </w:t>
      </w:r>
      <w:hyperlink r:id="rId16" w:anchor="con" w:history="1">
        <w:r w:rsidRPr="00B4348F">
          <w:rPr>
            <w:rStyle w:val="Hyperlink"/>
            <w:color w:val="0D0D0D" w:themeColor="text1" w:themeTint="F2"/>
          </w:rPr>
          <w:t>Ronald F. Levant</w:t>
        </w:r>
      </w:hyperlink>
      <w:r w:rsidRPr="00B4348F">
        <w:rPr>
          <w:color w:val="0D0D0D" w:themeColor="text1" w:themeTint="F2"/>
        </w:rPr>
        <w:t xml:space="preserve">, </w:t>
      </w:r>
      <w:hyperlink r:id="rId17" w:history="1">
        <w:r w:rsidRPr="00B4348F">
          <w:rPr>
            <w:rStyle w:val="Hyperlink"/>
            <w:color w:val="0D0D0D" w:themeColor="text1" w:themeTint="F2"/>
          </w:rPr>
          <w:t>Volume 5, Issu</w:t>
        </w:r>
      </w:hyperlink>
      <w:r w:rsidRPr="00B4348F">
        <w:rPr>
          <w:color w:val="0D0D0D" w:themeColor="text1" w:themeTint="F2"/>
        </w:rPr>
        <w:t xml:space="preserve">e 3, </w:t>
      </w:r>
      <w:r w:rsidRPr="00B4348F">
        <w:rPr>
          <w:i/>
          <w:iCs/>
          <w:color w:val="0D0D0D" w:themeColor="text1" w:themeTint="F2"/>
        </w:rPr>
        <w:t>The Journal of Men’s Studies</w:t>
      </w:r>
      <w:r w:rsidRPr="00B4348F">
        <w:rPr>
          <w:color w:val="0D0D0D" w:themeColor="text1" w:themeTint="F2"/>
        </w:rPr>
        <w:t>, p</w:t>
      </w:r>
      <w:r w:rsidR="002D3073">
        <w:rPr>
          <w:color w:val="0D0D0D" w:themeColor="text1" w:themeTint="F2"/>
        </w:rPr>
        <w:t>.</w:t>
      </w:r>
      <w:r w:rsidRPr="00B4348F">
        <w:rPr>
          <w:color w:val="0D0D0D" w:themeColor="text1" w:themeTint="F2"/>
        </w:rPr>
        <w:t xml:space="preserve"> 221-231, “The Masculinity Crisis.”</w:t>
      </w:r>
    </w:p>
    <w:p w14:paraId="483D476C" w14:textId="77777777" w:rsidR="00B10FA3" w:rsidRDefault="00B10FA3">
      <w:pPr>
        <w:pStyle w:val="FootnoteText"/>
      </w:pPr>
    </w:p>
  </w:footnote>
  <w:footnote w:id="158">
    <w:p w14:paraId="71E9D618" w14:textId="77777777" w:rsidR="00B10FA3" w:rsidRDefault="00B10FA3">
      <w:pPr>
        <w:pStyle w:val="FootnoteText"/>
      </w:pPr>
      <w:r>
        <w:rPr>
          <w:rStyle w:val="FootnoteReference"/>
        </w:rPr>
        <w:footnoteRef/>
      </w:r>
      <w:r>
        <w:t xml:space="preserve"> </w:t>
      </w:r>
      <w:r w:rsidRPr="009F7B0D">
        <w:rPr>
          <w:sz w:val="24"/>
          <w:szCs w:val="24"/>
        </w:rPr>
        <w:t xml:space="preserve">This tactic has resurfaced, often employed by right wing </w:t>
      </w:r>
      <w:r w:rsidRPr="009F7B0D">
        <w:rPr>
          <w:i/>
          <w:iCs/>
          <w:sz w:val="24"/>
          <w:szCs w:val="24"/>
        </w:rPr>
        <w:t>women</w:t>
      </w:r>
      <w:r w:rsidRPr="009F7B0D">
        <w:rPr>
          <w:sz w:val="24"/>
          <w:szCs w:val="24"/>
        </w:rPr>
        <w:t xml:space="preserve"> in the US Congress and the media such as Majorie Taylor Green and Lauren Bobert, and Laura Ingrahm, who use traditional masculine tropes against male politicians with whom they disagree. A politician is not merely wrong, he is not ‘man enough’ to stand up for himself, his country, or for his constituency.</w:t>
      </w:r>
      <w:r>
        <w:t xml:space="preserve"> </w:t>
      </w:r>
    </w:p>
  </w:footnote>
  <w:footnote w:id="159">
    <w:p w14:paraId="32C74B15" w14:textId="77777777" w:rsidR="00B10FA3" w:rsidRPr="00B85EEB" w:rsidRDefault="00B10FA3">
      <w:pPr>
        <w:pStyle w:val="FootnoteText"/>
        <w:rPr>
          <w:sz w:val="24"/>
          <w:szCs w:val="24"/>
        </w:rPr>
      </w:pPr>
      <w:r w:rsidRPr="00B85EEB">
        <w:rPr>
          <w:rStyle w:val="FootnoteReference"/>
          <w:sz w:val="24"/>
          <w:szCs w:val="24"/>
        </w:rPr>
        <w:footnoteRef/>
      </w:r>
      <w:r w:rsidRPr="00B85EEB">
        <w:rPr>
          <w:sz w:val="24"/>
          <w:szCs w:val="24"/>
        </w:rPr>
        <w:t xml:space="preserve"> Ibid, p. 256</w:t>
      </w:r>
      <w:r>
        <w:rPr>
          <w:sz w:val="24"/>
          <w:szCs w:val="24"/>
        </w:rPr>
        <w:t xml:space="preserve">     </w:t>
      </w:r>
    </w:p>
  </w:footnote>
  <w:footnote w:id="160">
    <w:p w14:paraId="229841EB" w14:textId="77777777" w:rsidR="00B10FA3" w:rsidRPr="00420970" w:rsidRDefault="00B10FA3">
      <w:pPr>
        <w:pStyle w:val="FootnoteText"/>
        <w:rPr>
          <w:sz w:val="24"/>
          <w:szCs w:val="24"/>
        </w:rPr>
      </w:pPr>
      <w:r w:rsidRPr="00420970">
        <w:rPr>
          <w:rStyle w:val="FootnoteReference"/>
          <w:sz w:val="24"/>
          <w:szCs w:val="24"/>
        </w:rPr>
        <w:footnoteRef/>
      </w:r>
      <w:r w:rsidRPr="00420970">
        <w:rPr>
          <w:sz w:val="24"/>
          <w:szCs w:val="24"/>
        </w:rPr>
        <w:t xml:space="preserve"> Brigid Brophy, “The Prisoner of Sex, (book review), </w:t>
      </w:r>
      <w:r w:rsidRPr="00420970">
        <w:rPr>
          <w:i/>
          <w:iCs/>
          <w:sz w:val="24"/>
          <w:szCs w:val="24"/>
        </w:rPr>
        <w:t>The New York Times</w:t>
      </w:r>
      <w:r w:rsidRPr="00420970">
        <w:rPr>
          <w:sz w:val="24"/>
          <w:szCs w:val="24"/>
        </w:rPr>
        <w:t>, 5/23/71, p.</w:t>
      </w:r>
      <w:r>
        <w:rPr>
          <w:sz w:val="24"/>
          <w:szCs w:val="24"/>
        </w:rPr>
        <w:t xml:space="preserve"> </w:t>
      </w:r>
      <w:r w:rsidRPr="00420970">
        <w:rPr>
          <w:sz w:val="24"/>
          <w:szCs w:val="24"/>
        </w:rPr>
        <w:t>2.</w:t>
      </w:r>
    </w:p>
  </w:footnote>
  <w:footnote w:id="161">
    <w:p w14:paraId="46258D51" w14:textId="77777777" w:rsidR="00B10FA3" w:rsidRPr="002210E0" w:rsidRDefault="00B10FA3" w:rsidP="003A5FFA">
      <w:pPr>
        <w:pStyle w:val="FootnoteText"/>
        <w:rPr>
          <w:color w:val="C00000"/>
          <w:sz w:val="24"/>
          <w:szCs w:val="24"/>
          <w:lang w:val="es-ES"/>
        </w:rPr>
      </w:pPr>
      <w:r w:rsidRPr="00B85EEB">
        <w:rPr>
          <w:rStyle w:val="FootnoteReference"/>
          <w:sz w:val="24"/>
          <w:szCs w:val="24"/>
        </w:rPr>
        <w:footnoteRef/>
      </w:r>
      <w:r w:rsidRPr="00B85EEB">
        <w:rPr>
          <w:sz w:val="24"/>
          <w:szCs w:val="24"/>
        </w:rPr>
        <w:t xml:space="preserve"> </w:t>
      </w:r>
      <w:r w:rsidRPr="002D2B7F">
        <w:rPr>
          <w:color w:val="0D0D0D" w:themeColor="text1" w:themeTint="F2"/>
          <w:sz w:val="24"/>
          <w:szCs w:val="24"/>
        </w:rPr>
        <w:t xml:space="preserve">Marcel Stoetzler, </w:t>
      </w:r>
      <w:r w:rsidRPr="002D2B7F">
        <w:rPr>
          <w:i/>
          <w:iCs/>
          <w:color w:val="0D0D0D" w:themeColor="text1" w:themeTint="F2"/>
          <w:sz w:val="24"/>
          <w:szCs w:val="24"/>
        </w:rPr>
        <w:t>Adorno, Non-Identity, Sexuality</w:t>
      </w:r>
      <w:r w:rsidRPr="002D2B7F">
        <w:rPr>
          <w:color w:val="0D0D0D" w:themeColor="text1" w:themeTint="F2"/>
          <w:sz w:val="24"/>
          <w:szCs w:val="24"/>
        </w:rPr>
        <w:t xml:space="preserve">, p. 159-164. Marcel Stoetzler, published in </w:t>
      </w:r>
      <w:hyperlink r:id="rId18" w:history="1">
        <w:r w:rsidRPr="002D2B7F">
          <w:rPr>
            <w:rStyle w:val="Hyperlink"/>
            <w:i/>
            <w:iCs/>
            <w:color w:val="0D0D0D" w:themeColor="text1" w:themeTint="F2"/>
            <w:sz w:val="24"/>
            <w:szCs w:val="24"/>
          </w:rPr>
          <w:t>Negativity and Revolution: Adorno and Political Activism</w:t>
        </w:r>
      </w:hyperlink>
      <w:r w:rsidRPr="002D2B7F">
        <w:rPr>
          <w:color w:val="0D0D0D" w:themeColor="text1" w:themeTint="F2"/>
          <w:sz w:val="24"/>
          <w:szCs w:val="24"/>
        </w:rPr>
        <w:t xml:space="preserve"> (ed. </w:t>
      </w:r>
      <w:r w:rsidRPr="002210E0">
        <w:rPr>
          <w:color w:val="0D0D0D" w:themeColor="text1" w:themeTint="F2"/>
          <w:sz w:val="24"/>
          <w:szCs w:val="24"/>
          <w:lang w:val="es-ES"/>
        </w:rPr>
        <w:t>Holloway, Matamoros, Tischler, 2009). https://cominsitu.wordpress.com/2021/03/25/adorno-non-identity-sexuality-stoetzler-2009/.</w:t>
      </w:r>
    </w:p>
    <w:p w14:paraId="29AB3811" w14:textId="77777777" w:rsidR="00B10FA3" w:rsidRPr="002210E0" w:rsidRDefault="00B10FA3" w:rsidP="003A5FFA">
      <w:pPr>
        <w:pStyle w:val="FootnoteText"/>
        <w:rPr>
          <w:lang w:val="es-ES"/>
        </w:rPr>
      </w:pPr>
    </w:p>
  </w:footnote>
  <w:footnote w:id="162">
    <w:p w14:paraId="28929D46" w14:textId="77777777" w:rsidR="00B10FA3" w:rsidRPr="000711BB" w:rsidRDefault="00B10FA3">
      <w:pPr>
        <w:pStyle w:val="FootnoteText"/>
        <w:rPr>
          <w:sz w:val="24"/>
          <w:szCs w:val="24"/>
        </w:rPr>
      </w:pPr>
      <w:r w:rsidRPr="000711BB">
        <w:rPr>
          <w:rStyle w:val="FootnoteReference"/>
          <w:sz w:val="24"/>
          <w:szCs w:val="24"/>
        </w:rPr>
        <w:footnoteRef/>
      </w:r>
      <w:r w:rsidRPr="000711BB">
        <w:rPr>
          <w:sz w:val="24"/>
          <w:szCs w:val="24"/>
        </w:rPr>
        <w:t xml:space="preserve"> </w:t>
      </w:r>
      <w:r>
        <w:rPr>
          <w:sz w:val="24"/>
          <w:szCs w:val="24"/>
        </w:rPr>
        <w:t>Kimmel</w:t>
      </w:r>
      <w:r w:rsidRPr="000711BB">
        <w:rPr>
          <w:sz w:val="24"/>
          <w:szCs w:val="24"/>
        </w:rPr>
        <w:t>, p. 317</w:t>
      </w:r>
    </w:p>
  </w:footnote>
  <w:footnote w:id="163">
    <w:p w14:paraId="1BA849A5" w14:textId="77777777" w:rsidR="00B10FA3" w:rsidRPr="00545DA5" w:rsidRDefault="00B10FA3">
      <w:pPr>
        <w:pStyle w:val="FootnoteText"/>
        <w:rPr>
          <w:sz w:val="24"/>
          <w:szCs w:val="24"/>
        </w:rPr>
      </w:pPr>
      <w:r w:rsidRPr="00545DA5">
        <w:rPr>
          <w:rStyle w:val="FootnoteReference"/>
          <w:sz w:val="24"/>
          <w:szCs w:val="24"/>
        </w:rPr>
        <w:footnoteRef/>
      </w:r>
      <w:r w:rsidRPr="00545DA5">
        <w:rPr>
          <w:sz w:val="24"/>
          <w:szCs w:val="24"/>
        </w:rPr>
        <w:t xml:space="preserve"> Warren Farrell, </w:t>
      </w:r>
      <w:r w:rsidRPr="00545DA5">
        <w:rPr>
          <w:i/>
          <w:iCs/>
          <w:sz w:val="24"/>
          <w:szCs w:val="24"/>
        </w:rPr>
        <w:t>The Myth of Male Power</w:t>
      </w:r>
      <w:r w:rsidRPr="00545DA5">
        <w:rPr>
          <w:sz w:val="24"/>
          <w:szCs w:val="24"/>
        </w:rPr>
        <w:t>, 1993, p. 15.</w:t>
      </w:r>
    </w:p>
  </w:footnote>
  <w:footnote w:id="164">
    <w:p w14:paraId="1C8567B7" w14:textId="77777777" w:rsidR="00B10FA3" w:rsidRPr="001F6555" w:rsidRDefault="00B10FA3">
      <w:pPr>
        <w:pStyle w:val="FootnoteText"/>
        <w:rPr>
          <w:sz w:val="24"/>
          <w:szCs w:val="24"/>
        </w:rPr>
      </w:pPr>
      <w:r w:rsidRPr="001F6555">
        <w:rPr>
          <w:rStyle w:val="FootnoteReference"/>
          <w:sz w:val="24"/>
          <w:szCs w:val="24"/>
        </w:rPr>
        <w:footnoteRef/>
      </w:r>
      <w:r w:rsidRPr="001F6555">
        <w:rPr>
          <w:sz w:val="24"/>
          <w:szCs w:val="24"/>
        </w:rPr>
        <w:t xml:space="preserve"> Ibid, p. 71-74.</w:t>
      </w:r>
    </w:p>
  </w:footnote>
  <w:footnote w:id="165">
    <w:p w14:paraId="44E898BE" w14:textId="77777777" w:rsidR="00B10FA3" w:rsidRPr="00A452A3" w:rsidRDefault="00B10FA3">
      <w:pPr>
        <w:pStyle w:val="FootnoteText"/>
        <w:rPr>
          <w:rFonts w:ascii="Times New Roman" w:hAnsi="Times New Roman" w:cs="Times New Roman"/>
          <w:sz w:val="24"/>
          <w:szCs w:val="24"/>
        </w:rPr>
      </w:pPr>
      <w:r w:rsidRPr="00A452A3">
        <w:rPr>
          <w:rStyle w:val="FootnoteReference"/>
          <w:rFonts w:ascii="Times New Roman" w:hAnsi="Times New Roman" w:cs="Times New Roman"/>
          <w:sz w:val="24"/>
          <w:szCs w:val="24"/>
        </w:rPr>
        <w:footnoteRef/>
      </w:r>
      <w:r w:rsidRPr="00A452A3">
        <w:rPr>
          <w:rFonts w:ascii="Times New Roman" w:hAnsi="Times New Roman" w:cs="Times New Roman"/>
          <w:sz w:val="24"/>
          <w:szCs w:val="24"/>
        </w:rPr>
        <w:t xml:space="preserve"> Comedian Jim Jeffries performs a skit in which he discusses the differences between male and female hair loss. Men are teased, degraded and further insulted for trying to correct baldness through plugs, transplants and comb-overs, whereas women are treated with kind respect, are permitted to wear wigs, and deferred to as ‘victims’ of a natural condition. </w:t>
      </w:r>
    </w:p>
  </w:footnote>
  <w:footnote w:id="166">
    <w:p w14:paraId="2A3892E2" w14:textId="77777777" w:rsidR="00B10FA3" w:rsidRPr="00CE2B9F" w:rsidRDefault="00B10FA3">
      <w:pPr>
        <w:pStyle w:val="FootnoteText"/>
        <w:rPr>
          <w:sz w:val="24"/>
          <w:szCs w:val="24"/>
        </w:rPr>
      </w:pPr>
      <w:r w:rsidRPr="00A452A3">
        <w:rPr>
          <w:rStyle w:val="FootnoteReference"/>
          <w:rFonts w:ascii="Times New Roman" w:hAnsi="Times New Roman" w:cs="Times New Roman"/>
          <w:sz w:val="24"/>
          <w:szCs w:val="24"/>
        </w:rPr>
        <w:footnoteRef/>
      </w:r>
      <w:r w:rsidRPr="00A452A3">
        <w:rPr>
          <w:rFonts w:ascii="Times New Roman" w:hAnsi="Times New Roman" w:cs="Times New Roman"/>
          <w:sz w:val="24"/>
          <w:szCs w:val="24"/>
        </w:rPr>
        <w:t xml:space="preserve"> Chris Blazina, </w:t>
      </w:r>
      <w:r w:rsidRPr="00A452A3">
        <w:rPr>
          <w:rFonts w:ascii="Times New Roman" w:hAnsi="Times New Roman" w:cs="Times New Roman"/>
          <w:i/>
          <w:iCs/>
          <w:sz w:val="24"/>
          <w:szCs w:val="24"/>
        </w:rPr>
        <w:t>The Fear of the Feminine in the Western Psyche</w:t>
      </w:r>
      <w:r w:rsidRPr="00A452A3">
        <w:rPr>
          <w:rFonts w:ascii="Times New Roman" w:hAnsi="Times New Roman" w:cs="Times New Roman"/>
          <w:sz w:val="24"/>
          <w:szCs w:val="24"/>
        </w:rPr>
        <w:t>, Journal of Men’s Studies, vol. 6, issue 1, Fall, 1997, p. 1 (online).</w:t>
      </w:r>
    </w:p>
  </w:footnote>
  <w:footnote w:id="167">
    <w:p w14:paraId="5767A41E" w14:textId="77777777" w:rsidR="00B10FA3" w:rsidRPr="008625FE" w:rsidRDefault="00B10FA3">
      <w:pPr>
        <w:pStyle w:val="FootnoteText"/>
        <w:rPr>
          <w:sz w:val="24"/>
          <w:szCs w:val="24"/>
        </w:rPr>
      </w:pPr>
      <w:r w:rsidRPr="008625FE">
        <w:rPr>
          <w:rStyle w:val="FootnoteReference"/>
          <w:sz w:val="24"/>
          <w:szCs w:val="24"/>
        </w:rPr>
        <w:footnoteRef/>
      </w:r>
      <w:r w:rsidRPr="008625FE">
        <w:rPr>
          <w:sz w:val="24"/>
          <w:szCs w:val="24"/>
        </w:rPr>
        <w:t xml:space="preserve"> Stephen Ducat, </w:t>
      </w:r>
      <w:r w:rsidRPr="008625FE">
        <w:rPr>
          <w:i/>
          <w:iCs/>
          <w:sz w:val="24"/>
          <w:szCs w:val="24"/>
        </w:rPr>
        <w:t>The Wimp Factor,</w:t>
      </w:r>
      <w:r>
        <w:rPr>
          <w:i/>
          <w:iCs/>
          <w:sz w:val="24"/>
          <w:szCs w:val="24"/>
        </w:rPr>
        <w:t xml:space="preserve"> </w:t>
      </w:r>
      <w:r w:rsidRPr="00C933AB">
        <w:rPr>
          <w:sz w:val="24"/>
          <w:szCs w:val="24"/>
        </w:rPr>
        <w:t>Boston</w:t>
      </w:r>
      <w:r>
        <w:rPr>
          <w:i/>
          <w:iCs/>
          <w:sz w:val="24"/>
          <w:szCs w:val="24"/>
        </w:rPr>
        <w:t xml:space="preserve">, </w:t>
      </w:r>
      <w:r>
        <w:rPr>
          <w:sz w:val="24"/>
          <w:szCs w:val="24"/>
        </w:rPr>
        <w:t>Beacon Press, 2005,</w:t>
      </w:r>
      <w:r w:rsidRPr="008625FE">
        <w:rPr>
          <w:i/>
          <w:iCs/>
          <w:sz w:val="24"/>
          <w:szCs w:val="24"/>
        </w:rPr>
        <w:t xml:space="preserve"> </w:t>
      </w:r>
      <w:proofErr w:type="spellStart"/>
      <w:r w:rsidRPr="008625FE">
        <w:rPr>
          <w:sz w:val="24"/>
          <w:szCs w:val="24"/>
        </w:rPr>
        <w:t>pps</w:t>
      </w:r>
      <w:proofErr w:type="spellEnd"/>
      <w:r w:rsidRPr="008625FE">
        <w:rPr>
          <w:sz w:val="24"/>
          <w:szCs w:val="24"/>
        </w:rPr>
        <w:t>. 36-57.</w:t>
      </w:r>
    </w:p>
  </w:footnote>
  <w:footnote w:id="168">
    <w:p w14:paraId="3E0FFFB2" w14:textId="77777777" w:rsidR="00B10FA3" w:rsidRPr="00C938C3" w:rsidRDefault="00B10FA3">
      <w:pPr>
        <w:pStyle w:val="FootnoteText"/>
        <w:rPr>
          <w:sz w:val="24"/>
          <w:szCs w:val="24"/>
        </w:rPr>
      </w:pPr>
      <w:r w:rsidRPr="00C938C3">
        <w:rPr>
          <w:rStyle w:val="FootnoteReference"/>
          <w:sz w:val="24"/>
          <w:szCs w:val="24"/>
        </w:rPr>
        <w:footnoteRef/>
      </w:r>
      <w:r w:rsidRPr="00C938C3">
        <w:rPr>
          <w:sz w:val="24"/>
          <w:szCs w:val="24"/>
        </w:rPr>
        <w:t xml:space="preserve"> Ibid, </w:t>
      </w:r>
      <w:proofErr w:type="spellStart"/>
      <w:r w:rsidRPr="00C938C3">
        <w:rPr>
          <w:sz w:val="24"/>
          <w:szCs w:val="24"/>
        </w:rPr>
        <w:t>pps</w:t>
      </w:r>
      <w:proofErr w:type="spellEnd"/>
      <w:r w:rsidRPr="00C938C3">
        <w:rPr>
          <w:sz w:val="24"/>
          <w:szCs w:val="24"/>
        </w:rPr>
        <w:t>. 75-111.</w:t>
      </w:r>
    </w:p>
  </w:footnote>
  <w:footnote w:id="169">
    <w:p w14:paraId="06D11F9E" w14:textId="77777777" w:rsidR="00B10FA3" w:rsidRPr="00EF589A" w:rsidRDefault="00B10FA3">
      <w:pPr>
        <w:pStyle w:val="FootnoteText"/>
        <w:rPr>
          <w:sz w:val="24"/>
          <w:szCs w:val="24"/>
        </w:rPr>
      </w:pPr>
      <w:r w:rsidRPr="00EF589A">
        <w:rPr>
          <w:rStyle w:val="FootnoteReference"/>
          <w:sz w:val="24"/>
          <w:szCs w:val="24"/>
        </w:rPr>
        <w:footnoteRef/>
      </w:r>
      <w:r w:rsidRPr="00EF589A">
        <w:rPr>
          <w:sz w:val="24"/>
          <w:szCs w:val="24"/>
        </w:rPr>
        <w:t xml:space="preserve"> It is important to note that gender messaging sometimes goes awry. For example, after 911, television host and comedian Bill Mahr </w:t>
      </w:r>
      <w:r>
        <w:rPr>
          <w:sz w:val="24"/>
          <w:szCs w:val="24"/>
        </w:rPr>
        <w:t xml:space="preserve">had his show </w:t>
      </w:r>
      <w:r w:rsidRPr="00EF589A">
        <w:rPr>
          <w:sz w:val="24"/>
          <w:szCs w:val="24"/>
        </w:rPr>
        <w:t>cancelled after he referred to the Twin Towers bombers as “very brave” and “true believers.” This was, culturally, the wrong message about masculinity. Mahr was arguing that conviction and bravery indicate masculinity, when the dominant</w:t>
      </w:r>
      <w:r>
        <w:rPr>
          <w:sz w:val="24"/>
          <w:szCs w:val="24"/>
        </w:rPr>
        <w:t>, reactive post 911</w:t>
      </w:r>
      <w:r w:rsidRPr="00EF589A">
        <w:rPr>
          <w:sz w:val="24"/>
          <w:szCs w:val="24"/>
        </w:rPr>
        <w:t xml:space="preserve"> narrative in the US was that brave must equal moral goodness, and that evil acts indicate weakness of character</w:t>
      </w:r>
      <w:r>
        <w:rPr>
          <w:sz w:val="24"/>
          <w:szCs w:val="24"/>
        </w:rPr>
        <w:t>, not to mention the fact that they were ‘foreign’ in race, religion and culture, and thus clearly representing ‘The Other’ in the American psyche.</w:t>
      </w:r>
    </w:p>
  </w:footnote>
  <w:footnote w:id="170">
    <w:p w14:paraId="1FB69C9C" w14:textId="77777777" w:rsidR="00B10FA3" w:rsidRPr="00AA5D9B" w:rsidRDefault="00B10FA3">
      <w:pPr>
        <w:pStyle w:val="FootnoteText"/>
        <w:rPr>
          <w:sz w:val="24"/>
          <w:szCs w:val="24"/>
        </w:rPr>
      </w:pPr>
      <w:r w:rsidRPr="00AA5D9B">
        <w:rPr>
          <w:rStyle w:val="FootnoteReference"/>
          <w:sz w:val="24"/>
          <w:szCs w:val="24"/>
        </w:rPr>
        <w:footnoteRef/>
      </w:r>
      <w:r w:rsidRPr="00AA5D9B">
        <w:rPr>
          <w:sz w:val="24"/>
          <w:szCs w:val="24"/>
        </w:rPr>
        <w:t xml:space="preserve"> Veronique Pin-Fat and Maria Stern, </w:t>
      </w:r>
      <w:r w:rsidRPr="00AA5D9B">
        <w:rPr>
          <w:i/>
          <w:iCs/>
          <w:sz w:val="24"/>
          <w:szCs w:val="24"/>
        </w:rPr>
        <w:t>The Scripting of Private Jessica Lynch</w:t>
      </w:r>
      <w:r w:rsidRPr="00AA5D9B">
        <w:rPr>
          <w:sz w:val="24"/>
          <w:szCs w:val="24"/>
        </w:rPr>
        <w:t xml:space="preserve">, Alternatives 30, </w:t>
      </w:r>
      <w:proofErr w:type="spellStart"/>
      <w:r w:rsidRPr="00AA5D9B">
        <w:rPr>
          <w:sz w:val="24"/>
          <w:szCs w:val="24"/>
        </w:rPr>
        <w:t>pps</w:t>
      </w:r>
      <w:proofErr w:type="spellEnd"/>
      <w:r w:rsidRPr="00AA5D9B">
        <w:rPr>
          <w:sz w:val="24"/>
          <w:szCs w:val="24"/>
        </w:rPr>
        <w:t>. 30-46.</w:t>
      </w:r>
    </w:p>
  </w:footnote>
  <w:footnote w:id="171">
    <w:p w14:paraId="3BA2C698" w14:textId="77777777" w:rsidR="00B10FA3" w:rsidRPr="00C2393D" w:rsidRDefault="00B10FA3">
      <w:pPr>
        <w:pStyle w:val="FootnoteText"/>
        <w:rPr>
          <w:sz w:val="24"/>
          <w:szCs w:val="24"/>
        </w:rPr>
      </w:pPr>
      <w:r w:rsidRPr="00C2393D">
        <w:rPr>
          <w:rStyle w:val="FootnoteReference"/>
          <w:sz w:val="24"/>
          <w:szCs w:val="24"/>
        </w:rPr>
        <w:footnoteRef/>
      </w:r>
      <w:r w:rsidRPr="00C2393D">
        <w:rPr>
          <w:sz w:val="24"/>
          <w:szCs w:val="24"/>
        </w:rPr>
        <w:t xml:space="preserve"> Ibid, p. 2.</w:t>
      </w:r>
    </w:p>
  </w:footnote>
  <w:footnote w:id="172">
    <w:p w14:paraId="6EA9785A" w14:textId="77777777" w:rsidR="00B10FA3" w:rsidRPr="00F130A0" w:rsidRDefault="00B10FA3" w:rsidP="00F130A0">
      <w:pPr>
        <w:spacing w:line="240" w:lineRule="auto"/>
        <w:rPr>
          <w:rFonts w:eastAsia="Times New Roman"/>
          <w:lang w:eastAsia="en-CA"/>
        </w:rPr>
      </w:pPr>
      <w:r>
        <w:rPr>
          <w:rStyle w:val="FootnoteReference"/>
        </w:rPr>
        <w:footnoteRef/>
      </w:r>
      <w:r>
        <w:t xml:space="preserve"> Terri Frontgia, </w:t>
      </w:r>
      <w:r w:rsidRPr="00F130A0">
        <w:rPr>
          <w:rFonts w:eastAsia="Times New Roman"/>
          <w:lang w:eastAsia="en-CA"/>
        </w:rPr>
        <w:t xml:space="preserve">Archetypes, </w:t>
      </w:r>
      <w:r w:rsidRPr="00F130A0">
        <w:rPr>
          <w:rFonts w:eastAsia="Times New Roman"/>
          <w:i/>
          <w:iCs/>
          <w:lang w:eastAsia="en-CA"/>
        </w:rPr>
        <w:t>Ster</w:t>
      </w:r>
      <w:r>
        <w:rPr>
          <w:rFonts w:eastAsia="Times New Roman"/>
          <w:i/>
          <w:iCs/>
          <w:lang w:eastAsia="en-CA"/>
        </w:rPr>
        <w:t>e</w:t>
      </w:r>
      <w:r w:rsidRPr="00F130A0">
        <w:rPr>
          <w:rFonts w:eastAsia="Times New Roman"/>
          <w:i/>
          <w:iCs/>
          <w:lang w:eastAsia="en-CA"/>
        </w:rPr>
        <w:t>otypes, and The Female Hero: Transformations in Contemporary Per</w:t>
      </w:r>
      <w:r>
        <w:rPr>
          <w:rFonts w:eastAsia="Times New Roman"/>
          <w:i/>
          <w:iCs/>
          <w:lang w:eastAsia="en-CA"/>
        </w:rPr>
        <w:t>s</w:t>
      </w:r>
      <w:r w:rsidRPr="00F130A0">
        <w:rPr>
          <w:rFonts w:eastAsia="Times New Roman"/>
          <w:i/>
          <w:iCs/>
          <w:lang w:eastAsia="en-CA"/>
        </w:rPr>
        <w:t>pectives</w:t>
      </w:r>
      <w:r>
        <w:rPr>
          <w:rFonts w:eastAsia="Times New Roman"/>
          <w:i/>
          <w:iCs/>
          <w:lang w:eastAsia="en-CA"/>
        </w:rPr>
        <w:t xml:space="preserve">, </w:t>
      </w:r>
      <w:proofErr w:type="spellStart"/>
      <w:r w:rsidRPr="00F130A0">
        <w:rPr>
          <w:rFonts w:eastAsia="Times New Roman"/>
          <w:lang w:eastAsia="en-CA"/>
        </w:rPr>
        <w:t>Mythlore</w:t>
      </w:r>
      <w:proofErr w:type="spellEnd"/>
      <w:r>
        <w:rPr>
          <w:rFonts w:eastAsia="Times New Roman"/>
          <w:lang w:eastAsia="en-CA"/>
        </w:rPr>
        <w:t xml:space="preserve">, </w:t>
      </w:r>
      <w:r w:rsidRPr="00F130A0">
        <w:rPr>
          <w:rFonts w:eastAsia="Times New Roman"/>
          <w:lang w:eastAsia="en-CA"/>
        </w:rPr>
        <w:t>Vol. 18, No. 1 (67) (Autumn 1991), pp. 15-18</w:t>
      </w:r>
      <w:r>
        <w:rPr>
          <w:rFonts w:eastAsia="Times New Roman"/>
          <w:lang w:eastAsia="en-CA"/>
        </w:rPr>
        <w:t>.</w:t>
      </w:r>
    </w:p>
    <w:p w14:paraId="767B0B4E" w14:textId="77777777" w:rsidR="00B10FA3" w:rsidRDefault="00B10FA3" w:rsidP="00F130A0">
      <w:pPr>
        <w:pStyle w:val="FootnoteText"/>
        <w:spacing w:after="100"/>
      </w:pPr>
    </w:p>
  </w:footnote>
  <w:footnote w:id="173">
    <w:p w14:paraId="696D9DDA" w14:textId="77777777" w:rsidR="00B10FA3" w:rsidRPr="00FA11AA" w:rsidRDefault="00B10FA3" w:rsidP="007B49F2">
      <w:pPr>
        <w:pStyle w:val="FootnoteText"/>
        <w:ind w:left="0"/>
        <w:rPr>
          <w:sz w:val="24"/>
          <w:szCs w:val="24"/>
        </w:rPr>
      </w:pPr>
      <w:r w:rsidRPr="00FA11AA">
        <w:rPr>
          <w:rStyle w:val="FootnoteReference"/>
          <w:sz w:val="24"/>
          <w:szCs w:val="24"/>
        </w:rPr>
        <w:footnoteRef/>
      </w:r>
      <w:r w:rsidRPr="00FA11AA">
        <w:rPr>
          <w:sz w:val="24"/>
          <w:szCs w:val="24"/>
        </w:rPr>
        <w:t xml:space="preserve"> Ronald F. Levant, </w:t>
      </w:r>
      <w:r w:rsidRPr="00FA11AA">
        <w:rPr>
          <w:i/>
          <w:iCs/>
          <w:sz w:val="24"/>
          <w:szCs w:val="24"/>
        </w:rPr>
        <w:t>The Masculinity Crisis</w:t>
      </w:r>
      <w:r w:rsidRPr="00FA11AA">
        <w:rPr>
          <w:sz w:val="24"/>
          <w:szCs w:val="24"/>
        </w:rPr>
        <w:t>, 2/1/97, Journal of Men’s Studies, vol. 5, issue 2, p. 1-3.</w:t>
      </w:r>
    </w:p>
  </w:footnote>
  <w:footnote w:id="174">
    <w:p w14:paraId="2D4DB167" w14:textId="77777777" w:rsidR="00B10FA3" w:rsidRPr="003A6729" w:rsidRDefault="00B10FA3">
      <w:pPr>
        <w:pStyle w:val="FootnoteText"/>
        <w:rPr>
          <w:sz w:val="24"/>
          <w:szCs w:val="24"/>
        </w:rPr>
      </w:pPr>
      <w:r w:rsidRPr="003A6729">
        <w:rPr>
          <w:rStyle w:val="FootnoteReference"/>
          <w:sz w:val="24"/>
          <w:szCs w:val="24"/>
        </w:rPr>
        <w:footnoteRef/>
      </w:r>
      <w:r w:rsidRPr="003A6729">
        <w:rPr>
          <w:sz w:val="24"/>
          <w:szCs w:val="24"/>
        </w:rPr>
        <w:t xml:space="preserve"> Christine Emba, </w:t>
      </w:r>
      <w:r w:rsidRPr="003A6729">
        <w:rPr>
          <w:i/>
          <w:iCs/>
          <w:sz w:val="24"/>
          <w:szCs w:val="24"/>
        </w:rPr>
        <w:t>Men are Lost: Here’s a Map out of the Wilderness</w:t>
      </w:r>
      <w:r w:rsidRPr="003A6729">
        <w:rPr>
          <w:sz w:val="24"/>
          <w:szCs w:val="24"/>
        </w:rPr>
        <w:t>, Washington Post, 7/20/23.</w:t>
      </w:r>
    </w:p>
  </w:footnote>
  <w:footnote w:id="175">
    <w:p w14:paraId="189B83E7" w14:textId="77777777" w:rsidR="00B10FA3" w:rsidRPr="00747E68" w:rsidRDefault="00B10FA3">
      <w:pPr>
        <w:pStyle w:val="FootnoteText"/>
        <w:rPr>
          <w:sz w:val="24"/>
          <w:szCs w:val="24"/>
        </w:rPr>
      </w:pPr>
      <w:r w:rsidRPr="00747E68">
        <w:rPr>
          <w:rStyle w:val="FootnoteReference"/>
          <w:sz w:val="24"/>
          <w:szCs w:val="24"/>
        </w:rPr>
        <w:footnoteRef/>
      </w:r>
      <w:r w:rsidRPr="00747E68">
        <w:rPr>
          <w:sz w:val="24"/>
          <w:szCs w:val="24"/>
        </w:rPr>
        <w:t xml:space="preserve"> Ibid, p. 3.</w:t>
      </w:r>
    </w:p>
  </w:footnote>
  <w:footnote w:id="176">
    <w:p w14:paraId="211FF356" w14:textId="77777777" w:rsidR="00B10FA3" w:rsidRPr="00313FF8" w:rsidRDefault="00B10FA3">
      <w:pPr>
        <w:pStyle w:val="FootnoteText"/>
        <w:rPr>
          <w:sz w:val="24"/>
          <w:szCs w:val="24"/>
        </w:rPr>
      </w:pPr>
      <w:r w:rsidRPr="003353AA">
        <w:rPr>
          <w:rStyle w:val="FootnoteReference"/>
          <w:sz w:val="24"/>
          <w:szCs w:val="24"/>
        </w:rPr>
        <w:footnoteRef/>
      </w:r>
      <w:r w:rsidRPr="003353AA">
        <w:rPr>
          <w:sz w:val="24"/>
          <w:szCs w:val="24"/>
        </w:rPr>
        <w:t xml:space="preserve"> Bob Minor, </w:t>
      </w:r>
      <w:r w:rsidRPr="003353AA">
        <w:rPr>
          <w:i/>
          <w:iCs/>
          <w:sz w:val="24"/>
          <w:szCs w:val="24"/>
        </w:rPr>
        <w:t xml:space="preserve">More Collateral Damage is </w:t>
      </w:r>
      <w:r>
        <w:rPr>
          <w:i/>
          <w:iCs/>
          <w:sz w:val="24"/>
          <w:szCs w:val="24"/>
        </w:rPr>
        <w:t>J</w:t>
      </w:r>
      <w:r w:rsidRPr="003353AA">
        <w:rPr>
          <w:i/>
          <w:iCs/>
          <w:sz w:val="24"/>
          <w:szCs w:val="24"/>
        </w:rPr>
        <w:t>ust the Price of Making America Macho Again</w:t>
      </w:r>
      <w:r w:rsidRPr="003353AA">
        <w:rPr>
          <w:sz w:val="24"/>
          <w:szCs w:val="24"/>
        </w:rPr>
        <w:t xml:space="preserve">, </w:t>
      </w:r>
      <w:r w:rsidRPr="00313FF8">
        <w:rPr>
          <w:sz w:val="24"/>
          <w:szCs w:val="24"/>
        </w:rPr>
        <w:t>Liberty Press, May 2017, p. 17.</w:t>
      </w:r>
    </w:p>
  </w:footnote>
  <w:footnote w:id="177">
    <w:p w14:paraId="61C6E97B" w14:textId="77777777" w:rsidR="00B10FA3" w:rsidRPr="008456F2" w:rsidRDefault="00B10FA3">
      <w:pPr>
        <w:pStyle w:val="FootnoteText"/>
        <w:rPr>
          <w:color w:val="C00000"/>
        </w:rPr>
      </w:pPr>
      <w:r w:rsidRPr="00313FF8">
        <w:rPr>
          <w:rStyle w:val="FootnoteReference"/>
          <w:sz w:val="24"/>
          <w:szCs w:val="24"/>
        </w:rPr>
        <w:footnoteRef/>
      </w:r>
      <w:r w:rsidRPr="00313FF8">
        <w:rPr>
          <w:sz w:val="24"/>
          <w:szCs w:val="24"/>
        </w:rPr>
        <w:t xml:space="preserve"> </w:t>
      </w:r>
      <w:r w:rsidRPr="001161C4">
        <w:rPr>
          <w:i/>
          <w:iCs/>
          <w:sz w:val="24"/>
          <w:szCs w:val="24"/>
        </w:rPr>
        <w:t>Strangers in their Own Land</w:t>
      </w:r>
      <w:r>
        <w:rPr>
          <w:i/>
          <w:iCs/>
          <w:sz w:val="24"/>
          <w:szCs w:val="24"/>
        </w:rPr>
        <w:t xml:space="preserve">, </w:t>
      </w:r>
      <w:r>
        <w:rPr>
          <w:sz w:val="24"/>
          <w:szCs w:val="24"/>
        </w:rPr>
        <w:t>Summary and Analysis, based on the book by Arlie Russell Hochschild., p.10-12 (Kindle).</w:t>
      </w:r>
    </w:p>
  </w:footnote>
  <w:footnote w:id="178">
    <w:p w14:paraId="26F7F937" w14:textId="77777777" w:rsidR="00B10FA3" w:rsidRPr="00B673FB" w:rsidRDefault="00B10FA3">
      <w:pPr>
        <w:pStyle w:val="FootnoteText"/>
        <w:rPr>
          <w:sz w:val="24"/>
          <w:szCs w:val="24"/>
        </w:rPr>
      </w:pPr>
      <w:r w:rsidRPr="00B673FB">
        <w:rPr>
          <w:rStyle w:val="FootnoteReference"/>
          <w:sz w:val="24"/>
          <w:szCs w:val="24"/>
        </w:rPr>
        <w:footnoteRef/>
      </w:r>
      <w:r w:rsidRPr="00B673FB">
        <w:rPr>
          <w:sz w:val="24"/>
          <w:szCs w:val="24"/>
        </w:rPr>
        <w:t xml:space="preserve"> Ibid, p. </w:t>
      </w:r>
      <w:r>
        <w:rPr>
          <w:sz w:val="24"/>
          <w:szCs w:val="24"/>
        </w:rPr>
        <w:t>10-20.</w:t>
      </w:r>
    </w:p>
  </w:footnote>
  <w:footnote w:id="179">
    <w:p w14:paraId="12206B2E" w14:textId="77777777" w:rsidR="00B10FA3" w:rsidRDefault="00B10FA3">
      <w:pPr>
        <w:pStyle w:val="FootnoteText"/>
      </w:pPr>
      <w:r w:rsidRPr="00B673FB">
        <w:rPr>
          <w:rStyle w:val="FootnoteReference"/>
          <w:sz w:val="24"/>
          <w:szCs w:val="24"/>
        </w:rPr>
        <w:footnoteRef/>
      </w:r>
      <w:r w:rsidRPr="00B673FB">
        <w:rPr>
          <w:sz w:val="24"/>
          <w:szCs w:val="24"/>
        </w:rPr>
        <w:t xml:space="preserve"> Ibid.</w:t>
      </w:r>
    </w:p>
  </w:footnote>
  <w:footnote w:id="180">
    <w:p w14:paraId="00BC8008" w14:textId="77777777" w:rsidR="00B10FA3" w:rsidRDefault="00B10FA3">
      <w:pPr>
        <w:pStyle w:val="FootnoteText"/>
      </w:pPr>
      <w:r w:rsidRPr="001272D7">
        <w:rPr>
          <w:rStyle w:val="FootnoteReference"/>
          <w:sz w:val="24"/>
          <w:szCs w:val="24"/>
        </w:rPr>
        <w:footnoteRef/>
      </w:r>
      <w:r w:rsidRPr="001272D7">
        <w:rPr>
          <w:sz w:val="24"/>
          <w:szCs w:val="24"/>
        </w:rPr>
        <w:t xml:space="preserve"> Ibid, p. 245, 256.</w:t>
      </w:r>
    </w:p>
  </w:footnote>
  <w:footnote w:id="181">
    <w:p w14:paraId="5A886ED9" w14:textId="77777777" w:rsidR="00B10FA3" w:rsidRPr="00353ADD" w:rsidRDefault="00B10FA3">
      <w:pPr>
        <w:pStyle w:val="FootnoteText"/>
        <w:rPr>
          <w:sz w:val="24"/>
          <w:szCs w:val="24"/>
        </w:rPr>
      </w:pPr>
      <w:r w:rsidRPr="00353ADD">
        <w:rPr>
          <w:rStyle w:val="FootnoteReference"/>
          <w:sz w:val="24"/>
          <w:szCs w:val="24"/>
        </w:rPr>
        <w:footnoteRef/>
      </w:r>
      <w:r w:rsidRPr="00353ADD">
        <w:rPr>
          <w:sz w:val="24"/>
          <w:szCs w:val="24"/>
        </w:rPr>
        <w:t xml:space="preserve"> Ibid, p. 59.</w:t>
      </w:r>
    </w:p>
  </w:footnote>
  <w:footnote w:id="182">
    <w:p w14:paraId="3F1160A9" w14:textId="77777777" w:rsidR="00B10FA3" w:rsidRDefault="00B10FA3">
      <w:pPr>
        <w:pStyle w:val="FootnoteText"/>
      </w:pPr>
      <w:r>
        <w:rPr>
          <w:rStyle w:val="FootnoteReference"/>
        </w:rPr>
        <w:footnoteRef/>
      </w:r>
      <w:r>
        <w:t xml:space="preserve"> </w:t>
      </w:r>
      <w:r w:rsidRPr="001272D7">
        <w:rPr>
          <w:sz w:val="24"/>
          <w:szCs w:val="24"/>
        </w:rPr>
        <w:t>Ibid, p. 91.</w:t>
      </w:r>
    </w:p>
  </w:footnote>
  <w:footnote w:id="183">
    <w:p w14:paraId="18B612EE" w14:textId="77777777" w:rsidR="00B10FA3" w:rsidRPr="007A2C85" w:rsidRDefault="00B10FA3">
      <w:pPr>
        <w:pStyle w:val="FootnoteText"/>
        <w:rPr>
          <w:sz w:val="24"/>
          <w:szCs w:val="24"/>
        </w:rPr>
      </w:pPr>
      <w:r w:rsidRPr="007A2C85">
        <w:rPr>
          <w:rStyle w:val="FootnoteReference"/>
          <w:sz w:val="24"/>
          <w:szCs w:val="24"/>
        </w:rPr>
        <w:footnoteRef/>
      </w:r>
      <w:r w:rsidRPr="007A2C85">
        <w:rPr>
          <w:sz w:val="24"/>
          <w:szCs w:val="24"/>
        </w:rPr>
        <w:t xml:space="preserve"> Bob Minor, “Why So Much American Anger,” </w:t>
      </w:r>
      <w:r w:rsidRPr="007A2C85">
        <w:rPr>
          <w:i/>
          <w:iCs/>
          <w:sz w:val="24"/>
          <w:szCs w:val="24"/>
        </w:rPr>
        <w:t>Liberty Press</w:t>
      </w:r>
      <w:r w:rsidRPr="007A2C85">
        <w:rPr>
          <w:sz w:val="24"/>
          <w:szCs w:val="24"/>
        </w:rPr>
        <w:t>, 7/2014, p.13.</w:t>
      </w:r>
    </w:p>
  </w:footnote>
  <w:footnote w:id="184">
    <w:p w14:paraId="1C00FEA4" w14:textId="77777777" w:rsidR="00B10FA3" w:rsidRDefault="00B10FA3">
      <w:pPr>
        <w:pStyle w:val="FootnoteText"/>
      </w:pPr>
      <w:r w:rsidRPr="007A2C85">
        <w:rPr>
          <w:rStyle w:val="FootnoteReference"/>
          <w:sz w:val="24"/>
          <w:szCs w:val="24"/>
        </w:rPr>
        <w:footnoteRef/>
      </w:r>
      <w:r w:rsidRPr="007A2C85">
        <w:rPr>
          <w:sz w:val="24"/>
          <w:szCs w:val="24"/>
        </w:rPr>
        <w:t xml:space="preserve"> Ibid.</w:t>
      </w:r>
    </w:p>
  </w:footnote>
  <w:footnote w:id="185">
    <w:p w14:paraId="6D35ACAC" w14:textId="77777777" w:rsidR="00B10FA3" w:rsidRPr="001161C4" w:rsidRDefault="00B10FA3">
      <w:pPr>
        <w:pStyle w:val="FootnoteText"/>
        <w:rPr>
          <w:sz w:val="24"/>
          <w:szCs w:val="24"/>
        </w:rPr>
      </w:pPr>
      <w:r w:rsidRPr="001161C4">
        <w:rPr>
          <w:rStyle w:val="FootnoteReference"/>
          <w:sz w:val="24"/>
          <w:szCs w:val="24"/>
        </w:rPr>
        <w:footnoteRef/>
      </w:r>
      <w:r w:rsidRPr="001161C4">
        <w:rPr>
          <w:sz w:val="24"/>
          <w:szCs w:val="24"/>
        </w:rPr>
        <w:t xml:space="preserve"> Gary S. Cross</w:t>
      </w:r>
      <w:r w:rsidRPr="001161C4">
        <w:rPr>
          <w:i/>
          <w:iCs/>
          <w:sz w:val="24"/>
          <w:szCs w:val="24"/>
        </w:rPr>
        <w:t>, Men to Boys: The Making of Modern Immaturity</w:t>
      </w:r>
      <w:r w:rsidRPr="001161C4">
        <w:rPr>
          <w:sz w:val="24"/>
          <w:szCs w:val="24"/>
        </w:rPr>
        <w:t>, NY: Columbia University Press, 2008, reviewed by Lisa Jacobson, p. 1, 9/09.</w:t>
      </w:r>
    </w:p>
  </w:footnote>
  <w:footnote w:id="186">
    <w:p w14:paraId="3F2E2D2F" w14:textId="77777777" w:rsidR="00B10FA3" w:rsidRPr="001161C4" w:rsidRDefault="00B10FA3">
      <w:pPr>
        <w:pStyle w:val="FootnoteText"/>
        <w:rPr>
          <w:sz w:val="24"/>
          <w:szCs w:val="24"/>
        </w:rPr>
      </w:pPr>
      <w:r w:rsidRPr="001161C4">
        <w:rPr>
          <w:rStyle w:val="FootnoteReference"/>
          <w:sz w:val="24"/>
          <w:szCs w:val="24"/>
        </w:rPr>
        <w:footnoteRef/>
      </w:r>
      <w:r w:rsidRPr="001161C4">
        <w:rPr>
          <w:sz w:val="24"/>
          <w:szCs w:val="24"/>
        </w:rPr>
        <w:t xml:space="preserve"> Ibid, p. 2.</w:t>
      </w:r>
    </w:p>
  </w:footnote>
  <w:footnote w:id="187">
    <w:p w14:paraId="698830B9" w14:textId="77777777" w:rsidR="00B10FA3" w:rsidRDefault="00B10FA3">
      <w:pPr>
        <w:pStyle w:val="FootnoteText"/>
      </w:pPr>
      <w:r w:rsidRPr="001161C4">
        <w:rPr>
          <w:rStyle w:val="FootnoteReference"/>
          <w:sz w:val="24"/>
          <w:szCs w:val="24"/>
        </w:rPr>
        <w:footnoteRef/>
      </w:r>
      <w:r w:rsidRPr="001161C4">
        <w:rPr>
          <w:sz w:val="24"/>
          <w:szCs w:val="24"/>
        </w:rPr>
        <w:t xml:space="preserve"> Ibid, p. 3.</w:t>
      </w:r>
    </w:p>
  </w:footnote>
  <w:footnote w:id="188">
    <w:p w14:paraId="28C22271" w14:textId="77777777" w:rsidR="00B10FA3" w:rsidRPr="001161C4" w:rsidRDefault="00B10FA3">
      <w:pPr>
        <w:pStyle w:val="FootnoteText"/>
        <w:rPr>
          <w:sz w:val="24"/>
          <w:szCs w:val="24"/>
        </w:rPr>
      </w:pPr>
      <w:r w:rsidRPr="001161C4">
        <w:rPr>
          <w:rStyle w:val="FootnoteReference"/>
          <w:sz w:val="24"/>
          <w:szCs w:val="24"/>
        </w:rPr>
        <w:footnoteRef/>
      </w:r>
      <w:r w:rsidRPr="001161C4">
        <w:rPr>
          <w:sz w:val="24"/>
          <w:szCs w:val="24"/>
        </w:rPr>
        <w:t xml:space="preserve"> Douglas Schrock and Michael Schwalbe, </w:t>
      </w:r>
      <w:r w:rsidRPr="001161C4">
        <w:rPr>
          <w:i/>
          <w:iCs/>
          <w:sz w:val="24"/>
          <w:szCs w:val="24"/>
        </w:rPr>
        <w:t>Men, Masculinity and Manhood Acts</w:t>
      </w:r>
      <w:r w:rsidRPr="001161C4">
        <w:rPr>
          <w:sz w:val="24"/>
          <w:szCs w:val="24"/>
        </w:rPr>
        <w:t>, Review of Sociology, 2009, 35: 280-82.</w:t>
      </w:r>
    </w:p>
  </w:footnote>
  <w:footnote w:id="189">
    <w:p w14:paraId="3AB01ED8" w14:textId="01D1212E" w:rsidR="00B10FA3" w:rsidRPr="009F5DD7" w:rsidRDefault="00B10FA3">
      <w:pPr>
        <w:pStyle w:val="FootnoteText"/>
      </w:pPr>
      <w:r w:rsidRPr="001161C4">
        <w:rPr>
          <w:rStyle w:val="FootnoteReference"/>
          <w:sz w:val="24"/>
          <w:szCs w:val="24"/>
        </w:rPr>
        <w:footnoteRef/>
      </w:r>
      <w:r w:rsidRPr="001161C4">
        <w:rPr>
          <w:sz w:val="24"/>
          <w:szCs w:val="24"/>
        </w:rPr>
        <w:t xml:space="preserve"> Gary Cross, </w:t>
      </w:r>
      <w:r w:rsidRPr="001161C4">
        <w:rPr>
          <w:i/>
          <w:iCs/>
          <w:sz w:val="24"/>
          <w:szCs w:val="24"/>
        </w:rPr>
        <w:t>Men to Boys</w:t>
      </w:r>
      <w:r w:rsidRPr="001161C4">
        <w:rPr>
          <w:sz w:val="24"/>
          <w:szCs w:val="24"/>
        </w:rPr>
        <w:t>, Columbia University Press, 2009, ps. 9-17.</w:t>
      </w:r>
    </w:p>
  </w:footnote>
  <w:footnote w:id="190">
    <w:p w14:paraId="119C1D7D" w14:textId="77777777" w:rsidR="00B10FA3" w:rsidRPr="001161C4" w:rsidRDefault="00B10FA3">
      <w:pPr>
        <w:pStyle w:val="FootnoteText"/>
        <w:rPr>
          <w:sz w:val="24"/>
          <w:szCs w:val="24"/>
        </w:rPr>
      </w:pPr>
      <w:r w:rsidRPr="001161C4">
        <w:rPr>
          <w:rStyle w:val="FootnoteReference"/>
          <w:sz w:val="24"/>
          <w:szCs w:val="24"/>
        </w:rPr>
        <w:footnoteRef/>
      </w:r>
      <w:r w:rsidRPr="001161C4">
        <w:rPr>
          <w:sz w:val="24"/>
          <w:szCs w:val="24"/>
        </w:rPr>
        <w:t xml:space="preserve"> Ibid, p. 120.</w:t>
      </w:r>
    </w:p>
  </w:footnote>
  <w:footnote w:id="191">
    <w:p w14:paraId="2D23EFCC" w14:textId="018C637B" w:rsidR="00B10FA3" w:rsidRDefault="00B10FA3">
      <w:pPr>
        <w:pStyle w:val="FootnoteText"/>
      </w:pPr>
      <w:r w:rsidRPr="001161C4">
        <w:rPr>
          <w:rStyle w:val="FootnoteReference"/>
          <w:sz w:val="24"/>
          <w:szCs w:val="24"/>
        </w:rPr>
        <w:footnoteRef/>
      </w:r>
      <w:r w:rsidRPr="001161C4">
        <w:rPr>
          <w:sz w:val="24"/>
          <w:szCs w:val="24"/>
        </w:rPr>
        <w:t xml:space="preserve"> Ibid, ps. 166-185.</w:t>
      </w:r>
    </w:p>
  </w:footnote>
  <w:footnote w:id="192">
    <w:p w14:paraId="56B31F1A" w14:textId="77777777" w:rsidR="00B10FA3" w:rsidRPr="001161C4" w:rsidRDefault="00B10FA3">
      <w:pPr>
        <w:pStyle w:val="FootnoteText"/>
        <w:rPr>
          <w:sz w:val="24"/>
          <w:szCs w:val="24"/>
        </w:rPr>
      </w:pPr>
      <w:r w:rsidRPr="001161C4">
        <w:rPr>
          <w:rStyle w:val="FootnoteReference"/>
          <w:sz w:val="24"/>
          <w:szCs w:val="24"/>
        </w:rPr>
        <w:footnoteRef/>
      </w:r>
      <w:r w:rsidRPr="001161C4">
        <w:rPr>
          <w:sz w:val="24"/>
          <w:szCs w:val="24"/>
        </w:rPr>
        <w:t xml:space="preserve"> Rebecca Walker, </w:t>
      </w:r>
      <w:r w:rsidRPr="001161C4">
        <w:rPr>
          <w:i/>
          <w:iCs/>
          <w:sz w:val="24"/>
          <w:szCs w:val="24"/>
        </w:rPr>
        <w:t>The Making of a Man, 1/21/2009</w:t>
      </w:r>
      <w:r w:rsidRPr="001161C4">
        <w:rPr>
          <w:sz w:val="24"/>
          <w:szCs w:val="24"/>
        </w:rPr>
        <w:t>, Newsweek, vol 153, issue 4-A.</w:t>
      </w:r>
    </w:p>
  </w:footnote>
  <w:footnote w:id="193">
    <w:p w14:paraId="30BD18EA" w14:textId="77777777" w:rsidR="00B10FA3" w:rsidRPr="00AE1F69" w:rsidRDefault="00B10FA3">
      <w:pPr>
        <w:pStyle w:val="FootnoteText"/>
        <w:rPr>
          <w:sz w:val="24"/>
          <w:szCs w:val="24"/>
        </w:rPr>
      </w:pPr>
      <w:r w:rsidRPr="00AE1F69">
        <w:rPr>
          <w:rStyle w:val="FootnoteReference"/>
          <w:sz w:val="24"/>
          <w:szCs w:val="24"/>
        </w:rPr>
        <w:footnoteRef/>
      </w:r>
      <w:r w:rsidRPr="00AE1F69">
        <w:rPr>
          <w:sz w:val="24"/>
          <w:szCs w:val="24"/>
        </w:rPr>
        <w:t xml:space="preserve"> One caveat here. A woman who plays out the tropes of toxic masculinity can be a useful idiot for the extreme right, insofar as she can potentially neutralize arguments from both men and women about sexism and discrimination. Teg Nugent</w:t>
      </w:r>
      <w:r>
        <w:rPr>
          <w:sz w:val="24"/>
          <w:szCs w:val="24"/>
        </w:rPr>
        <w:t>’</w:t>
      </w:r>
      <w:r w:rsidRPr="00AE1F69">
        <w:rPr>
          <w:sz w:val="24"/>
          <w:szCs w:val="24"/>
        </w:rPr>
        <w:t>s wife is usually posing with a crossbow, Lauren Boebert and Ma</w:t>
      </w:r>
      <w:r>
        <w:rPr>
          <w:sz w:val="24"/>
          <w:szCs w:val="24"/>
        </w:rPr>
        <w:t>r</w:t>
      </w:r>
      <w:r w:rsidRPr="00AE1F69">
        <w:rPr>
          <w:sz w:val="24"/>
          <w:szCs w:val="24"/>
        </w:rPr>
        <w:t>jorie Taylor Green with rifles or automatic weapons. In this context, right-wing women challenge non-right</w:t>
      </w:r>
      <w:r>
        <w:rPr>
          <w:sz w:val="24"/>
          <w:szCs w:val="24"/>
        </w:rPr>
        <w:t>-</w:t>
      </w:r>
      <w:r w:rsidRPr="00AE1F69">
        <w:rPr>
          <w:sz w:val="24"/>
          <w:szCs w:val="24"/>
        </w:rPr>
        <w:t xml:space="preserve">wing men on their </w:t>
      </w:r>
      <w:r>
        <w:rPr>
          <w:sz w:val="24"/>
          <w:szCs w:val="24"/>
        </w:rPr>
        <w:t>turf, over their toxic interpretation of masculinity</w:t>
      </w:r>
      <w:r w:rsidRPr="00AE1F69">
        <w:rPr>
          <w:sz w:val="24"/>
          <w:szCs w:val="24"/>
        </w:rPr>
        <w:t>, with an unflattering under</w:t>
      </w:r>
      <w:r>
        <w:rPr>
          <w:sz w:val="24"/>
          <w:szCs w:val="24"/>
        </w:rPr>
        <w:t>tone</w:t>
      </w:r>
      <w:r w:rsidRPr="00AE1F69">
        <w:rPr>
          <w:sz w:val="24"/>
          <w:szCs w:val="24"/>
        </w:rPr>
        <w:t xml:space="preserve"> that ‘if a woman can wield a gun, why the hell can’t a real man?’ It is akin to an African American taking a conservative position of civil rights – the whole point of the exercise is to confuse and disorient your opponent</w:t>
      </w:r>
      <w:r>
        <w:rPr>
          <w:sz w:val="24"/>
          <w:szCs w:val="24"/>
        </w:rPr>
        <w:t>, through changing the messenger.</w:t>
      </w:r>
    </w:p>
  </w:footnote>
  <w:footnote w:id="194">
    <w:p w14:paraId="61719522" w14:textId="4C99E0DD" w:rsidR="00B10FA3" w:rsidRPr="00620251" w:rsidRDefault="00B10FA3">
      <w:pPr>
        <w:pStyle w:val="FootnoteText"/>
      </w:pPr>
      <w:r w:rsidRPr="001161C4">
        <w:rPr>
          <w:rStyle w:val="FootnoteReference"/>
          <w:sz w:val="24"/>
          <w:szCs w:val="24"/>
        </w:rPr>
        <w:footnoteRef/>
      </w:r>
      <w:r w:rsidRPr="001161C4">
        <w:rPr>
          <w:sz w:val="24"/>
          <w:szCs w:val="24"/>
        </w:rPr>
        <w:t xml:space="preserve"> Jared Yates Sexton, </w:t>
      </w:r>
      <w:r w:rsidRPr="001161C4">
        <w:rPr>
          <w:i/>
          <w:iCs/>
          <w:sz w:val="24"/>
          <w:szCs w:val="24"/>
        </w:rPr>
        <w:t>The Man They Wanted Me to Be</w:t>
      </w:r>
      <w:r w:rsidRPr="001161C4">
        <w:rPr>
          <w:sz w:val="24"/>
          <w:szCs w:val="24"/>
        </w:rPr>
        <w:t>, 2019, ps. 3, 8, 9, 152.</w:t>
      </w:r>
    </w:p>
  </w:footnote>
  <w:footnote w:id="195">
    <w:p w14:paraId="5D73282B" w14:textId="4EF29DBB" w:rsidR="00B10FA3" w:rsidRPr="001161C4" w:rsidRDefault="00B10FA3">
      <w:pPr>
        <w:pStyle w:val="FootnoteText"/>
        <w:rPr>
          <w:sz w:val="24"/>
          <w:szCs w:val="24"/>
        </w:rPr>
      </w:pPr>
      <w:r w:rsidRPr="001161C4">
        <w:rPr>
          <w:rStyle w:val="FootnoteReference"/>
          <w:sz w:val="24"/>
          <w:szCs w:val="24"/>
        </w:rPr>
        <w:footnoteRef/>
      </w:r>
      <w:r w:rsidRPr="001161C4">
        <w:rPr>
          <w:sz w:val="24"/>
          <w:szCs w:val="24"/>
        </w:rPr>
        <w:t xml:space="preserve"> Judith Newton, Review of Mira Komarovsky’s </w:t>
      </w:r>
      <w:r w:rsidRPr="001161C4">
        <w:rPr>
          <w:i/>
          <w:iCs/>
          <w:sz w:val="24"/>
          <w:szCs w:val="24"/>
        </w:rPr>
        <w:t>Dilemmas of Masculinity</w:t>
      </w:r>
      <w:r w:rsidRPr="001161C4">
        <w:rPr>
          <w:sz w:val="24"/>
          <w:szCs w:val="24"/>
        </w:rPr>
        <w:t xml:space="preserve">, H-Net Reviews in the Humanities and Social Sciences, ps. 1-5. </w:t>
      </w:r>
    </w:p>
  </w:footnote>
  <w:footnote w:id="196">
    <w:p w14:paraId="25D8EC43" w14:textId="77777777" w:rsidR="00B10FA3" w:rsidRPr="001161C4" w:rsidRDefault="00B10FA3">
      <w:pPr>
        <w:pStyle w:val="FootnoteText"/>
        <w:rPr>
          <w:sz w:val="24"/>
          <w:szCs w:val="24"/>
        </w:rPr>
      </w:pPr>
      <w:r w:rsidRPr="001161C4">
        <w:rPr>
          <w:rStyle w:val="FootnoteReference"/>
          <w:sz w:val="24"/>
          <w:szCs w:val="24"/>
        </w:rPr>
        <w:footnoteRef/>
      </w:r>
      <w:r w:rsidRPr="001161C4">
        <w:rPr>
          <w:sz w:val="24"/>
          <w:szCs w:val="24"/>
        </w:rPr>
        <w:t xml:space="preserve"> Ibid, p. 5.</w:t>
      </w:r>
    </w:p>
  </w:footnote>
  <w:footnote w:id="197">
    <w:p w14:paraId="0DEC9CBC" w14:textId="77777777" w:rsidR="00B10FA3" w:rsidRPr="001161C4" w:rsidRDefault="00B10FA3">
      <w:pPr>
        <w:pStyle w:val="FootnoteText"/>
        <w:rPr>
          <w:sz w:val="24"/>
          <w:szCs w:val="24"/>
        </w:rPr>
      </w:pPr>
      <w:r w:rsidRPr="001161C4">
        <w:rPr>
          <w:rStyle w:val="FootnoteReference"/>
          <w:sz w:val="24"/>
          <w:szCs w:val="24"/>
        </w:rPr>
        <w:footnoteRef/>
      </w:r>
      <w:r w:rsidRPr="001161C4">
        <w:rPr>
          <w:sz w:val="24"/>
          <w:szCs w:val="24"/>
        </w:rPr>
        <w:t xml:space="preserve"> Cassie Jaye, </w:t>
      </w:r>
      <w:r w:rsidRPr="001161C4">
        <w:rPr>
          <w:i/>
          <w:iCs/>
          <w:sz w:val="24"/>
          <w:szCs w:val="24"/>
        </w:rPr>
        <w:t>The Red Pill</w:t>
      </w:r>
      <w:r w:rsidRPr="001161C4">
        <w:rPr>
          <w:sz w:val="24"/>
          <w:szCs w:val="24"/>
        </w:rPr>
        <w:t>, youtube.com/watch?v3WMuzhQXJoy (video).</w:t>
      </w:r>
    </w:p>
  </w:footnote>
  <w:footnote w:id="198">
    <w:p w14:paraId="49459C55" w14:textId="2FCAD282" w:rsidR="00B10FA3" w:rsidRPr="0030370C" w:rsidRDefault="00B10FA3">
      <w:pPr>
        <w:pStyle w:val="FootnoteText"/>
      </w:pPr>
      <w:r w:rsidRPr="001161C4">
        <w:rPr>
          <w:rStyle w:val="FootnoteReference"/>
          <w:sz w:val="24"/>
          <w:szCs w:val="24"/>
        </w:rPr>
        <w:footnoteRef/>
      </w:r>
      <w:r w:rsidRPr="001161C4">
        <w:rPr>
          <w:sz w:val="24"/>
          <w:szCs w:val="24"/>
        </w:rPr>
        <w:t xml:space="preserve"> Michael Kimmel, </w:t>
      </w:r>
      <w:r w:rsidRPr="001161C4">
        <w:rPr>
          <w:i/>
          <w:iCs/>
          <w:sz w:val="24"/>
          <w:szCs w:val="24"/>
        </w:rPr>
        <w:t>Angry White Men</w:t>
      </w:r>
      <w:r w:rsidRPr="001161C4">
        <w:rPr>
          <w:sz w:val="24"/>
          <w:szCs w:val="24"/>
        </w:rPr>
        <w:t>, ps. 33-38.</w:t>
      </w:r>
    </w:p>
  </w:footnote>
  <w:footnote w:id="199">
    <w:p w14:paraId="0E8B4006" w14:textId="77777777" w:rsidR="00B10FA3" w:rsidRPr="000E0B00" w:rsidRDefault="00B10FA3">
      <w:pPr>
        <w:pStyle w:val="FootnoteText"/>
        <w:rPr>
          <w:sz w:val="24"/>
          <w:szCs w:val="24"/>
        </w:rPr>
      </w:pPr>
      <w:r w:rsidRPr="000E0B00">
        <w:rPr>
          <w:rStyle w:val="FootnoteReference"/>
          <w:sz w:val="24"/>
          <w:szCs w:val="24"/>
        </w:rPr>
        <w:footnoteRef/>
      </w:r>
      <w:r w:rsidRPr="000E0B00">
        <w:rPr>
          <w:sz w:val="24"/>
          <w:szCs w:val="24"/>
        </w:rPr>
        <w:t xml:space="preserve"> Julia Marcus, </w:t>
      </w:r>
      <w:r w:rsidRPr="000E0B00">
        <w:rPr>
          <w:i/>
          <w:iCs/>
          <w:sz w:val="24"/>
          <w:szCs w:val="24"/>
        </w:rPr>
        <w:t xml:space="preserve">The Atlantic, </w:t>
      </w:r>
      <w:r w:rsidRPr="000E0B00">
        <w:rPr>
          <w:sz w:val="24"/>
          <w:szCs w:val="24"/>
        </w:rPr>
        <w:t>“The Dudes Who Won’t Wear Masks,”, 6/23/20.</w:t>
      </w:r>
    </w:p>
  </w:footnote>
  <w:footnote w:id="200">
    <w:p w14:paraId="0F23E32D" w14:textId="05A76F16" w:rsidR="00B10FA3" w:rsidRPr="005938DD" w:rsidRDefault="00B10FA3">
      <w:pPr>
        <w:pStyle w:val="FootnoteText"/>
      </w:pPr>
      <w:r w:rsidRPr="000E0B00">
        <w:rPr>
          <w:rStyle w:val="FootnoteReference"/>
          <w:sz w:val="24"/>
          <w:szCs w:val="24"/>
        </w:rPr>
        <w:footnoteRef/>
      </w:r>
      <w:r w:rsidRPr="000E0B00">
        <w:rPr>
          <w:sz w:val="24"/>
          <w:szCs w:val="24"/>
        </w:rPr>
        <w:t xml:space="preserve"> Cooper Thompson, </w:t>
      </w:r>
      <w:r w:rsidRPr="000E0B00">
        <w:rPr>
          <w:i/>
          <w:iCs/>
          <w:sz w:val="24"/>
          <w:szCs w:val="24"/>
        </w:rPr>
        <w:t>White Men Challenging Racism,</w:t>
      </w:r>
      <w:r w:rsidRPr="000E0B00">
        <w:rPr>
          <w:sz w:val="24"/>
          <w:szCs w:val="24"/>
        </w:rPr>
        <w:t xml:space="preserve"> Duke University Press, 2003, ps</w:t>
      </w:r>
      <w:r w:rsidR="002D3073">
        <w:rPr>
          <w:sz w:val="24"/>
          <w:szCs w:val="24"/>
        </w:rPr>
        <w:t>.</w:t>
      </w:r>
      <w:r w:rsidRPr="000E0B00">
        <w:rPr>
          <w:sz w:val="24"/>
          <w:szCs w:val="24"/>
        </w:rPr>
        <w:t xml:space="preserve"> 2-4.</w:t>
      </w:r>
    </w:p>
  </w:footnote>
  <w:footnote w:id="201">
    <w:p w14:paraId="6ECEE347" w14:textId="77777777" w:rsidR="00B10FA3" w:rsidRPr="006D1B55" w:rsidRDefault="00B10FA3">
      <w:pPr>
        <w:pStyle w:val="FootnoteText"/>
      </w:pPr>
      <w:r w:rsidRPr="008F31B8">
        <w:rPr>
          <w:rStyle w:val="FootnoteReference"/>
          <w:sz w:val="24"/>
          <w:szCs w:val="24"/>
        </w:rPr>
        <w:t>65</w:t>
      </w:r>
      <w:r>
        <w:t xml:space="preserve"> </w:t>
      </w:r>
      <w:r w:rsidRPr="007A2C85">
        <w:rPr>
          <w:sz w:val="24"/>
          <w:szCs w:val="24"/>
        </w:rPr>
        <w:t xml:space="preserve">Dennis Altman, </w:t>
      </w:r>
      <w:r w:rsidRPr="007A2C85">
        <w:rPr>
          <w:i/>
          <w:iCs/>
          <w:sz w:val="24"/>
          <w:szCs w:val="24"/>
        </w:rPr>
        <w:t>What Went Wrong When US Went Right</w:t>
      </w:r>
      <w:r w:rsidRPr="007A2C85">
        <w:rPr>
          <w:sz w:val="24"/>
          <w:szCs w:val="24"/>
        </w:rPr>
        <w:t>, (review), “The Destruction of Hillary Clinton, Susan Bordo.</w:t>
      </w:r>
    </w:p>
  </w:footnote>
  <w:footnote w:id="202">
    <w:p w14:paraId="11F201E6" w14:textId="77777777" w:rsidR="00B10FA3" w:rsidRPr="008F31B8" w:rsidRDefault="00B10FA3">
      <w:pPr>
        <w:pStyle w:val="FootnoteText"/>
        <w:rPr>
          <w:sz w:val="24"/>
          <w:szCs w:val="24"/>
        </w:rPr>
      </w:pPr>
      <w:r w:rsidRPr="008F31B8">
        <w:rPr>
          <w:rStyle w:val="FootnoteReference"/>
          <w:sz w:val="24"/>
          <w:szCs w:val="24"/>
        </w:rPr>
        <w:footnoteRef/>
      </w:r>
      <w:r w:rsidRPr="008F31B8">
        <w:rPr>
          <w:sz w:val="24"/>
          <w:szCs w:val="24"/>
        </w:rPr>
        <w:t xml:space="preserve"> There are also, without a doubt, concurring themes with anti-Islam sentiment that overlap issues regarding attire and privacy of the individual.</w:t>
      </w:r>
    </w:p>
  </w:footnote>
  <w:footnote w:id="203">
    <w:p w14:paraId="0C3F85A3" w14:textId="77777777" w:rsidR="00B10FA3" w:rsidRPr="002210E0" w:rsidRDefault="00B10FA3" w:rsidP="006F224B">
      <w:pPr>
        <w:pStyle w:val="FootnoteText"/>
        <w:ind w:left="0"/>
        <w:rPr>
          <w:sz w:val="24"/>
          <w:szCs w:val="24"/>
        </w:rPr>
      </w:pPr>
    </w:p>
  </w:footnote>
  <w:footnote w:id="204">
    <w:p w14:paraId="7BF670B7" w14:textId="77777777" w:rsidR="00B10FA3" w:rsidRDefault="00B10FA3">
      <w:pPr>
        <w:pStyle w:val="FootnoteText"/>
      </w:pPr>
      <w:r w:rsidRPr="002210E0">
        <w:rPr>
          <w:rStyle w:val="FootnoteReference"/>
          <w:sz w:val="24"/>
          <w:szCs w:val="24"/>
        </w:rPr>
        <w:footnoteRef/>
      </w:r>
      <w:r w:rsidRPr="002210E0">
        <w:rPr>
          <w:sz w:val="24"/>
          <w:szCs w:val="24"/>
        </w:rPr>
        <w:t xml:space="preserve"> A 17</w:t>
      </w:r>
      <w:r w:rsidRPr="002210E0">
        <w:rPr>
          <w:sz w:val="24"/>
          <w:szCs w:val="24"/>
          <w:vertAlign w:val="superscript"/>
        </w:rPr>
        <w:t>th</w:t>
      </w:r>
      <w:r w:rsidRPr="007A2C85">
        <w:rPr>
          <w:sz w:val="24"/>
          <w:szCs w:val="24"/>
        </w:rPr>
        <w:t xml:space="preserve"> century Dominican Spanish writer, </w:t>
      </w:r>
      <w:r w:rsidRPr="007A2C85">
        <w:rPr>
          <w:i/>
          <w:iCs/>
          <w:sz w:val="24"/>
          <w:szCs w:val="24"/>
        </w:rPr>
        <w:t>Francisco de Leon</w:t>
      </w:r>
      <w:r w:rsidRPr="007A2C85">
        <w:rPr>
          <w:sz w:val="24"/>
          <w:szCs w:val="24"/>
        </w:rPr>
        <w:t xml:space="preserve"> wrote in 1635 of the contemporaneous decline in Spain. He wrote of religious and noble leaders criticizing modernity; that idleness and pleasure seeking were increasingly present, while martial virtues and religiosity were increasingly de-emphasized. The “honorable pursuits” such as careers in the military and agriculture were being ignored for other institutions, such as the university, and the arts which were seen as effeminate.  “The men are becoming women” and “where are the men” became chants.</w:t>
      </w:r>
    </w:p>
  </w:footnote>
  <w:footnote w:id="205">
    <w:p w14:paraId="384F06A8" w14:textId="77777777" w:rsidR="00B10FA3" w:rsidRPr="00BC65C4" w:rsidRDefault="00B10FA3" w:rsidP="00F52E54">
      <w:pPr>
        <w:spacing w:line="360" w:lineRule="auto"/>
        <w:rPr>
          <w:color w:val="0D0D0D" w:themeColor="text1" w:themeTint="F2"/>
        </w:rPr>
      </w:pPr>
      <w:r w:rsidRPr="00BC65C4">
        <w:rPr>
          <w:rStyle w:val="FootnoteReference"/>
          <w:color w:val="0D0D0D" w:themeColor="text1" w:themeTint="F2"/>
        </w:rPr>
        <w:footnoteRef/>
      </w:r>
      <w:r w:rsidRPr="00BC65C4">
        <w:rPr>
          <w:color w:val="0D0D0D" w:themeColor="text1" w:themeTint="F2"/>
        </w:rPr>
        <w:t xml:space="preserve"> </w:t>
      </w:r>
      <w:r w:rsidRPr="00BC65C4">
        <w:rPr>
          <w:i/>
          <w:iCs/>
          <w:color w:val="0D0D0D" w:themeColor="text1" w:themeTint="F2"/>
        </w:rPr>
        <w:t>Clean and White: A History of Environmental Racism in the United States</w:t>
      </w:r>
      <w:r w:rsidRPr="00BC65C4">
        <w:rPr>
          <w:color w:val="0D0D0D" w:themeColor="text1" w:themeTint="F2"/>
        </w:rPr>
        <w:t xml:space="preserve">, </w:t>
      </w:r>
      <w:r w:rsidRPr="00BC65C4">
        <w:rPr>
          <w:rStyle w:val="name"/>
          <w:color w:val="0D0D0D" w:themeColor="text1" w:themeTint="F2"/>
        </w:rPr>
        <w:t>Carl A. Zimring,</w:t>
      </w:r>
    </w:p>
    <w:p w14:paraId="4ABF1D58" w14:textId="035D5877" w:rsidR="00B10FA3" w:rsidRPr="00BC65C4" w:rsidRDefault="00B10FA3" w:rsidP="00F52E54">
      <w:pPr>
        <w:spacing w:line="360" w:lineRule="auto"/>
        <w:rPr>
          <w:color w:val="0D0D0D" w:themeColor="text1" w:themeTint="F2"/>
        </w:rPr>
      </w:pPr>
      <w:r w:rsidRPr="00BC65C4">
        <w:rPr>
          <w:color w:val="0D0D0D" w:themeColor="text1" w:themeTint="F2"/>
        </w:rPr>
        <w:t xml:space="preserve"> 2015, </w:t>
      </w:r>
      <w:hyperlink r:id="rId19" w:history="1">
        <w:r w:rsidRPr="00BC65C4">
          <w:rPr>
            <w:rStyle w:val="Hyperlink"/>
            <w:color w:val="0D0D0D" w:themeColor="text1" w:themeTint="F2"/>
          </w:rPr>
          <w:t>NYU Press</w:t>
        </w:r>
      </w:hyperlink>
      <w:r w:rsidRPr="00BC65C4">
        <w:rPr>
          <w:color w:val="0D0D0D" w:themeColor="text1" w:themeTint="F2"/>
        </w:rPr>
        <w:t>, ps. 79-106.</w:t>
      </w:r>
    </w:p>
    <w:p w14:paraId="20D5894B" w14:textId="77777777" w:rsidR="00B10FA3" w:rsidRDefault="00B10FA3">
      <w:pPr>
        <w:pStyle w:val="FootnoteText"/>
      </w:pPr>
    </w:p>
  </w:footnote>
  <w:footnote w:id="206">
    <w:p w14:paraId="3B00D14C" w14:textId="1D5D01ED" w:rsidR="00B10FA3" w:rsidRPr="008D4693" w:rsidRDefault="00B10FA3" w:rsidP="00681276">
      <w:pPr>
        <w:spacing w:line="240" w:lineRule="auto"/>
      </w:pPr>
      <w:r>
        <w:rPr>
          <w:rStyle w:val="FootnoteReference"/>
        </w:rPr>
        <w:footnoteRef/>
      </w:r>
      <w:r>
        <w:t xml:space="preserve"> A. Hochschild, </w:t>
      </w:r>
      <w:r>
        <w:rPr>
          <w:i/>
          <w:iCs/>
        </w:rPr>
        <w:t>Strangers in their Own Land</w:t>
      </w:r>
      <w:r>
        <w:t xml:space="preserve">, (Kindle). </w:t>
      </w:r>
      <w:r w:rsidR="002D3073">
        <w:t>p</w:t>
      </w:r>
      <w:r>
        <w:t xml:space="preserve">s. 12-40. Often, the same conservative entities seek to </w:t>
      </w:r>
      <w:r>
        <w:rPr>
          <w:i/>
          <w:iCs/>
        </w:rPr>
        <w:t>increase</w:t>
      </w:r>
      <w:r>
        <w:t xml:space="preserve"> regulations on women and minorities, such as banning abortion, reducing social services in cities, and increasing criminal penalties and incarceration levels in their prisons. Support for the death penalty, aggressive foreign policy, high levels of incarceration, unregulated policing, and conspiracies against free and fair elections are not small government actions – far from it. They are the indicators of budding authoritarianism.</w:t>
      </w:r>
    </w:p>
    <w:p w14:paraId="296A1C4A" w14:textId="77777777" w:rsidR="00B10FA3" w:rsidRPr="00681276" w:rsidRDefault="00B10FA3">
      <w:pPr>
        <w:pStyle w:val="FootnoteText"/>
      </w:pPr>
    </w:p>
  </w:footnote>
  <w:footnote w:id="207">
    <w:p w14:paraId="66CC07E4" w14:textId="77777777" w:rsidR="00B10FA3" w:rsidRPr="00233FB0" w:rsidRDefault="00B10FA3">
      <w:pPr>
        <w:pStyle w:val="FootnoteText"/>
        <w:rPr>
          <w:sz w:val="24"/>
          <w:szCs w:val="24"/>
        </w:rPr>
      </w:pPr>
      <w:r w:rsidRPr="00233FB0">
        <w:rPr>
          <w:rStyle w:val="FootnoteReference"/>
          <w:sz w:val="24"/>
          <w:szCs w:val="24"/>
        </w:rPr>
        <w:footnoteRef/>
      </w:r>
      <w:r w:rsidRPr="00233FB0">
        <w:rPr>
          <w:sz w:val="24"/>
          <w:szCs w:val="24"/>
        </w:rPr>
        <w:t xml:space="preserve"> Ibid.</w:t>
      </w:r>
    </w:p>
  </w:footnote>
  <w:footnote w:id="208">
    <w:p w14:paraId="7A5303A9" w14:textId="77777777" w:rsidR="00B10FA3" w:rsidRDefault="00B10FA3" w:rsidP="00BB0F30">
      <w:r>
        <w:rPr>
          <w:rStyle w:val="FootnoteReference"/>
        </w:rPr>
        <w:footnoteRef/>
      </w:r>
      <w:r>
        <w:t xml:space="preserve"> </w:t>
      </w:r>
      <w:r w:rsidRPr="00644224">
        <w:rPr>
          <w:rFonts w:ascii="Times New Roman" w:hAnsi="Times New Roman" w:cs="Times New Roman"/>
        </w:rPr>
        <w:t xml:space="preserve">Harry Frankfurt, </w:t>
      </w:r>
      <w:r w:rsidRPr="00644224">
        <w:rPr>
          <w:rFonts w:ascii="Times New Roman" w:hAnsi="Times New Roman" w:cs="Times New Roman"/>
          <w:i/>
          <w:iCs/>
        </w:rPr>
        <w:t>On Truth,</w:t>
      </w:r>
      <w:r w:rsidRPr="00644224">
        <w:rPr>
          <w:rFonts w:ascii="Times New Roman" w:hAnsi="Times New Roman" w:cs="Times New Roman"/>
        </w:rPr>
        <w:t xml:space="preserve"> Alfred Knopf, NY, 2006, </w:t>
      </w:r>
      <w:proofErr w:type="spellStart"/>
      <w:r w:rsidRPr="00644224">
        <w:rPr>
          <w:rFonts w:ascii="Times New Roman" w:hAnsi="Times New Roman" w:cs="Times New Roman"/>
        </w:rPr>
        <w:t>pps</w:t>
      </w:r>
      <w:proofErr w:type="spellEnd"/>
      <w:r w:rsidRPr="00644224">
        <w:rPr>
          <w:rFonts w:ascii="Times New Roman" w:hAnsi="Times New Roman" w:cs="Times New Roman"/>
        </w:rPr>
        <w:t>. 78-81</w:t>
      </w:r>
      <w:r>
        <w:t>.</w:t>
      </w:r>
    </w:p>
    <w:p w14:paraId="5DC055B1" w14:textId="77777777" w:rsidR="00B10FA3" w:rsidRDefault="00B10FA3">
      <w:pPr>
        <w:pStyle w:val="FootnoteText"/>
      </w:pPr>
    </w:p>
  </w:footnote>
  <w:footnote w:id="209">
    <w:p w14:paraId="36A44556" w14:textId="77777777" w:rsidR="00B10FA3" w:rsidRPr="00782036" w:rsidRDefault="00B10FA3">
      <w:pPr>
        <w:pStyle w:val="FootnoteText"/>
        <w:rPr>
          <w:rFonts w:ascii="Times New Roman" w:hAnsi="Times New Roman" w:cs="Times New Roman"/>
          <w:sz w:val="24"/>
          <w:szCs w:val="24"/>
        </w:rPr>
      </w:pPr>
      <w:r w:rsidRPr="00782036">
        <w:rPr>
          <w:rStyle w:val="FootnoteReference"/>
          <w:rFonts w:ascii="Times New Roman" w:hAnsi="Times New Roman" w:cs="Times New Roman"/>
          <w:sz w:val="24"/>
          <w:szCs w:val="24"/>
        </w:rPr>
        <w:footnoteRef/>
      </w:r>
      <w:r w:rsidRPr="00782036">
        <w:rPr>
          <w:rFonts w:ascii="Times New Roman" w:hAnsi="Times New Roman" w:cs="Times New Roman"/>
          <w:sz w:val="24"/>
          <w:szCs w:val="24"/>
        </w:rPr>
        <w:t xml:space="preserve"> Noam Chomsky, </w:t>
      </w:r>
      <w:r w:rsidRPr="00782036">
        <w:rPr>
          <w:rFonts w:ascii="Times New Roman" w:hAnsi="Times New Roman" w:cs="Times New Roman"/>
          <w:i/>
          <w:iCs/>
          <w:sz w:val="24"/>
          <w:szCs w:val="24"/>
        </w:rPr>
        <w:t>Who Rules the World?</w:t>
      </w:r>
      <w:r w:rsidRPr="00782036">
        <w:rPr>
          <w:rFonts w:ascii="Times New Roman" w:hAnsi="Times New Roman" w:cs="Times New Roman"/>
          <w:sz w:val="24"/>
          <w:szCs w:val="24"/>
        </w:rPr>
        <w:t xml:space="preserve"> Penguin Books, London, 2017, p. 239.</w:t>
      </w:r>
    </w:p>
  </w:footnote>
  <w:footnote w:id="210">
    <w:p w14:paraId="5704CC82" w14:textId="77777777" w:rsidR="00B10FA3" w:rsidRPr="00967669" w:rsidRDefault="00B10FA3">
      <w:pPr>
        <w:pStyle w:val="FootnoteText"/>
        <w:rPr>
          <w:rFonts w:ascii="Times New Roman" w:hAnsi="Times New Roman" w:cs="Times New Roman"/>
          <w:sz w:val="24"/>
          <w:szCs w:val="24"/>
        </w:rPr>
      </w:pPr>
      <w:r w:rsidRPr="00967669">
        <w:rPr>
          <w:rStyle w:val="FootnoteReference"/>
          <w:rFonts w:ascii="Times New Roman" w:hAnsi="Times New Roman" w:cs="Times New Roman"/>
          <w:sz w:val="24"/>
          <w:szCs w:val="24"/>
        </w:rPr>
        <w:footnoteRef/>
      </w:r>
      <w:r w:rsidRPr="00967669">
        <w:rPr>
          <w:rFonts w:ascii="Times New Roman" w:hAnsi="Times New Roman" w:cs="Times New Roman"/>
          <w:sz w:val="24"/>
          <w:szCs w:val="24"/>
        </w:rPr>
        <w:t xml:space="preserve"> Christian B. Miller, “Honesty and Dishonesty,” </w:t>
      </w:r>
      <w:r w:rsidRPr="00967669">
        <w:rPr>
          <w:rFonts w:ascii="Times New Roman" w:hAnsi="Times New Roman" w:cs="Times New Roman"/>
          <w:i/>
          <w:iCs/>
          <w:sz w:val="24"/>
          <w:szCs w:val="24"/>
        </w:rPr>
        <w:t xml:space="preserve">Revista </w:t>
      </w:r>
      <w:proofErr w:type="spellStart"/>
      <w:r w:rsidRPr="00967669">
        <w:rPr>
          <w:rFonts w:ascii="Times New Roman" w:hAnsi="Times New Roman" w:cs="Times New Roman"/>
          <w:i/>
          <w:iCs/>
          <w:sz w:val="24"/>
          <w:szCs w:val="24"/>
        </w:rPr>
        <w:t>Portugesa</w:t>
      </w:r>
      <w:proofErr w:type="spellEnd"/>
      <w:r w:rsidRPr="00967669">
        <w:rPr>
          <w:rFonts w:ascii="Times New Roman" w:hAnsi="Times New Roman" w:cs="Times New Roman"/>
          <w:i/>
          <w:iCs/>
          <w:sz w:val="24"/>
          <w:szCs w:val="24"/>
        </w:rPr>
        <w:t xml:space="preserve"> de Filosofia</w:t>
      </w:r>
      <w:r w:rsidRPr="00967669">
        <w:rPr>
          <w:rFonts w:ascii="Times New Roman" w:hAnsi="Times New Roman" w:cs="Times New Roman"/>
          <w:sz w:val="24"/>
          <w:szCs w:val="24"/>
        </w:rPr>
        <w:t>, 2020, p. 352.</w:t>
      </w:r>
    </w:p>
  </w:footnote>
  <w:footnote w:id="211">
    <w:p w14:paraId="6E267004" w14:textId="77777777" w:rsidR="00B10FA3" w:rsidRPr="004A2CA2" w:rsidRDefault="00B10FA3">
      <w:pPr>
        <w:pStyle w:val="FootnoteText"/>
        <w:rPr>
          <w:rFonts w:ascii="Times New Roman" w:hAnsi="Times New Roman" w:cs="Times New Roman"/>
          <w:sz w:val="24"/>
          <w:szCs w:val="24"/>
        </w:rPr>
      </w:pPr>
      <w:r w:rsidRPr="004A2CA2">
        <w:rPr>
          <w:rStyle w:val="FootnoteReference"/>
          <w:rFonts w:ascii="Times New Roman" w:hAnsi="Times New Roman" w:cs="Times New Roman"/>
          <w:sz w:val="24"/>
          <w:szCs w:val="24"/>
        </w:rPr>
        <w:footnoteRef/>
      </w:r>
      <w:r w:rsidRPr="004A2CA2">
        <w:rPr>
          <w:rFonts w:ascii="Times New Roman" w:hAnsi="Times New Roman" w:cs="Times New Roman"/>
          <w:sz w:val="24"/>
          <w:szCs w:val="24"/>
        </w:rPr>
        <w:t xml:space="preserve"> https://www.charlesrussellspeechlys.com/en/insights/expert-insights/dispute-resolution/2023/domicile-disputes-actions-speak-louder-than-words</w:t>
      </w:r>
    </w:p>
  </w:footnote>
  <w:footnote w:id="212">
    <w:p w14:paraId="53A42CA8" w14:textId="77777777" w:rsidR="00B10FA3" w:rsidRDefault="00B10FA3">
      <w:pPr>
        <w:pStyle w:val="FootnoteText"/>
      </w:pPr>
      <w:r w:rsidRPr="004A2CA2">
        <w:rPr>
          <w:rStyle w:val="FootnoteReference"/>
          <w:rFonts w:ascii="Times New Roman" w:hAnsi="Times New Roman" w:cs="Times New Roman"/>
          <w:sz w:val="24"/>
          <w:szCs w:val="24"/>
        </w:rPr>
        <w:footnoteRef/>
      </w:r>
      <w:r w:rsidRPr="004A2CA2">
        <w:rPr>
          <w:rFonts w:ascii="Times New Roman" w:hAnsi="Times New Roman" w:cs="Times New Roman"/>
          <w:sz w:val="24"/>
          <w:szCs w:val="24"/>
        </w:rPr>
        <w:t xml:space="preserve"> Ibid.</w:t>
      </w:r>
    </w:p>
  </w:footnote>
  <w:footnote w:id="213">
    <w:p w14:paraId="5C5215C0" w14:textId="77777777" w:rsidR="00B10FA3" w:rsidRPr="000E3636" w:rsidRDefault="00B10FA3">
      <w:pPr>
        <w:pStyle w:val="FootnoteText"/>
        <w:rPr>
          <w:rFonts w:ascii="Times New Roman" w:hAnsi="Times New Roman" w:cs="Times New Roman"/>
          <w:sz w:val="24"/>
          <w:szCs w:val="24"/>
        </w:rPr>
      </w:pPr>
      <w:r w:rsidRPr="000E3636">
        <w:rPr>
          <w:rStyle w:val="FootnoteReference"/>
          <w:rFonts w:ascii="Times New Roman" w:hAnsi="Times New Roman" w:cs="Times New Roman"/>
          <w:sz w:val="24"/>
          <w:szCs w:val="24"/>
        </w:rPr>
        <w:footnoteRef/>
      </w:r>
      <w:r w:rsidRPr="000E3636">
        <w:rPr>
          <w:rFonts w:ascii="Times New Roman" w:hAnsi="Times New Roman" w:cs="Times New Roman"/>
          <w:sz w:val="24"/>
          <w:szCs w:val="24"/>
        </w:rPr>
        <w:t xml:space="preserve"> Natalie Kononenko and Svetlana Kukharenko, “Borat the Trickster,” </w:t>
      </w:r>
      <w:r w:rsidRPr="000E3636">
        <w:rPr>
          <w:rFonts w:ascii="Times New Roman" w:hAnsi="Times New Roman" w:cs="Times New Roman"/>
          <w:i/>
          <w:iCs/>
          <w:sz w:val="24"/>
          <w:szCs w:val="24"/>
        </w:rPr>
        <w:t>Slavic Review</w:t>
      </w:r>
      <w:r w:rsidRPr="000E3636">
        <w:rPr>
          <w:rFonts w:ascii="Times New Roman" w:hAnsi="Times New Roman" w:cs="Times New Roman"/>
          <w:sz w:val="24"/>
          <w:szCs w:val="24"/>
        </w:rPr>
        <w:t>, vol. 67, #1, Spring 2008, p. 8-10.</w:t>
      </w:r>
    </w:p>
  </w:footnote>
  <w:footnote w:id="214">
    <w:p w14:paraId="54195618" w14:textId="77777777" w:rsidR="00B10FA3" w:rsidRPr="005562E6" w:rsidRDefault="00B10FA3">
      <w:pPr>
        <w:pStyle w:val="FootnoteText"/>
        <w:rPr>
          <w:rFonts w:ascii="Times New Roman" w:hAnsi="Times New Roman" w:cs="Times New Roman"/>
          <w:sz w:val="24"/>
          <w:szCs w:val="24"/>
        </w:rPr>
      </w:pPr>
      <w:r w:rsidRPr="000E3636">
        <w:rPr>
          <w:rStyle w:val="FootnoteReference"/>
          <w:rFonts w:ascii="Times New Roman" w:hAnsi="Times New Roman" w:cs="Times New Roman"/>
          <w:sz w:val="24"/>
          <w:szCs w:val="24"/>
        </w:rPr>
        <w:footnoteRef/>
      </w:r>
      <w:r w:rsidRPr="000E3636">
        <w:rPr>
          <w:rFonts w:ascii="Times New Roman" w:hAnsi="Times New Roman" w:cs="Times New Roman"/>
          <w:sz w:val="24"/>
          <w:szCs w:val="24"/>
        </w:rPr>
        <w:t xml:space="preserve"> Ibid, p. 13-15</w:t>
      </w:r>
    </w:p>
  </w:footnote>
  <w:footnote w:id="215">
    <w:p w14:paraId="6B08AD69" w14:textId="77777777" w:rsidR="00B10FA3" w:rsidRPr="00732236" w:rsidRDefault="00B10FA3" w:rsidP="00AB41DE">
      <w:pPr>
        <w:spacing w:line="240" w:lineRule="auto"/>
        <w:rPr>
          <w:rFonts w:ascii="Times New Roman" w:hAnsi="Times New Roman" w:cs="Times New Roman"/>
          <w:i/>
          <w:iCs/>
        </w:rPr>
      </w:pPr>
      <w:r w:rsidRPr="00732236">
        <w:rPr>
          <w:rStyle w:val="FootnoteReference"/>
          <w:rFonts w:ascii="Times New Roman" w:hAnsi="Times New Roman" w:cs="Times New Roman"/>
        </w:rPr>
        <w:footnoteRef/>
      </w:r>
      <w:r w:rsidRPr="00732236">
        <w:rPr>
          <w:rFonts w:ascii="Times New Roman" w:hAnsi="Times New Roman" w:cs="Times New Roman"/>
        </w:rPr>
        <w:t xml:space="preserve"> Thomas K. Murphy, </w:t>
      </w:r>
      <w:r w:rsidRPr="00732236">
        <w:rPr>
          <w:rFonts w:ascii="Times New Roman" w:hAnsi="Times New Roman" w:cs="Times New Roman"/>
          <w:i/>
          <w:iCs/>
        </w:rPr>
        <w:t xml:space="preserve">The Obscenity of Trumpism. </w:t>
      </w:r>
      <w:r w:rsidRPr="00732236">
        <w:rPr>
          <w:rFonts w:ascii="Times New Roman" w:hAnsi="Times New Roman" w:cs="Times New Roman"/>
        </w:rPr>
        <w:t>Essay. February, 2023, Duisburg, Belgium.</w:t>
      </w:r>
      <w:r w:rsidRPr="00732236">
        <w:rPr>
          <w:rFonts w:ascii="Times New Roman" w:hAnsi="Times New Roman" w:cs="Times New Roman"/>
          <w:i/>
          <w:iCs/>
        </w:rPr>
        <w:t xml:space="preserve"> </w:t>
      </w:r>
    </w:p>
    <w:p w14:paraId="46F1750D" w14:textId="77777777" w:rsidR="00B10FA3" w:rsidRPr="0064514C" w:rsidRDefault="00B10FA3" w:rsidP="00AB41DE">
      <w:pPr>
        <w:spacing w:line="240" w:lineRule="auto"/>
        <w:rPr>
          <w:rFonts w:eastAsia="Times New Roman"/>
          <w:i/>
          <w:iCs/>
          <w:lang w:eastAsia="en-CA"/>
        </w:rPr>
      </w:pPr>
      <w:r>
        <w:rPr>
          <w:rFonts w:eastAsia="Times New Roman"/>
          <w:i/>
          <w:iCs/>
          <w:lang w:eastAsia="en-CA"/>
        </w:rPr>
        <w:t>(The following excerpts are</w:t>
      </w:r>
      <w:r w:rsidRPr="0064514C">
        <w:rPr>
          <w:rFonts w:eastAsia="Times New Roman"/>
          <w:i/>
          <w:iCs/>
          <w:lang w:eastAsia="en-CA"/>
        </w:rPr>
        <w:t xml:space="preserve"> not about D. Trump</w:t>
      </w:r>
      <w:r>
        <w:rPr>
          <w:rFonts w:eastAsia="Times New Roman"/>
          <w:i/>
          <w:iCs/>
          <w:lang w:eastAsia="en-CA"/>
        </w:rPr>
        <w:t xml:space="preserve"> specifically</w:t>
      </w:r>
      <w:r w:rsidRPr="0064514C">
        <w:rPr>
          <w:rFonts w:eastAsia="Times New Roman"/>
          <w:i/>
          <w:iCs/>
          <w:lang w:eastAsia="en-CA"/>
        </w:rPr>
        <w:t xml:space="preserve">, but </w:t>
      </w:r>
      <w:r>
        <w:rPr>
          <w:rFonts w:eastAsia="Times New Roman"/>
          <w:i/>
          <w:iCs/>
          <w:lang w:eastAsia="en-CA"/>
        </w:rPr>
        <w:t xml:space="preserve">are </w:t>
      </w:r>
      <w:r w:rsidRPr="0064514C">
        <w:rPr>
          <w:rFonts w:eastAsia="Times New Roman"/>
          <w:i/>
          <w:iCs/>
          <w:lang w:eastAsia="en-CA"/>
        </w:rPr>
        <w:t xml:space="preserve">rather about the societal shifts that have laid the ground work for Trump and Trumpism to thrive. This extended, annotated footnote is an essay that I composed in 2023, and it meant simply to serve as a sidebar to the manuscript.) </w:t>
      </w:r>
    </w:p>
    <w:p w14:paraId="382460BE" w14:textId="77777777" w:rsidR="00B10FA3" w:rsidRPr="00AB41DE" w:rsidRDefault="00B10FA3" w:rsidP="00AB41DE">
      <w:pPr>
        <w:spacing w:line="240" w:lineRule="auto"/>
        <w:rPr>
          <w:rFonts w:eastAsia="Times New Roman"/>
          <w:lang w:eastAsia="en-CA"/>
        </w:rPr>
      </w:pPr>
      <w:r w:rsidRPr="00AB41DE">
        <w:rPr>
          <w:rFonts w:eastAsia="Times New Roman"/>
          <w:lang w:eastAsia="en-CA"/>
        </w:rPr>
        <w:t xml:space="preserve">The trademark of Trumpism is the </w:t>
      </w:r>
      <w:r w:rsidRPr="00FC054B">
        <w:rPr>
          <w:rFonts w:eastAsia="Times New Roman"/>
          <w:i/>
          <w:iCs/>
          <w:lang w:eastAsia="en-CA"/>
        </w:rPr>
        <w:t>defiling of American political norms</w:t>
      </w:r>
      <w:r w:rsidRPr="00AB41DE">
        <w:rPr>
          <w:rFonts w:eastAsia="Times New Roman"/>
          <w:lang w:eastAsia="en-CA"/>
        </w:rPr>
        <w:t>; practices that are not written into law, but simply followed routinely and historically by both the victor and the loyal opposition. The blatant disregard for such practices, whether they be attendance of a defeated President at the inauguration of the newly elected one, the refusal to hold press conferences, the use of rough language in a public setting, the use of the Attorney General as a personal legal representative, and seemingly countless other transgressions leaves many with a sense that the foundations of our system of government are not as solid as we may have thought. Further, the ability over well over 100 members of the House to oppose the legitimate count of electoral votes is not illegal, though it indicates a complete betrayal of the electoral process. Insurgents at the Capitol are treated as ‘trespassers,’ when far more nefarious goals were clearly evident. I mention just a sample.</w:t>
      </w:r>
    </w:p>
    <w:p w14:paraId="66A03DE0" w14:textId="601A9D17" w:rsidR="00B10FA3" w:rsidRPr="00AB41DE" w:rsidRDefault="00B10FA3" w:rsidP="00AB41DE">
      <w:pPr>
        <w:spacing w:after="0" w:line="240" w:lineRule="auto"/>
        <w:rPr>
          <w:rFonts w:eastAsia="Times New Roman"/>
          <w:lang w:eastAsia="en-CA"/>
        </w:rPr>
      </w:pPr>
      <w:r w:rsidRPr="00AB41DE">
        <w:rPr>
          <w:rFonts w:eastAsia="Times New Roman"/>
          <w:lang w:eastAsia="en-CA"/>
        </w:rPr>
        <w:t>Similarly, the Big Lie has been driven home - often casually – regarding the Mueller Report, the shameless actions of S. Bannon and R. Stone, and principally regarding the events of the 2020 election and the January 6 insurrection. We are told that lying carries no penalty, long as it is done outside of the court room, as R. Giuli</w:t>
      </w:r>
      <w:r w:rsidR="00334795">
        <w:rPr>
          <w:rFonts w:eastAsia="Times New Roman"/>
          <w:lang w:eastAsia="en-CA"/>
        </w:rPr>
        <w:t>a</w:t>
      </w:r>
      <w:r w:rsidRPr="00AB41DE">
        <w:rPr>
          <w:rFonts w:eastAsia="Times New Roman"/>
          <w:lang w:eastAsia="en-CA"/>
        </w:rPr>
        <w:t>ni and S. Powell demonstrated in the schizoid public denials of election irregularities in court, while later the same day ginning up the conspiracies on Fox and other public forums.</w:t>
      </w:r>
    </w:p>
    <w:p w14:paraId="2C72A6F3" w14:textId="77777777" w:rsidR="00B10FA3" w:rsidRPr="00AB41DE" w:rsidRDefault="00B10FA3" w:rsidP="00AB41DE">
      <w:pPr>
        <w:spacing w:after="0" w:line="240" w:lineRule="auto"/>
        <w:rPr>
          <w:rFonts w:eastAsia="Times New Roman"/>
          <w:lang w:eastAsia="en-CA"/>
        </w:rPr>
      </w:pPr>
      <w:r>
        <w:rPr>
          <w:rFonts w:eastAsia="Times New Roman"/>
          <w:lang w:eastAsia="en-CA"/>
        </w:rPr>
        <w:t xml:space="preserve">     </w:t>
      </w:r>
      <w:r w:rsidRPr="00AB41DE">
        <w:rPr>
          <w:rFonts w:eastAsia="Times New Roman"/>
          <w:lang w:eastAsia="en-CA"/>
        </w:rPr>
        <w:t>What does it mean when government officials lie casually to the public? Certainly, the very act of public political speech invariably involves subtle chicanery and misdirection; the careful inclusion or exclusion of material, along with appeals to an audiences baser or more vulnerable sensibilities. This is the traditional gilding of the lily; this is basic political rhetoric. Systematic lying is more sinister, more conspiratorial, involving a narrative that may bear no enduring semblance to reality. In Cambodia, the Khmer Rouge utilized both language and music as a means of inculcating preferred thinking, appropriating traditional forms to the purposes of the regime, while banning modern music. Urban dwellers were demonized, as was education and social standing, resulting in the near total elimination of the Cambodian professional class. It was said that literacy, even the wearing of glasses, could be a death sentence.</w:t>
      </w:r>
    </w:p>
    <w:p w14:paraId="457B7352" w14:textId="77777777" w:rsidR="00B10FA3" w:rsidRPr="00AB41DE" w:rsidRDefault="00B10FA3" w:rsidP="00AB41DE">
      <w:pPr>
        <w:spacing w:after="0" w:line="240" w:lineRule="auto"/>
        <w:rPr>
          <w:rFonts w:eastAsia="Times New Roman"/>
          <w:lang w:eastAsia="en-CA"/>
        </w:rPr>
      </w:pPr>
      <w:r>
        <w:rPr>
          <w:rFonts w:eastAsia="Times New Roman"/>
          <w:lang w:eastAsia="en-CA"/>
        </w:rPr>
        <w:t xml:space="preserve">     </w:t>
      </w:r>
      <w:r w:rsidRPr="00AB41DE">
        <w:rPr>
          <w:rFonts w:eastAsia="Times New Roman"/>
          <w:lang w:eastAsia="en-CA"/>
        </w:rPr>
        <w:t>The Third Reich used fear of invasion from without and subversion from within as a dual narrative of propaganda. The Jews were a form of internal corruption to the German spirit, while Bolshevism posed an existential external threat to the German Volk. Eventually, the two themes were combined as “Jewish Bolshevism” from the Russian menace.</w:t>
      </w:r>
    </w:p>
    <w:p w14:paraId="2C03EFBA" w14:textId="77777777" w:rsidR="00B10FA3" w:rsidRPr="00AB41DE" w:rsidRDefault="00B10FA3" w:rsidP="00AB41DE">
      <w:pPr>
        <w:spacing w:after="0" w:line="240" w:lineRule="auto"/>
        <w:rPr>
          <w:rFonts w:eastAsia="Times New Roman"/>
          <w:lang w:eastAsia="en-CA"/>
        </w:rPr>
      </w:pPr>
      <w:r>
        <w:rPr>
          <w:rFonts w:eastAsia="Times New Roman"/>
          <w:lang w:eastAsia="en-CA"/>
        </w:rPr>
        <w:t xml:space="preserve">     </w:t>
      </w:r>
      <w:r w:rsidRPr="00AB41DE">
        <w:rPr>
          <w:rFonts w:eastAsia="Times New Roman"/>
          <w:lang w:eastAsia="en-CA"/>
        </w:rPr>
        <w:t xml:space="preserve">In the pre-WWII Stalinist Soviet Union, Joseph Stalin was often regarded as the “father of nations,” or the “gardener of human happiness,” while literally a million people were disappeared in a two-year period from 1937-39. George Orwell’s 1984, inspired by Soviet totalitarianism, describes various state ministries in his dystopian novel: The Ministry of War was called the Ministry of Peace, The Ministry of Torture was called the Ministry of Love, and the Ministry of Truth was used for official lying. </w:t>
      </w:r>
    </w:p>
    <w:p w14:paraId="2E106B5E" w14:textId="77777777" w:rsidR="00B10FA3" w:rsidRPr="00AB41DE" w:rsidRDefault="00B10FA3" w:rsidP="00AB41DE">
      <w:pPr>
        <w:spacing w:after="0" w:line="240" w:lineRule="auto"/>
        <w:rPr>
          <w:rFonts w:eastAsia="Times New Roman"/>
          <w:lang w:eastAsia="en-CA"/>
        </w:rPr>
      </w:pPr>
      <w:r>
        <w:rPr>
          <w:rFonts w:eastAsia="Times New Roman"/>
          <w:lang w:eastAsia="en-CA"/>
        </w:rPr>
        <w:t xml:space="preserve">     </w:t>
      </w:r>
      <w:r w:rsidRPr="00AB41DE">
        <w:rPr>
          <w:rFonts w:eastAsia="Times New Roman"/>
          <w:lang w:eastAsia="en-CA"/>
        </w:rPr>
        <w:t>Which brings us to the Trump regime. We live today in our own dystopia; a country in which a sizable portion of citizens believe (or at least claim to believe) a series of blatant and provable lies about the 2020 election, the Democratic Party and the January 6 insurrection. Are these lies untouchable legally? I am beginning to believe not. It is my contention that systematic, cynical, organized and propagandistic lying may not constitute protected first amendment speech, on the grounds of obscenity.</w:t>
      </w:r>
    </w:p>
    <w:p w14:paraId="46F3C2D9" w14:textId="77777777" w:rsidR="00B10FA3" w:rsidRPr="00AB41DE" w:rsidRDefault="00B10FA3" w:rsidP="00AB41DE">
      <w:pPr>
        <w:spacing w:after="0" w:line="240" w:lineRule="auto"/>
        <w:rPr>
          <w:rFonts w:eastAsia="Times New Roman"/>
          <w:lang w:eastAsia="en-CA"/>
        </w:rPr>
      </w:pPr>
      <w:r>
        <w:rPr>
          <w:rFonts w:eastAsia="Times New Roman"/>
          <w:lang w:eastAsia="en-CA"/>
        </w:rPr>
        <w:t xml:space="preserve">     </w:t>
      </w:r>
      <w:r w:rsidRPr="00AB41DE">
        <w:rPr>
          <w:rFonts w:eastAsia="Times New Roman"/>
          <w:lang w:eastAsia="en-CA"/>
        </w:rPr>
        <w:t>Clearly, obscenity legislation, at least in my lifetime, has been devoted to issues involving sexual turpitude and perversity. But obscenity needn’t be confined to these matters. In the twentieth century, American law has addressed obscenity on issues ranging from foul and non-sexualized words to pacifism and anti-war sentiment. More recently, two Supreme Court cases, Roth (1957) and Miller (1972) tried to lay out an obscenity formula for determining what one court member famously said he could only “identify when he saw it.”</w:t>
      </w:r>
    </w:p>
    <w:p w14:paraId="1086E689" w14:textId="77777777" w:rsidR="00B10FA3" w:rsidRPr="00AB41DE" w:rsidRDefault="00B10FA3" w:rsidP="00AB41DE">
      <w:pPr>
        <w:spacing w:after="0" w:line="240" w:lineRule="auto"/>
        <w:rPr>
          <w:rFonts w:eastAsia="Times New Roman"/>
          <w:lang w:eastAsia="en-CA"/>
        </w:rPr>
      </w:pPr>
      <w:r>
        <w:rPr>
          <w:rFonts w:eastAsia="Times New Roman"/>
          <w:lang w:eastAsia="en-CA"/>
        </w:rPr>
        <w:t xml:space="preserve">    </w:t>
      </w:r>
      <w:r w:rsidRPr="00AB41DE">
        <w:rPr>
          <w:rFonts w:eastAsia="Times New Roman"/>
          <w:lang w:eastAsia="en-CA"/>
        </w:rPr>
        <w:t xml:space="preserve">One can trace the word "obscene" to the mid to late 16th century; there, it is described as depicting lasciviousness, to be sure. But there is also the indication that the obscene refers to a rupture of the social order through the violation of community norms and standards. Obscenity is described a societal poison, a cancer to the shared social order of a community. (Perhaps we could draw a cross-cultural parallel with the Muslim ban on images of Allah as a tightly held cultural norm that renders “obscene” any actions to depict his image. This is, of course, divorced from sexuality and instead involves the degrading and corrupting of community norms and morals.) It refers to that speech that harms the social order; that which undermines the public good. </w:t>
      </w:r>
    </w:p>
    <w:p w14:paraId="2246D83C" w14:textId="77777777" w:rsidR="00B10FA3" w:rsidRPr="00AB41DE" w:rsidRDefault="00B10FA3" w:rsidP="00AB41DE">
      <w:pPr>
        <w:spacing w:after="0" w:line="240" w:lineRule="auto"/>
        <w:rPr>
          <w:rFonts w:eastAsia="Times New Roman"/>
          <w:lang w:eastAsia="en-CA"/>
        </w:rPr>
      </w:pPr>
      <w:r>
        <w:rPr>
          <w:rFonts w:eastAsia="Times New Roman"/>
          <w:lang w:eastAsia="en-CA"/>
        </w:rPr>
        <w:t xml:space="preserve">     </w:t>
      </w:r>
      <w:r w:rsidRPr="00AB41DE">
        <w:rPr>
          <w:rFonts w:eastAsia="Times New Roman"/>
          <w:lang w:eastAsia="en-CA"/>
        </w:rPr>
        <w:t xml:space="preserve">Early on, the American courts relied in obscenity cases on the so-called </w:t>
      </w:r>
      <w:r w:rsidRPr="00F9491D">
        <w:rPr>
          <w:rFonts w:eastAsia="Times New Roman"/>
          <w:i/>
          <w:iCs/>
          <w:lang w:eastAsia="en-CA"/>
        </w:rPr>
        <w:t>Hicklin Rule</w:t>
      </w:r>
      <w:r w:rsidRPr="00AB41DE">
        <w:rPr>
          <w:rFonts w:eastAsia="Times New Roman"/>
          <w:lang w:eastAsia="en-CA"/>
        </w:rPr>
        <w:t>, which stemmed from a British case in 1868. Obscenity was defined as that which “corrupts the minds of those who are open to such immoral influences.” This interpretation was expanded upon and refined in the U.S. Supreme Court Roth case of 1957, a split decision, penned by William Brennen, attempting to formulate a set of criteria for distinguishing obscenity from other speech. Some general guidelines were applied about the ‘prurient interest’ provoked by and the redeeming social value provided by such works. Community standards came into play, and a standard was set that cases should be settled on a case-by-case basis.</w:t>
      </w:r>
    </w:p>
    <w:p w14:paraId="12E22DB2" w14:textId="77777777" w:rsidR="00B10FA3" w:rsidRPr="00AB41DE" w:rsidRDefault="00B10FA3" w:rsidP="00AB41DE">
      <w:pPr>
        <w:spacing w:after="0" w:line="240" w:lineRule="auto"/>
        <w:rPr>
          <w:rFonts w:eastAsia="Times New Roman"/>
          <w:lang w:eastAsia="en-CA"/>
        </w:rPr>
      </w:pPr>
      <w:r>
        <w:rPr>
          <w:rFonts w:eastAsia="Times New Roman"/>
          <w:lang w:eastAsia="en-CA"/>
        </w:rPr>
        <w:t xml:space="preserve">     </w:t>
      </w:r>
      <w:r w:rsidRPr="00AB41DE">
        <w:rPr>
          <w:rFonts w:eastAsia="Times New Roman"/>
          <w:lang w:eastAsia="en-CA"/>
        </w:rPr>
        <w:t xml:space="preserve">The </w:t>
      </w:r>
      <w:r w:rsidRPr="00F9491D">
        <w:rPr>
          <w:rFonts w:eastAsia="Times New Roman"/>
          <w:i/>
          <w:iCs/>
          <w:lang w:eastAsia="en-CA"/>
        </w:rPr>
        <w:t>Miller case</w:t>
      </w:r>
      <w:r w:rsidRPr="00AB41DE">
        <w:rPr>
          <w:rFonts w:eastAsia="Times New Roman"/>
          <w:lang w:eastAsia="en-CA"/>
        </w:rPr>
        <w:t xml:space="preserve"> in 1972 provided a more established framework for determining what constituted a work of obscenity, particularly in clarifying that ‘community standards’ could refer to local groups, rather than national ones. Second, social value of works was more specifically held to a serious literary cultural, political, artistic or scientific standard. Miller set a three part standard for the definition of obscene work: The basic guidelines for the establishment of fact must be: (a) whether 'the average person, applying contemporary community standards' would find that the work, taken as a whole, appeals to the prurient interest, (b) whether the work depicts or describes, in a patently offensive way, sexual conduct specifically defined by the applicable state law; and (c) whether the work, taken as a whole, lacks serious literary, artistic, political, or scientific value.</w:t>
      </w:r>
    </w:p>
    <w:p w14:paraId="09FFCC7A" w14:textId="5DDED4D1" w:rsidR="00B10FA3" w:rsidRPr="00AB41DE" w:rsidRDefault="00B10FA3" w:rsidP="00AB41DE">
      <w:pPr>
        <w:spacing w:after="0" w:line="240" w:lineRule="auto"/>
        <w:rPr>
          <w:rFonts w:eastAsia="Times New Roman"/>
          <w:lang w:eastAsia="en-CA"/>
        </w:rPr>
      </w:pPr>
      <w:r>
        <w:rPr>
          <w:rFonts w:eastAsia="Times New Roman"/>
          <w:lang w:eastAsia="en-CA"/>
        </w:rPr>
        <w:t xml:space="preserve">     </w:t>
      </w:r>
      <w:r w:rsidRPr="00AB41DE">
        <w:rPr>
          <w:rFonts w:eastAsia="Times New Roman"/>
          <w:lang w:eastAsia="en-CA"/>
        </w:rPr>
        <w:t xml:space="preserve">Must obscene language be of a sexual nature? I would argue that such a view considers harmful speech too narrowly. If obscene speech is defined as foul, vulgar or boding ill; if it is depicted as </w:t>
      </w:r>
      <w:r w:rsidRPr="00CE3194">
        <w:rPr>
          <w:rFonts w:eastAsia="Times New Roman"/>
          <w:i/>
          <w:iCs/>
          <w:lang w:eastAsia="en-CA"/>
        </w:rPr>
        <w:t>destabilizing to the body politic or community</w:t>
      </w:r>
      <w:r w:rsidRPr="00AB41DE">
        <w:rPr>
          <w:rFonts w:eastAsia="Times New Roman"/>
          <w:lang w:eastAsia="en-CA"/>
        </w:rPr>
        <w:t xml:space="preserve">; if it is characterized as indecent and corrupting to the mind, then why need it be constricted to the realm of the sexual? (The famous “7 words” that landed George Carlin in court </w:t>
      </w:r>
      <w:r w:rsidR="00206DFE" w:rsidRPr="00206DFE">
        <w:rPr>
          <w:rFonts w:eastAsia="Times New Roman"/>
          <w:i/>
          <w:iCs/>
          <w:lang w:eastAsia="en-CA"/>
        </w:rPr>
        <w:t>on obscenity charges</w:t>
      </w:r>
      <w:r w:rsidR="00206DFE">
        <w:rPr>
          <w:rFonts w:eastAsia="Times New Roman"/>
          <w:lang w:eastAsia="en-CA"/>
        </w:rPr>
        <w:t xml:space="preserve"> </w:t>
      </w:r>
      <w:r w:rsidRPr="00AB41DE">
        <w:rPr>
          <w:rFonts w:eastAsia="Times New Roman"/>
          <w:lang w:eastAsia="en-CA"/>
        </w:rPr>
        <w:t>were certainly provocative, but hardly sexual in any meaningful way.) Speech that advocates violence or violent change of government is patently dangerous and corrosive. Speech that purports to confuse the populace, that shamelessly lies in ways that cause domestic strife, conflict and death is certainly not protected speech. Language that prevents the healthy process of government is suspect; that which, over time, seeks, through foul speech, to subvert and undermine that very government with misdirection, deception and cynicism, may well forfeit its speech freedoms. A healthy democracy thrives on the participation of its members. When distorted and distended forms of speech inhibit the ability to practice free speech, there is a systemic problem, and one that might be attributed to obscenity.</w:t>
      </w:r>
    </w:p>
    <w:p w14:paraId="35540A63" w14:textId="77777777" w:rsidR="00B10FA3" w:rsidRPr="00AB41DE" w:rsidRDefault="00B10FA3" w:rsidP="00AB41DE">
      <w:pPr>
        <w:spacing w:after="0" w:line="240" w:lineRule="auto"/>
        <w:rPr>
          <w:rFonts w:eastAsia="Times New Roman"/>
          <w:lang w:eastAsia="en-CA"/>
        </w:rPr>
      </w:pPr>
      <w:r w:rsidRPr="00AB41DE">
        <w:rPr>
          <w:rFonts w:eastAsia="Times New Roman"/>
          <w:lang w:eastAsia="en-CA"/>
        </w:rPr>
        <w:t xml:space="preserve">Steve Bannon once infamously said (and I roughly paraphrase him here) that one useful tactic of propaganda was to “overwhelm and confuse” the public by “throwing as much </w:t>
      </w:r>
      <w:proofErr w:type="spellStart"/>
      <w:r w:rsidRPr="00AB41DE">
        <w:rPr>
          <w:rFonts w:eastAsia="Times New Roman"/>
          <w:lang w:eastAsia="en-CA"/>
        </w:rPr>
        <w:t>sh</w:t>
      </w:r>
      <w:proofErr w:type="spellEnd"/>
      <w:r w:rsidRPr="00AB41DE">
        <w:rPr>
          <w:rFonts w:eastAsia="Times New Roman"/>
          <w:lang w:eastAsia="en-CA"/>
        </w:rPr>
        <w:t>*t at the wall as possible.” Such a strategy has, at its base, the goal of destabilizing speech, reason and discussion. It is the political equivalent of a 4 year old yelling “I know you are but what am I.” It is the utilization of our first amendment against our first amendment, to pervert and stymie free speech through the utilization of free speech. At some point, the law needs to take into account the cause and</w:t>
      </w:r>
      <w:r>
        <w:rPr>
          <w:rFonts w:eastAsia="Times New Roman"/>
          <w:lang w:eastAsia="en-CA"/>
        </w:rPr>
        <w:t xml:space="preserve"> </w:t>
      </w:r>
      <w:r w:rsidRPr="00AB41DE">
        <w:rPr>
          <w:rFonts w:eastAsia="Times New Roman"/>
          <w:lang w:eastAsia="en-CA"/>
        </w:rPr>
        <w:t xml:space="preserve">effect relationship of this strategy. Previous attempts to seemingly protect the state against dangerous speech were often heavy handed, such as the Alien and Sedition Acts, under the administration of President John Adams. More recently, the Smith and McCarren Acts attempted to limit certain forms of political speech, using the threat of international Communism as a pretext. Whether as buttresses against the malign influences of the French Revolution or Stalinism, historic efforts to suppress speech have not stood the test of time. </w:t>
      </w:r>
    </w:p>
    <w:p w14:paraId="741F35ED" w14:textId="77777777" w:rsidR="00B10FA3" w:rsidRPr="00AB41DE" w:rsidRDefault="00B10FA3" w:rsidP="00AB41DE">
      <w:pPr>
        <w:spacing w:after="0" w:line="240" w:lineRule="auto"/>
        <w:rPr>
          <w:rFonts w:eastAsia="Times New Roman"/>
          <w:lang w:eastAsia="en-CA"/>
        </w:rPr>
      </w:pPr>
      <w:r w:rsidRPr="00AB41DE">
        <w:rPr>
          <w:rFonts w:eastAsia="Times New Roman"/>
          <w:lang w:eastAsia="en-CA"/>
        </w:rPr>
        <w:t>But we live in peculiar time today. Political cynicism in the US resembles that of 1950s Czechoslovakia or East Germany; lying has become (again) Kafkaesque; a tool of not only policy, but it has been transformed into reality itself. The truth itself is on trial. I would submit that, when community morality – dare I say community survival is linked to clear channels of communication through intelligible language, that which is obscene assumes the place of the worm, the virus, the unaccountable unknown that sows division, discontent and strikes a stake through the heart of democracy.</w:t>
      </w:r>
    </w:p>
    <w:p w14:paraId="6C64CD9D" w14:textId="77777777" w:rsidR="00B10FA3" w:rsidRDefault="00B10FA3">
      <w:pPr>
        <w:pStyle w:val="FootnoteText"/>
      </w:pPr>
    </w:p>
  </w:footnote>
  <w:footnote w:id="216">
    <w:p w14:paraId="7230FE70" w14:textId="77777777" w:rsidR="00B10FA3" w:rsidRPr="00A26D99" w:rsidRDefault="00B10FA3">
      <w:pPr>
        <w:pStyle w:val="FootnoteText"/>
        <w:rPr>
          <w:sz w:val="24"/>
          <w:szCs w:val="24"/>
        </w:rPr>
      </w:pPr>
      <w:r w:rsidRPr="00A26D99">
        <w:rPr>
          <w:rStyle w:val="FootnoteReference"/>
          <w:sz w:val="24"/>
          <w:szCs w:val="24"/>
        </w:rPr>
        <w:footnoteRef/>
      </w:r>
      <w:r w:rsidRPr="00A26D99">
        <w:rPr>
          <w:sz w:val="24"/>
          <w:szCs w:val="24"/>
        </w:rPr>
        <w:t xml:space="preserve"> https://www.law.cornell.edu/wex/roth_v_united_states_(1957)</w:t>
      </w:r>
    </w:p>
  </w:footnote>
  <w:footnote w:id="217">
    <w:p w14:paraId="5C9DF902" w14:textId="77777777" w:rsidR="00B10FA3" w:rsidRPr="00A26D99" w:rsidRDefault="00B10FA3">
      <w:pPr>
        <w:pStyle w:val="FootnoteText"/>
        <w:rPr>
          <w:sz w:val="24"/>
          <w:szCs w:val="24"/>
        </w:rPr>
      </w:pPr>
      <w:r w:rsidRPr="00A26D99">
        <w:rPr>
          <w:rStyle w:val="FootnoteReference"/>
          <w:sz w:val="24"/>
          <w:szCs w:val="24"/>
        </w:rPr>
        <w:footnoteRef/>
      </w:r>
      <w:r w:rsidRPr="00A26D99">
        <w:rPr>
          <w:sz w:val="24"/>
          <w:szCs w:val="24"/>
        </w:rPr>
        <w:t xml:space="preserve"> https://en.wikipedia.org/wiki/Miller_v._California</w:t>
      </w:r>
    </w:p>
  </w:footnote>
  <w:footnote w:id="218">
    <w:p w14:paraId="3366B857" w14:textId="77777777" w:rsidR="00B10FA3" w:rsidRPr="00727E18" w:rsidRDefault="00B10FA3">
      <w:pPr>
        <w:pStyle w:val="FootnoteText"/>
        <w:rPr>
          <w:rFonts w:ascii="Times New Roman" w:hAnsi="Times New Roman" w:cs="Times New Roman"/>
          <w:sz w:val="24"/>
          <w:szCs w:val="24"/>
        </w:rPr>
      </w:pPr>
      <w:r w:rsidRPr="00727E18">
        <w:rPr>
          <w:rStyle w:val="FootnoteReference"/>
          <w:rFonts w:ascii="Times New Roman" w:hAnsi="Times New Roman" w:cs="Times New Roman"/>
          <w:sz w:val="24"/>
          <w:szCs w:val="24"/>
        </w:rPr>
        <w:footnoteRef/>
      </w:r>
      <w:r w:rsidRPr="00727E18">
        <w:rPr>
          <w:rFonts w:ascii="Times New Roman" w:hAnsi="Times New Roman" w:cs="Times New Roman"/>
          <w:sz w:val="24"/>
          <w:szCs w:val="24"/>
        </w:rPr>
        <w:t xml:space="preserve"> Bryan </w:t>
      </w:r>
      <w:proofErr w:type="spellStart"/>
      <w:r w:rsidRPr="00727E18">
        <w:rPr>
          <w:rFonts w:ascii="Times New Roman" w:hAnsi="Times New Roman" w:cs="Times New Roman"/>
          <w:sz w:val="24"/>
          <w:szCs w:val="24"/>
        </w:rPr>
        <w:t>Druzh</w:t>
      </w:r>
      <w:proofErr w:type="spellEnd"/>
      <w:r w:rsidRPr="00727E18">
        <w:rPr>
          <w:rFonts w:ascii="Times New Roman" w:hAnsi="Times New Roman" w:cs="Times New Roman"/>
          <w:sz w:val="24"/>
          <w:szCs w:val="24"/>
        </w:rPr>
        <w:t xml:space="preserve"> and Jessica Li, </w:t>
      </w:r>
      <w:r w:rsidRPr="00727E18">
        <w:rPr>
          <w:rFonts w:ascii="Times New Roman" w:hAnsi="Times New Roman" w:cs="Times New Roman"/>
          <w:i/>
          <w:iCs/>
          <w:sz w:val="24"/>
          <w:szCs w:val="24"/>
        </w:rPr>
        <w:t>Criminalization of Lying</w:t>
      </w:r>
      <w:r w:rsidRPr="00727E18">
        <w:rPr>
          <w:rFonts w:ascii="Times New Roman" w:hAnsi="Times New Roman" w:cs="Times New Roman"/>
          <w:sz w:val="24"/>
          <w:szCs w:val="24"/>
        </w:rPr>
        <w:t>, Journal of Criminal Law and Criminology, vol 101, Issue #2, Spring 201, p. 534.</w:t>
      </w:r>
    </w:p>
    <w:p w14:paraId="06BAA9B1" w14:textId="77777777" w:rsidR="00B10FA3" w:rsidRPr="00727E18" w:rsidRDefault="00B10FA3">
      <w:pPr>
        <w:pStyle w:val="FootnoteText"/>
        <w:rPr>
          <w:rFonts w:ascii="Times New Roman" w:hAnsi="Times New Roman" w:cs="Times New Roman"/>
          <w:sz w:val="24"/>
          <w:szCs w:val="24"/>
        </w:rPr>
      </w:pPr>
    </w:p>
  </w:footnote>
  <w:footnote w:id="219">
    <w:p w14:paraId="420C94BD" w14:textId="77777777" w:rsidR="00B10FA3" w:rsidRPr="00C80305" w:rsidRDefault="00B10FA3">
      <w:pPr>
        <w:pStyle w:val="FootnoteText"/>
        <w:rPr>
          <w:sz w:val="24"/>
          <w:szCs w:val="24"/>
        </w:rPr>
      </w:pPr>
      <w:r w:rsidRPr="00727E18">
        <w:rPr>
          <w:rStyle w:val="FootnoteReference"/>
          <w:rFonts w:ascii="Times New Roman" w:hAnsi="Times New Roman" w:cs="Times New Roman"/>
          <w:sz w:val="24"/>
          <w:szCs w:val="24"/>
        </w:rPr>
        <w:footnoteRef/>
      </w:r>
      <w:r w:rsidRPr="00727E18">
        <w:rPr>
          <w:rFonts w:ascii="Times New Roman" w:hAnsi="Times New Roman" w:cs="Times New Roman"/>
          <w:sz w:val="24"/>
          <w:szCs w:val="24"/>
        </w:rPr>
        <w:t xml:space="preserve"> Ibid, p. 535</w:t>
      </w:r>
    </w:p>
  </w:footnote>
  <w:footnote w:id="220">
    <w:p w14:paraId="77B2DB4B" w14:textId="77777777" w:rsidR="00B10FA3" w:rsidRPr="00676D2F" w:rsidRDefault="00B10FA3">
      <w:pPr>
        <w:pStyle w:val="FootnoteText"/>
        <w:rPr>
          <w:rFonts w:ascii="Times New Roman" w:hAnsi="Times New Roman" w:cs="Times New Roman"/>
          <w:sz w:val="24"/>
          <w:szCs w:val="24"/>
        </w:rPr>
      </w:pPr>
      <w:r w:rsidRPr="00676D2F">
        <w:rPr>
          <w:rStyle w:val="FootnoteReference"/>
          <w:rFonts w:ascii="Times New Roman" w:hAnsi="Times New Roman" w:cs="Times New Roman"/>
          <w:sz w:val="24"/>
          <w:szCs w:val="24"/>
        </w:rPr>
        <w:footnoteRef/>
      </w:r>
      <w:r w:rsidRPr="00676D2F">
        <w:rPr>
          <w:rFonts w:ascii="Times New Roman" w:hAnsi="Times New Roman" w:cs="Times New Roman"/>
          <w:sz w:val="24"/>
          <w:szCs w:val="24"/>
        </w:rPr>
        <w:t xml:space="preserve"> Ibid, p. 536.</w:t>
      </w:r>
    </w:p>
    <w:p w14:paraId="2393B4C6" w14:textId="77777777" w:rsidR="00B10FA3" w:rsidRPr="00676D2F" w:rsidRDefault="00B10FA3">
      <w:pPr>
        <w:pStyle w:val="FootnoteText"/>
        <w:rPr>
          <w:rFonts w:ascii="Times New Roman" w:hAnsi="Times New Roman" w:cs="Times New Roman"/>
        </w:rPr>
      </w:pPr>
    </w:p>
  </w:footnote>
  <w:footnote w:id="221">
    <w:p w14:paraId="748AD263" w14:textId="77777777" w:rsidR="00B10FA3" w:rsidRPr="00676D2F" w:rsidRDefault="00B10FA3">
      <w:pPr>
        <w:pStyle w:val="FootnoteText"/>
        <w:rPr>
          <w:rFonts w:ascii="Times New Roman" w:hAnsi="Times New Roman" w:cs="Times New Roman"/>
          <w:sz w:val="24"/>
          <w:szCs w:val="24"/>
        </w:rPr>
      </w:pPr>
      <w:r w:rsidRPr="00676D2F">
        <w:rPr>
          <w:rStyle w:val="FootnoteReference"/>
          <w:rFonts w:ascii="Times New Roman" w:hAnsi="Times New Roman" w:cs="Times New Roman"/>
          <w:sz w:val="24"/>
          <w:szCs w:val="24"/>
        </w:rPr>
        <w:footnoteRef/>
      </w:r>
      <w:r w:rsidRPr="00676D2F">
        <w:rPr>
          <w:rFonts w:ascii="Times New Roman" w:hAnsi="Times New Roman" w:cs="Times New Roman"/>
          <w:sz w:val="24"/>
          <w:szCs w:val="24"/>
        </w:rPr>
        <w:t xml:space="preserve"> David Simpson, “Lying, Liars and Language,” </w:t>
      </w:r>
      <w:r w:rsidRPr="00676D2F">
        <w:rPr>
          <w:rFonts w:ascii="Times New Roman" w:hAnsi="Times New Roman" w:cs="Times New Roman"/>
          <w:i/>
          <w:iCs/>
          <w:sz w:val="24"/>
          <w:szCs w:val="24"/>
        </w:rPr>
        <w:t>Philosophical and Phenomenological Research</w:t>
      </w:r>
      <w:r w:rsidRPr="00676D2F">
        <w:rPr>
          <w:rFonts w:ascii="Times New Roman" w:hAnsi="Times New Roman" w:cs="Times New Roman"/>
          <w:sz w:val="24"/>
          <w:szCs w:val="24"/>
        </w:rPr>
        <w:t>, Vol LII, #3, September, 1992, p. 15, 623.</w:t>
      </w:r>
    </w:p>
  </w:footnote>
  <w:footnote w:id="222">
    <w:p w14:paraId="0CB62497" w14:textId="77777777" w:rsidR="00B10FA3" w:rsidRPr="0036288A" w:rsidRDefault="00B10FA3">
      <w:pPr>
        <w:pStyle w:val="FootnoteText"/>
        <w:rPr>
          <w:rFonts w:ascii="Times New Roman" w:hAnsi="Times New Roman" w:cs="Times New Roman"/>
          <w:sz w:val="24"/>
          <w:szCs w:val="24"/>
        </w:rPr>
      </w:pPr>
      <w:r w:rsidRPr="00C3245D">
        <w:rPr>
          <w:rStyle w:val="FootnoteReference"/>
          <w:sz w:val="24"/>
          <w:szCs w:val="24"/>
        </w:rPr>
        <w:footnoteRef/>
      </w:r>
      <w:r w:rsidRPr="00C3245D">
        <w:rPr>
          <w:sz w:val="24"/>
          <w:szCs w:val="24"/>
        </w:rPr>
        <w:t xml:space="preserve"> </w:t>
      </w:r>
      <w:r w:rsidRPr="0036288A">
        <w:rPr>
          <w:rFonts w:ascii="Times New Roman" w:hAnsi="Times New Roman" w:cs="Times New Roman"/>
          <w:sz w:val="24"/>
          <w:szCs w:val="24"/>
        </w:rPr>
        <w:t xml:space="preserve">Michael Lewis, “The Origins of Lying and Deception in Everyday Life, </w:t>
      </w:r>
      <w:r w:rsidRPr="0036288A">
        <w:rPr>
          <w:rFonts w:ascii="Times New Roman" w:hAnsi="Times New Roman" w:cs="Times New Roman"/>
          <w:i/>
          <w:iCs/>
          <w:sz w:val="24"/>
          <w:szCs w:val="24"/>
        </w:rPr>
        <w:t>American Scientist</w:t>
      </w:r>
      <w:r w:rsidRPr="0036288A">
        <w:rPr>
          <w:rFonts w:ascii="Times New Roman" w:hAnsi="Times New Roman" w:cs="Times New Roman"/>
          <w:sz w:val="24"/>
          <w:szCs w:val="24"/>
        </w:rPr>
        <w:t>, 2015, vol 103, #2, p. 128-135</w:t>
      </w:r>
    </w:p>
  </w:footnote>
  <w:footnote w:id="223">
    <w:p w14:paraId="42A67BD0" w14:textId="77777777" w:rsidR="00B10FA3" w:rsidRPr="0036288A" w:rsidRDefault="00B10FA3">
      <w:pPr>
        <w:pStyle w:val="FootnoteText"/>
        <w:rPr>
          <w:rFonts w:ascii="Times New Roman" w:hAnsi="Times New Roman" w:cs="Times New Roman"/>
          <w:sz w:val="24"/>
          <w:szCs w:val="24"/>
        </w:rPr>
      </w:pPr>
      <w:r w:rsidRPr="0036288A">
        <w:rPr>
          <w:rStyle w:val="FootnoteReference"/>
          <w:rFonts w:ascii="Times New Roman" w:hAnsi="Times New Roman" w:cs="Times New Roman"/>
          <w:sz w:val="24"/>
          <w:szCs w:val="24"/>
        </w:rPr>
        <w:footnoteRef/>
      </w:r>
      <w:r w:rsidRPr="0036288A">
        <w:rPr>
          <w:rFonts w:ascii="Times New Roman" w:hAnsi="Times New Roman" w:cs="Times New Roman"/>
          <w:sz w:val="24"/>
          <w:szCs w:val="24"/>
        </w:rPr>
        <w:t xml:space="preserve"> Michael Stein, “Lying,” Agni #27, 2018, p. 71-75.</w:t>
      </w:r>
    </w:p>
  </w:footnote>
  <w:footnote w:id="224">
    <w:p w14:paraId="07E8B4EE" w14:textId="77777777" w:rsidR="00B10FA3" w:rsidRPr="0036288A" w:rsidRDefault="00B10FA3">
      <w:pPr>
        <w:pStyle w:val="FootnoteText"/>
        <w:rPr>
          <w:rFonts w:ascii="Times New Roman" w:hAnsi="Times New Roman" w:cs="Times New Roman"/>
          <w:sz w:val="24"/>
          <w:szCs w:val="24"/>
        </w:rPr>
      </w:pPr>
      <w:r w:rsidRPr="0036288A">
        <w:rPr>
          <w:rStyle w:val="FootnoteReference"/>
          <w:rFonts w:ascii="Times New Roman" w:hAnsi="Times New Roman" w:cs="Times New Roman"/>
          <w:sz w:val="24"/>
          <w:szCs w:val="24"/>
        </w:rPr>
        <w:footnoteRef/>
      </w:r>
      <w:r w:rsidRPr="0036288A">
        <w:rPr>
          <w:rFonts w:ascii="Times New Roman" w:hAnsi="Times New Roman" w:cs="Times New Roman"/>
          <w:sz w:val="24"/>
          <w:szCs w:val="24"/>
        </w:rPr>
        <w:t xml:space="preserve"> Ibid, p. 76</w:t>
      </w:r>
    </w:p>
  </w:footnote>
  <w:footnote w:id="225">
    <w:p w14:paraId="0571C430" w14:textId="77777777" w:rsidR="00B10FA3" w:rsidRPr="002F10E5" w:rsidRDefault="00B10FA3">
      <w:pPr>
        <w:pStyle w:val="FootnoteText"/>
        <w:rPr>
          <w:sz w:val="24"/>
          <w:szCs w:val="24"/>
        </w:rPr>
      </w:pPr>
      <w:r w:rsidRPr="0036288A">
        <w:rPr>
          <w:rStyle w:val="FootnoteReference"/>
          <w:rFonts w:ascii="Times New Roman" w:hAnsi="Times New Roman" w:cs="Times New Roman"/>
          <w:sz w:val="24"/>
          <w:szCs w:val="24"/>
        </w:rPr>
        <w:footnoteRef/>
      </w:r>
      <w:r w:rsidRPr="0036288A">
        <w:rPr>
          <w:rFonts w:ascii="Times New Roman" w:hAnsi="Times New Roman" w:cs="Times New Roman"/>
          <w:sz w:val="24"/>
          <w:szCs w:val="24"/>
        </w:rPr>
        <w:t xml:space="preserve"> Ibid, p. 78.</w:t>
      </w:r>
    </w:p>
  </w:footnote>
  <w:footnote w:id="226">
    <w:p w14:paraId="788021FA" w14:textId="77777777" w:rsidR="00B10FA3" w:rsidRPr="0026163C" w:rsidRDefault="00B10FA3">
      <w:pPr>
        <w:pStyle w:val="FootnoteText"/>
        <w:rPr>
          <w:rFonts w:ascii="Times New Roman" w:hAnsi="Times New Roman" w:cs="Times New Roman"/>
          <w:sz w:val="24"/>
          <w:szCs w:val="24"/>
        </w:rPr>
      </w:pPr>
      <w:r w:rsidRPr="0026163C">
        <w:rPr>
          <w:rStyle w:val="FootnoteReference"/>
          <w:rFonts w:ascii="Times New Roman" w:hAnsi="Times New Roman" w:cs="Times New Roman"/>
          <w:sz w:val="24"/>
          <w:szCs w:val="24"/>
        </w:rPr>
        <w:footnoteRef/>
      </w:r>
      <w:r w:rsidRPr="0026163C">
        <w:rPr>
          <w:rFonts w:ascii="Times New Roman" w:hAnsi="Times New Roman" w:cs="Times New Roman"/>
          <w:sz w:val="24"/>
          <w:szCs w:val="24"/>
        </w:rPr>
        <w:t xml:space="preserve"> Arnold Isenberg, “Deontology and the Ethics of Lying,” </w:t>
      </w:r>
      <w:r w:rsidRPr="0026163C">
        <w:rPr>
          <w:rFonts w:ascii="Times New Roman" w:hAnsi="Times New Roman" w:cs="Times New Roman"/>
          <w:i/>
          <w:iCs/>
          <w:sz w:val="24"/>
          <w:szCs w:val="24"/>
        </w:rPr>
        <w:t>Philosophy and Phenomenological Research</w:t>
      </w:r>
      <w:r w:rsidRPr="0026163C">
        <w:rPr>
          <w:rFonts w:ascii="Times New Roman" w:hAnsi="Times New Roman" w:cs="Times New Roman"/>
          <w:sz w:val="24"/>
          <w:szCs w:val="24"/>
        </w:rPr>
        <w:t>, vol 24, no.4, 6/64, p. 466-468.</w:t>
      </w:r>
    </w:p>
  </w:footnote>
  <w:footnote w:id="227">
    <w:p w14:paraId="66A46B07" w14:textId="77777777" w:rsidR="00B10FA3" w:rsidRPr="004667CC" w:rsidRDefault="00B10FA3">
      <w:pPr>
        <w:pStyle w:val="FootnoteText"/>
        <w:rPr>
          <w:sz w:val="24"/>
          <w:szCs w:val="24"/>
        </w:rPr>
      </w:pPr>
      <w:r w:rsidRPr="0026163C">
        <w:rPr>
          <w:rStyle w:val="FootnoteReference"/>
          <w:rFonts w:ascii="Times New Roman" w:hAnsi="Times New Roman" w:cs="Times New Roman"/>
          <w:sz w:val="24"/>
          <w:szCs w:val="24"/>
        </w:rPr>
        <w:footnoteRef/>
      </w:r>
      <w:r w:rsidRPr="0026163C">
        <w:rPr>
          <w:rFonts w:ascii="Times New Roman" w:hAnsi="Times New Roman" w:cs="Times New Roman"/>
          <w:sz w:val="24"/>
          <w:szCs w:val="24"/>
        </w:rPr>
        <w:t xml:space="preserve"> Ibid, p. 474.</w:t>
      </w:r>
    </w:p>
  </w:footnote>
  <w:footnote w:id="228">
    <w:p w14:paraId="4CAAEB72" w14:textId="77777777" w:rsidR="00B10FA3" w:rsidRPr="008C1697" w:rsidRDefault="00B10FA3">
      <w:pPr>
        <w:pStyle w:val="FootnoteText"/>
        <w:rPr>
          <w:rFonts w:ascii="Times New Roman" w:hAnsi="Times New Roman" w:cs="Times New Roman"/>
          <w:color w:val="FF0000"/>
          <w:sz w:val="24"/>
          <w:szCs w:val="24"/>
        </w:rPr>
      </w:pPr>
      <w:r w:rsidRPr="008C1697">
        <w:rPr>
          <w:rStyle w:val="FootnoteReference"/>
          <w:rFonts w:ascii="Times New Roman" w:hAnsi="Times New Roman" w:cs="Times New Roman"/>
          <w:sz w:val="24"/>
          <w:szCs w:val="24"/>
        </w:rPr>
        <w:footnoteRef/>
      </w:r>
      <w:r w:rsidRPr="008C1697">
        <w:rPr>
          <w:rFonts w:ascii="Times New Roman" w:hAnsi="Times New Roman" w:cs="Times New Roman"/>
          <w:sz w:val="24"/>
          <w:szCs w:val="24"/>
        </w:rPr>
        <w:t xml:space="preserve"> Georg Simmel, “Knowledge, Truth, and Falsehood in Human Relations,” p. 308.</w:t>
      </w:r>
    </w:p>
    <w:p w14:paraId="54175093" w14:textId="77777777" w:rsidR="00B10FA3" w:rsidRPr="008C1697" w:rsidRDefault="00B10FA3">
      <w:pPr>
        <w:pStyle w:val="FootnoteText"/>
        <w:rPr>
          <w:rFonts w:ascii="Times New Roman" w:hAnsi="Times New Roman" w:cs="Times New Roman"/>
          <w:sz w:val="24"/>
          <w:szCs w:val="24"/>
        </w:rPr>
      </w:pPr>
    </w:p>
  </w:footnote>
  <w:footnote w:id="229">
    <w:p w14:paraId="1D7B0147" w14:textId="77777777" w:rsidR="00B10FA3" w:rsidRDefault="00B10FA3">
      <w:pPr>
        <w:pStyle w:val="FootnoteText"/>
      </w:pPr>
      <w:r w:rsidRPr="008C1697">
        <w:rPr>
          <w:rStyle w:val="FootnoteReference"/>
          <w:rFonts w:ascii="Times New Roman" w:hAnsi="Times New Roman" w:cs="Times New Roman"/>
          <w:sz w:val="24"/>
          <w:szCs w:val="24"/>
        </w:rPr>
        <w:footnoteRef/>
      </w:r>
      <w:r w:rsidRPr="008C1697">
        <w:rPr>
          <w:rFonts w:ascii="Times New Roman" w:hAnsi="Times New Roman" w:cs="Times New Roman"/>
          <w:sz w:val="24"/>
          <w:szCs w:val="24"/>
        </w:rPr>
        <w:t xml:space="preserve"> Ibid.</w:t>
      </w:r>
    </w:p>
  </w:footnote>
  <w:footnote w:id="230">
    <w:p w14:paraId="12ECCD86" w14:textId="77777777" w:rsidR="00B10FA3" w:rsidRPr="00667ED3" w:rsidRDefault="00B10FA3">
      <w:pPr>
        <w:pStyle w:val="FootnoteText"/>
        <w:rPr>
          <w:rFonts w:ascii="Times New Roman" w:hAnsi="Times New Roman" w:cs="Times New Roman"/>
          <w:sz w:val="24"/>
          <w:szCs w:val="24"/>
        </w:rPr>
      </w:pPr>
      <w:r w:rsidRPr="00667ED3">
        <w:rPr>
          <w:rStyle w:val="FootnoteReference"/>
          <w:rFonts w:ascii="Times New Roman" w:hAnsi="Times New Roman" w:cs="Times New Roman"/>
          <w:sz w:val="24"/>
          <w:szCs w:val="24"/>
        </w:rPr>
        <w:footnoteRef/>
      </w:r>
      <w:r w:rsidRPr="00667ED3">
        <w:rPr>
          <w:rFonts w:ascii="Times New Roman" w:hAnsi="Times New Roman" w:cs="Times New Roman"/>
          <w:sz w:val="24"/>
          <w:szCs w:val="24"/>
        </w:rPr>
        <w:t xml:space="preserve"> Ibid, p. 310</w:t>
      </w:r>
    </w:p>
  </w:footnote>
  <w:footnote w:id="231">
    <w:p w14:paraId="21954128" w14:textId="77777777" w:rsidR="00B10FA3" w:rsidRPr="00667ED3" w:rsidRDefault="00B10FA3">
      <w:pPr>
        <w:pStyle w:val="FootnoteText"/>
        <w:rPr>
          <w:rFonts w:ascii="Times New Roman" w:hAnsi="Times New Roman" w:cs="Times New Roman"/>
          <w:sz w:val="24"/>
          <w:szCs w:val="24"/>
        </w:rPr>
      </w:pPr>
      <w:r w:rsidRPr="00667ED3">
        <w:rPr>
          <w:rStyle w:val="FootnoteReference"/>
          <w:rFonts w:ascii="Times New Roman" w:hAnsi="Times New Roman" w:cs="Times New Roman"/>
          <w:sz w:val="24"/>
          <w:szCs w:val="24"/>
        </w:rPr>
        <w:footnoteRef/>
      </w:r>
      <w:r w:rsidRPr="00667ED3">
        <w:rPr>
          <w:rFonts w:ascii="Times New Roman" w:hAnsi="Times New Roman" w:cs="Times New Roman"/>
          <w:sz w:val="24"/>
          <w:szCs w:val="24"/>
        </w:rPr>
        <w:t xml:space="preserve"> Ibid, p. 312</w:t>
      </w:r>
    </w:p>
  </w:footnote>
  <w:footnote w:id="232">
    <w:p w14:paraId="75F16D33" w14:textId="77777777" w:rsidR="00B10FA3" w:rsidRPr="0018197E" w:rsidRDefault="00B10FA3">
      <w:pPr>
        <w:pStyle w:val="FootnoteText"/>
        <w:rPr>
          <w:sz w:val="24"/>
          <w:szCs w:val="24"/>
        </w:rPr>
      </w:pPr>
      <w:r w:rsidRPr="00667ED3">
        <w:rPr>
          <w:rStyle w:val="FootnoteReference"/>
          <w:rFonts w:ascii="Times New Roman" w:hAnsi="Times New Roman" w:cs="Times New Roman"/>
          <w:sz w:val="24"/>
          <w:szCs w:val="24"/>
        </w:rPr>
        <w:footnoteRef/>
      </w:r>
      <w:r w:rsidRPr="00667ED3">
        <w:rPr>
          <w:rFonts w:ascii="Times New Roman" w:hAnsi="Times New Roman" w:cs="Times New Roman"/>
          <w:sz w:val="24"/>
          <w:szCs w:val="24"/>
        </w:rPr>
        <w:t xml:space="preserve"> Ibid, p. 313</w:t>
      </w:r>
    </w:p>
  </w:footnote>
  <w:footnote w:id="233">
    <w:p w14:paraId="49F73D48" w14:textId="77777777" w:rsidR="00B10FA3" w:rsidRPr="00667ED3" w:rsidRDefault="00B10FA3">
      <w:pPr>
        <w:pStyle w:val="FootnoteText"/>
        <w:rPr>
          <w:rFonts w:ascii="Times New Roman" w:hAnsi="Times New Roman" w:cs="Times New Roman"/>
        </w:rPr>
      </w:pPr>
      <w:r w:rsidRPr="00667ED3">
        <w:rPr>
          <w:rStyle w:val="FootnoteReference"/>
          <w:rFonts w:ascii="Times New Roman" w:hAnsi="Times New Roman" w:cs="Times New Roman"/>
        </w:rPr>
        <w:footnoteRef/>
      </w:r>
      <w:r w:rsidRPr="00667ED3">
        <w:rPr>
          <w:rFonts w:ascii="Times New Roman" w:hAnsi="Times New Roman" w:cs="Times New Roman"/>
        </w:rPr>
        <w:t xml:space="preserve"> </w:t>
      </w:r>
      <w:r w:rsidRPr="00667ED3">
        <w:rPr>
          <w:rFonts w:ascii="Times New Roman" w:hAnsi="Times New Roman" w:cs="Times New Roman"/>
          <w:sz w:val="24"/>
          <w:szCs w:val="24"/>
        </w:rPr>
        <w:t>Ibid, p. 313.</w:t>
      </w:r>
    </w:p>
  </w:footnote>
  <w:footnote w:id="234">
    <w:p w14:paraId="2CF6C175" w14:textId="77777777" w:rsidR="00B10FA3" w:rsidRPr="00667ED3" w:rsidRDefault="00B10FA3">
      <w:pPr>
        <w:pStyle w:val="FootnoteText"/>
        <w:rPr>
          <w:rFonts w:ascii="Times New Roman" w:hAnsi="Times New Roman" w:cs="Times New Roman"/>
          <w:sz w:val="24"/>
          <w:szCs w:val="24"/>
        </w:rPr>
      </w:pPr>
      <w:r w:rsidRPr="00667ED3">
        <w:rPr>
          <w:rStyle w:val="FootnoteReference"/>
          <w:rFonts w:ascii="Times New Roman" w:hAnsi="Times New Roman" w:cs="Times New Roman"/>
          <w:sz w:val="24"/>
          <w:szCs w:val="24"/>
        </w:rPr>
        <w:footnoteRef/>
      </w:r>
      <w:r w:rsidRPr="00667ED3">
        <w:rPr>
          <w:rFonts w:ascii="Times New Roman" w:hAnsi="Times New Roman" w:cs="Times New Roman"/>
          <w:sz w:val="24"/>
          <w:szCs w:val="24"/>
        </w:rPr>
        <w:t xml:space="preserve"> Bryan </w:t>
      </w:r>
      <w:proofErr w:type="spellStart"/>
      <w:r w:rsidRPr="00667ED3">
        <w:rPr>
          <w:rFonts w:ascii="Times New Roman" w:hAnsi="Times New Roman" w:cs="Times New Roman"/>
          <w:sz w:val="24"/>
          <w:szCs w:val="24"/>
        </w:rPr>
        <w:t>Druzh</w:t>
      </w:r>
      <w:proofErr w:type="spellEnd"/>
      <w:r w:rsidRPr="00667ED3">
        <w:rPr>
          <w:rFonts w:ascii="Times New Roman" w:hAnsi="Times New Roman" w:cs="Times New Roman"/>
          <w:sz w:val="24"/>
          <w:szCs w:val="24"/>
        </w:rPr>
        <w:t xml:space="preserve"> &amp; Jessica Li, </w:t>
      </w:r>
      <w:r w:rsidRPr="00667ED3">
        <w:rPr>
          <w:rFonts w:ascii="Times New Roman" w:hAnsi="Times New Roman" w:cs="Times New Roman"/>
          <w:i/>
          <w:iCs/>
          <w:sz w:val="24"/>
          <w:szCs w:val="24"/>
        </w:rPr>
        <w:t>Journal of Criminal Law</w:t>
      </w:r>
      <w:r w:rsidRPr="00667ED3">
        <w:rPr>
          <w:rFonts w:ascii="Times New Roman" w:hAnsi="Times New Roman" w:cs="Times New Roman"/>
          <w:sz w:val="24"/>
          <w:szCs w:val="24"/>
        </w:rPr>
        <w:t>, “Criminalization of Lying,” vol. 101, Issue #2, Spring, 2011, p.544-546</w:t>
      </w:r>
    </w:p>
  </w:footnote>
  <w:footnote w:id="235">
    <w:p w14:paraId="1168783A" w14:textId="77777777" w:rsidR="00B10FA3" w:rsidRPr="00667ED3" w:rsidRDefault="00B10FA3">
      <w:pPr>
        <w:pStyle w:val="FootnoteText"/>
        <w:rPr>
          <w:rFonts w:ascii="Times New Roman" w:hAnsi="Times New Roman" w:cs="Times New Roman"/>
          <w:sz w:val="24"/>
          <w:szCs w:val="24"/>
        </w:rPr>
      </w:pPr>
      <w:r w:rsidRPr="00667ED3">
        <w:rPr>
          <w:rStyle w:val="FootnoteReference"/>
          <w:rFonts w:ascii="Times New Roman" w:hAnsi="Times New Roman" w:cs="Times New Roman"/>
          <w:sz w:val="24"/>
          <w:szCs w:val="24"/>
        </w:rPr>
        <w:footnoteRef/>
      </w:r>
      <w:r w:rsidRPr="00667ED3">
        <w:rPr>
          <w:rFonts w:ascii="Times New Roman" w:hAnsi="Times New Roman" w:cs="Times New Roman"/>
          <w:sz w:val="24"/>
          <w:szCs w:val="24"/>
        </w:rPr>
        <w:t xml:space="preserve"> Ibid, p. 554</w:t>
      </w:r>
    </w:p>
  </w:footnote>
  <w:footnote w:id="236">
    <w:p w14:paraId="6FD910ED" w14:textId="77777777" w:rsidR="00B10FA3" w:rsidRPr="008D1E5C" w:rsidRDefault="00B10FA3" w:rsidP="008D1E5C">
      <w:pPr>
        <w:pStyle w:val="FootnoteText"/>
        <w:rPr>
          <w:sz w:val="24"/>
          <w:szCs w:val="24"/>
        </w:rPr>
      </w:pPr>
      <w:r w:rsidRPr="00667ED3">
        <w:rPr>
          <w:rStyle w:val="FootnoteReference"/>
          <w:rFonts w:ascii="Times New Roman" w:hAnsi="Times New Roman" w:cs="Times New Roman"/>
          <w:sz w:val="24"/>
          <w:szCs w:val="24"/>
        </w:rPr>
        <w:footnoteRef/>
      </w:r>
      <w:r w:rsidRPr="00667ED3">
        <w:rPr>
          <w:rFonts w:ascii="Times New Roman" w:hAnsi="Times New Roman" w:cs="Times New Roman"/>
          <w:sz w:val="24"/>
          <w:szCs w:val="24"/>
        </w:rPr>
        <w:t xml:space="preserve"> Ibid, 536-538</w:t>
      </w:r>
    </w:p>
  </w:footnote>
  <w:footnote w:id="237">
    <w:p w14:paraId="756B355A" w14:textId="77777777" w:rsidR="00B10FA3" w:rsidRPr="00667ED3" w:rsidRDefault="00B10FA3">
      <w:pPr>
        <w:pStyle w:val="FootnoteText"/>
        <w:rPr>
          <w:rFonts w:ascii="Times New Roman" w:hAnsi="Times New Roman" w:cs="Times New Roman"/>
          <w:sz w:val="24"/>
          <w:szCs w:val="24"/>
        </w:rPr>
      </w:pPr>
      <w:r w:rsidRPr="00667ED3">
        <w:rPr>
          <w:rStyle w:val="FootnoteReference"/>
          <w:rFonts w:ascii="Times New Roman" w:hAnsi="Times New Roman" w:cs="Times New Roman"/>
          <w:sz w:val="24"/>
          <w:szCs w:val="24"/>
        </w:rPr>
        <w:footnoteRef/>
      </w:r>
      <w:r w:rsidRPr="00667ED3">
        <w:rPr>
          <w:rFonts w:ascii="Times New Roman" w:hAnsi="Times New Roman" w:cs="Times New Roman"/>
          <w:sz w:val="24"/>
          <w:szCs w:val="24"/>
        </w:rPr>
        <w:t xml:space="preserve"> Liver Hahl &amp; </w:t>
      </w:r>
      <w:proofErr w:type="spellStart"/>
      <w:r w:rsidRPr="00667ED3">
        <w:rPr>
          <w:rFonts w:ascii="Times New Roman" w:hAnsi="Times New Roman" w:cs="Times New Roman"/>
          <w:sz w:val="24"/>
          <w:szCs w:val="24"/>
        </w:rPr>
        <w:t>Minye</w:t>
      </w:r>
      <w:proofErr w:type="spellEnd"/>
      <w:r w:rsidRPr="00667ED3">
        <w:rPr>
          <w:rFonts w:ascii="Times New Roman" w:hAnsi="Times New Roman" w:cs="Times New Roman"/>
          <w:sz w:val="24"/>
          <w:szCs w:val="24"/>
        </w:rPr>
        <w:t xml:space="preserve"> Kim, “The Authentic Appeal of the Lying Demagogues,” </w:t>
      </w:r>
      <w:r w:rsidRPr="00667ED3">
        <w:rPr>
          <w:rFonts w:ascii="Times New Roman" w:hAnsi="Times New Roman" w:cs="Times New Roman"/>
          <w:i/>
          <w:iCs/>
          <w:sz w:val="24"/>
          <w:szCs w:val="24"/>
        </w:rPr>
        <w:t>American Sociological Review</w:t>
      </w:r>
      <w:r w:rsidRPr="00667ED3">
        <w:rPr>
          <w:rFonts w:ascii="Times New Roman" w:hAnsi="Times New Roman" w:cs="Times New Roman"/>
          <w:sz w:val="24"/>
          <w:szCs w:val="24"/>
        </w:rPr>
        <w:t>, 2018, vol. 83, p. 3</w:t>
      </w:r>
    </w:p>
  </w:footnote>
  <w:footnote w:id="238">
    <w:p w14:paraId="2CEAB535" w14:textId="77777777" w:rsidR="00B10FA3" w:rsidRPr="00667ED3" w:rsidRDefault="00B10FA3">
      <w:pPr>
        <w:pStyle w:val="FootnoteText"/>
        <w:rPr>
          <w:rFonts w:ascii="Times New Roman" w:hAnsi="Times New Roman" w:cs="Times New Roman"/>
        </w:rPr>
      </w:pPr>
      <w:r w:rsidRPr="00667ED3">
        <w:rPr>
          <w:rStyle w:val="FootnoteReference"/>
          <w:rFonts w:ascii="Times New Roman" w:hAnsi="Times New Roman" w:cs="Times New Roman"/>
        </w:rPr>
        <w:footnoteRef/>
      </w:r>
      <w:r w:rsidRPr="00667ED3">
        <w:rPr>
          <w:rFonts w:ascii="Times New Roman" w:hAnsi="Times New Roman" w:cs="Times New Roman"/>
        </w:rPr>
        <w:t xml:space="preserve"> </w:t>
      </w:r>
      <w:r w:rsidRPr="00667ED3">
        <w:rPr>
          <w:rFonts w:ascii="Times New Roman" w:hAnsi="Times New Roman" w:cs="Times New Roman"/>
          <w:sz w:val="24"/>
          <w:szCs w:val="24"/>
        </w:rPr>
        <w:t>Ibid, p. 2.</w:t>
      </w:r>
    </w:p>
  </w:footnote>
  <w:footnote w:id="239">
    <w:p w14:paraId="4336814E" w14:textId="63ECCB74" w:rsidR="00B10FA3" w:rsidRPr="005A5F99" w:rsidRDefault="00B10FA3" w:rsidP="005A5F99">
      <w:pPr>
        <w:pStyle w:val="Heading1"/>
        <w:rPr>
          <w:b/>
          <w:bCs/>
          <w:sz w:val="24"/>
          <w:szCs w:val="24"/>
        </w:rPr>
      </w:pPr>
      <w:r w:rsidRPr="00667ED3">
        <w:rPr>
          <w:rStyle w:val="FootnoteReference"/>
          <w:rFonts w:ascii="Times New Roman" w:hAnsi="Times New Roman" w:cs="Times New Roman"/>
          <w:sz w:val="24"/>
          <w:szCs w:val="24"/>
        </w:rPr>
        <w:footnoteRef/>
      </w:r>
      <w:r w:rsidRPr="00667ED3">
        <w:rPr>
          <w:rFonts w:ascii="Times New Roman" w:hAnsi="Times New Roman" w:cs="Times New Roman"/>
          <w:color w:val="000000" w:themeColor="text1"/>
          <w:sz w:val="24"/>
          <w:szCs w:val="24"/>
        </w:rPr>
        <w:t xml:space="preserve"> Shared Reality: Experiencing Commonality with others' Inner States about the World, </w:t>
      </w:r>
      <w:r w:rsidRPr="00667ED3">
        <w:rPr>
          <w:rStyle w:val="authors"/>
          <w:rFonts w:ascii="Times New Roman" w:hAnsi="Times New Roman" w:cs="Times New Roman"/>
          <w:color w:val="000000" w:themeColor="text1"/>
          <w:sz w:val="24"/>
          <w:szCs w:val="24"/>
        </w:rPr>
        <w:t xml:space="preserve"> Sage Journals, </w:t>
      </w:r>
      <w:hyperlink r:id="rId20" w:anchor="con1" w:history="1">
        <w:r w:rsidRPr="00667ED3">
          <w:rPr>
            <w:rStyle w:val="Hyperlink"/>
            <w:rFonts w:ascii="Times New Roman" w:hAnsi="Times New Roman" w:cs="Times New Roman"/>
            <w:color w:val="000000" w:themeColor="text1"/>
            <w:sz w:val="24"/>
            <w:szCs w:val="24"/>
          </w:rPr>
          <w:t>Gerald Echterhoff</w:t>
        </w:r>
      </w:hyperlink>
      <w:r w:rsidRPr="00667ED3">
        <w:rPr>
          <w:rStyle w:val="authors"/>
          <w:rFonts w:ascii="Times New Roman" w:hAnsi="Times New Roman" w:cs="Times New Roman"/>
          <w:color w:val="000000" w:themeColor="text1"/>
          <w:sz w:val="24"/>
          <w:szCs w:val="24"/>
        </w:rPr>
        <w:t xml:space="preserve">, </w:t>
      </w:r>
      <w:hyperlink r:id="rId21" w:anchor="con2" w:history="1">
        <w:r w:rsidRPr="00667ED3">
          <w:rPr>
            <w:rStyle w:val="Hyperlink"/>
            <w:rFonts w:ascii="Times New Roman" w:hAnsi="Times New Roman" w:cs="Times New Roman"/>
            <w:color w:val="000000" w:themeColor="text1"/>
            <w:sz w:val="24"/>
            <w:szCs w:val="24"/>
          </w:rPr>
          <w:t>E. Tory Higgins</w:t>
        </w:r>
      </w:hyperlink>
      <w:r w:rsidRPr="00667ED3">
        <w:rPr>
          <w:rStyle w:val="authors"/>
          <w:rFonts w:ascii="Times New Roman" w:hAnsi="Times New Roman" w:cs="Times New Roman"/>
          <w:color w:val="000000" w:themeColor="text1"/>
          <w:sz w:val="24"/>
          <w:szCs w:val="24"/>
        </w:rPr>
        <w:t xml:space="preserve">, and </w:t>
      </w:r>
      <w:hyperlink r:id="rId22" w:anchor="con3" w:history="1">
        <w:r w:rsidRPr="00667ED3">
          <w:rPr>
            <w:rStyle w:val="Hyperlink"/>
            <w:rFonts w:ascii="Times New Roman" w:hAnsi="Times New Roman" w:cs="Times New Roman"/>
            <w:color w:val="000000" w:themeColor="text1"/>
            <w:sz w:val="24"/>
            <w:szCs w:val="24"/>
          </w:rPr>
          <w:t>John M. Levine</w:t>
        </w:r>
      </w:hyperlink>
      <w:r w:rsidR="0086395C">
        <w:t xml:space="preserve"> </w:t>
      </w:r>
      <w:hyperlink r:id="rId23" w:anchor="tab-contributors" w:history="1">
        <w:r w:rsidR="0086395C">
          <w:rPr>
            <w:rStyle w:val="Hyperlink"/>
            <w:rFonts w:ascii="Times New Roman" w:hAnsi="Times New Roman" w:cs="Times New Roman"/>
            <w:color w:val="000000" w:themeColor="text1"/>
            <w:sz w:val="24"/>
            <w:szCs w:val="24"/>
          </w:rPr>
          <w:t>v</w:t>
        </w:r>
        <w:r w:rsidRPr="00667ED3">
          <w:rPr>
            <w:rStyle w:val="Hyperlink"/>
            <w:rFonts w:ascii="Times New Roman" w:hAnsi="Times New Roman" w:cs="Times New Roman"/>
            <w:color w:val="000000" w:themeColor="text1"/>
            <w:sz w:val="24"/>
            <w:szCs w:val="24"/>
          </w:rPr>
          <w:t>iew all authors and affiliations</w:t>
        </w:r>
      </w:hyperlink>
      <w:r w:rsidRPr="00667ED3">
        <w:rPr>
          <w:rFonts w:ascii="Times New Roman" w:hAnsi="Times New Roman" w:cs="Times New Roman"/>
          <w:color w:val="000000" w:themeColor="text1"/>
          <w:sz w:val="24"/>
          <w:szCs w:val="24"/>
        </w:rPr>
        <w:t>.</w:t>
      </w:r>
      <w:r w:rsidR="0086395C">
        <w:rPr>
          <w:rFonts w:ascii="Times New Roman" w:hAnsi="Times New Roman" w:cs="Times New Roman"/>
          <w:color w:val="000000" w:themeColor="text1"/>
          <w:sz w:val="24"/>
          <w:szCs w:val="24"/>
        </w:rPr>
        <w:t xml:space="preserve"> </w:t>
      </w:r>
      <w:hyperlink r:id="rId24" w:history="1">
        <w:r w:rsidRPr="00667ED3">
          <w:rPr>
            <w:rStyle w:val="Hyperlink"/>
            <w:rFonts w:ascii="Times New Roman" w:hAnsi="Times New Roman" w:cs="Times New Roman"/>
            <w:color w:val="000000" w:themeColor="text1"/>
            <w:sz w:val="24"/>
            <w:szCs w:val="24"/>
          </w:rPr>
          <w:t>Volume 4, Iss</w:t>
        </w:r>
      </w:hyperlink>
      <w:r w:rsidRPr="00667ED3">
        <w:rPr>
          <w:rFonts w:ascii="Times New Roman" w:hAnsi="Times New Roman" w:cs="Times New Roman"/>
          <w:color w:val="000000" w:themeColor="text1"/>
          <w:sz w:val="24"/>
          <w:szCs w:val="24"/>
        </w:rPr>
        <w:t>ue 5</w:t>
      </w:r>
      <w:r w:rsidRPr="001A19F8">
        <w:rPr>
          <w:color w:val="000000" w:themeColor="text1"/>
          <w:sz w:val="24"/>
          <w:szCs w:val="24"/>
        </w:rPr>
        <w:t>.</w:t>
      </w:r>
    </w:p>
    <w:p w14:paraId="1D0B5904" w14:textId="77777777" w:rsidR="00B10FA3" w:rsidRDefault="00B10FA3">
      <w:pPr>
        <w:pStyle w:val="FootnoteText"/>
      </w:pPr>
    </w:p>
  </w:footnote>
  <w:footnote w:id="240">
    <w:p w14:paraId="5762B376" w14:textId="77777777" w:rsidR="00B10FA3" w:rsidRPr="00667ED3" w:rsidRDefault="00B10FA3" w:rsidP="008E4497">
      <w:pPr>
        <w:spacing w:line="240" w:lineRule="auto"/>
        <w:rPr>
          <w:rFonts w:ascii="Times New Roman" w:eastAsia="Times New Roman" w:hAnsi="Times New Roman" w:cs="Times New Roman"/>
          <w:lang w:eastAsia="en-CA"/>
        </w:rPr>
      </w:pPr>
      <w:r w:rsidRPr="00667ED3">
        <w:rPr>
          <w:rStyle w:val="FootnoteReference"/>
          <w:rFonts w:ascii="Times New Roman" w:hAnsi="Times New Roman" w:cs="Times New Roman"/>
        </w:rPr>
        <w:footnoteRef/>
      </w:r>
      <w:r w:rsidRPr="00667ED3">
        <w:rPr>
          <w:rFonts w:ascii="Times New Roman" w:hAnsi="Times New Roman" w:cs="Times New Roman"/>
        </w:rPr>
        <w:t xml:space="preserve"> </w:t>
      </w:r>
      <w:r w:rsidRPr="00667ED3">
        <w:rPr>
          <w:rFonts w:ascii="Times New Roman" w:eastAsia="Times New Roman" w:hAnsi="Times New Roman" w:cs="Times New Roman"/>
          <w:lang w:eastAsia="en-CA"/>
        </w:rPr>
        <w:t>Tom Stafford, 26th October 2016, “</w:t>
      </w:r>
      <w:r w:rsidRPr="00667ED3">
        <w:rPr>
          <w:rFonts w:ascii="Times New Roman" w:eastAsia="Times New Roman" w:hAnsi="Times New Roman" w:cs="Times New Roman"/>
          <w:i/>
          <w:iCs/>
          <w:lang w:eastAsia="en-CA"/>
        </w:rPr>
        <w:t>Repetition Makes a Fact seem More-True, Regardless of Whether it is or Not,</w:t>
      </w:r>
      <w:r w:rsidRPr="00667ED3">
        <w:rPr>
          <w:rFonts w:ascii="Times New Roman" w:eastAsia="Times New Roman" w:hAnsi="Times New Roman" w:cs="Times New Roman"/>
          <w:lang w:eastAsia="en-CA"/>
        </w:rPr>
        <w:t>” https://www.bbc.com/future/article/20161026-how-liars-create-the-illusion-of-truth</w:t>
      </w:r>
    </w:p>
    <w:p w14:paraId="008B9AE0" w14:textId="77777777" w:rsidR="00B10FA3" w:rsidRPr="00667ED3" w:rsidRDefault="00B10FA3">
      <w:pPr>
        <w:pStyle w:val="FootnoteText"/>
        <w:rPr>
          <w:rFonts w:ascii="Times New Roman" w:hAnsi="Times New Roman" w:cs="Times New Roman"/>
        </w:rPr>
      </w:pPr>
    </w:p>
  </w:footnote>
  <w:footnote w:id="241">
    <w:p w14:paraId="06C13129" w14:textId="77777777" w:rsidR="00B10FA3" w:rsidRDefault="00B10FA3">
      <w:pPr>
        <w:pStyle w:val="FootnoteText"/>
      </w:pPr>
      <w:r w:rsidRPr="00667ED3">
        <w:rPr>
          <w:rStyle w:val="FootnoteReference"/>
          <w:rFonts w:ascii="Times New Roman" w:hAnsi="Times New Roman" w:cs="Times New Roman"/>
        </w:rPr>
        <w:footnoteRef/>
      </w:r>
      <w:r w:rsidRPr="00667ED3">
        <w:rPr>
          <w:rFonts w:ascii="Times New Roman" w:hAnsi="Times New Roman" w:cs="Times New Roman"/>
        </w:rPr>
        <w:t xml:space="preserve"> </w:t>
      </w:r>
      <w:r w:rsidRPr="00667ED3">
        <w:rPr>
          <w:rFonts w:ascii="Times New Roman" w:hAnsi="Times New Roman" w:cs="Times New Roman"/>
          <w:sz w:val="24"/>
          <w:szCs w:val="24"/>
        </w:rPr>
        <w:t>Ibid.</w:t>
      </w:r>
      <w:r>
        <w:t xml:space="preserve"> </w:t>
      </w:r>
    </w:p>
  </w:footnote>
  <w:footnote w:id="242">
    <w:p w14:paraId="3C87A4B3" w14:textId="77777777" w:rsidR="00B10FA3" w:rsidRPr="00667ED3" w:rsidRDefault="00B10FA3">
      <w:pPr>
        <w:pStyle w:val="FootnoteText"/>
        <w:rPr>
          <w:rFonts w:ascii="Times New Roman" w:hAnsi="Times New Roman" w:cs="Times New Roman"/>
          <w:sz w:val="24"/>
          <w:szCs w:val="24"/>
        </w:rPr>
      </w:pPr>
      <w:r w:rsidRPr="00667ED3">
        <w:rPr>
          <w:rStyle w:val="FootnoteReference"/>
          <w:rFonts w:ascii="Times New Roman" w:hAnsi="Times New Roman" w:cs="Times New Roman"/>
          <w:sz w:val="24"/>
          <w:szCs w:val="24"/>
        </w:rPr>
        <w:footnoteRef/>
      </w:r>
      <w:r w:rsidRPr="00667ED3">
        <w:rPr>
          <w:rFonts w:ascii="Times New Roman" w:hAnsi="Times New Roman" w:cs="Times New Roman"/>
          <w:sz w:val="24"/>
          <w:szCs w:val="24"/>
        </w:rPr>
        <w:t xml:space="preserve"> The GHW Bush campaign took a case in MA where a paroled convict sexually assaulted a woman upon his release. Governor of MA, M. Dukakis, had nothing to do with either the furlough or the assault. But the Bush campaign ran a campaign ad where, during a question about Dukakis’ leadership against criminality, a </w:t>
      </w:r>
      <w:r w:rsidRPr="00667ED3">
        <w:rPr>
          <w:rFonts w:ascii="Times New Roman" w:hAnsi="Times New Roman" w:cs="Times New Roman"/>
          <w:i/>
          <w:iCs/>
          <w:sz w:val="24"/>
          <w:szCs w:val="24"/>
        </w:rPr>
        <w:t xml:space="preserve">racially black hand </w:t>
      </w:r>
      <w:r w:rsidRPr="00667ED3">
        <w:rPr>
          <w:rFonts w:ascii="Times New Roman" w:hAnsi="Times New Roman" w:cs="Times New Roman"/>
          <w:sz w:val="24"/>
          <w:szCs w:val="24"/>
        </w:rPr>
        <w:t>appeared on the screen, suggesting who the ‘criminals’ which whom Dukakis was linked, in fact were.</w:t>
      </w:r>
    </w:p>
  </w:footnote>
  <w:footnote w:id="243">
    <w:p w14:paraId="3AC62BDA" w14:textId="77777777" w:rsidR="00B10FA3" w:rsidRPr="005D146B" w:rsidRDefault="00B10FA3" w:rsidP="005D146B">
      <w:pPr>
        <w:pStyle w:val="topic-paragraph"/>
      </w:pPr>
      <w:r>
        <w:rPr>
          <w:rStyle w:val="FootnoteReference"/>
          <w:rFonts w:eastAsiaTheme="majorEastAsia"/>
        </w:rPr>
        <w:footnoteRef/>
      </w:r>
      <w:r>
        <w:t xml:space="preserve"> </w:t>
      </w:r>
      <w:r w:rsidRPr="003901A3">
        <w:rPr>
          <w:rStyle w:val="Strong"/>
          <w:rFonts w:eastAsiaTheme="majorEastAsia"/>
          <w:b w:val="0"/>
          <w:bCs w:val="0"/>
        </w:rPr>
        <w:t>Michael Ray, “Madrid Train Bombings of 2004,” https://www.britannica.com/event/Madrid-train-bombings-of-2004.</w:t>
      </w:r>
    </w:p>
  </w:footnote>
  <w:footnote w:id="244">
    <w:p w14:paraId="3BDEAC38" w14:textId="77777777" w:rsidR="00B10FA3" w:rsidRPr="00E173D1" w:rsidRDefault="00B10FA3" w:rsidP="007D603D">
      <w:pPr>
        <w:pStyle w:val="FootnoteText"/>
        <w:rPr>
          <w:sz w:val="24"/>
          <w:szCs w:val="24"/>
        </w:rPr>
      </w:pPr>
      <w:r w:rsidRPr="00E173D1">
        <w:rPr>
          <w:rStyle w:val="FootnoteReference"/>
          <w:sz w:val="24"/>
          <w:szCs w:val="24"/>
        </w:rPr>
        <w:footnoteRef/>
      </w:r>
      <w:r w:rsidRPr="00E173D1">
        <w:rPr>
          <w:sz w:val="24"/>
          <w:szCs w:val="24"/>
        </w:rPr>
        <w:t xml:space="preserve"> </w:t>
      </w:r>
      <w:hyperlink r:id="rId25" w:history="1">
        <w:r w:rsidRPr="008F59FF">
          <w:rPr>
            <w:rStyle w:val="Hyperlink"/>
            <w:rFonts w:ascii="Times New Roman" w:hAnsi="Times New Roman" w:cs="Times New Roman"/>
            <w:color w:val="0D0D0D" w:themeColor="text1" w:themeTint="F2"/>
            <w:sz w:val="24"/>
            <w:szCs w:val="24"/>
          </w:rPr>
          <w:t>https://en.wikipedia.org/wiki/Majority_minority</w:t>
        </w:r>
      </w:hyperlink>
      <w:r w:rsidRPr="008F59FF">
        <w:rPr>
          <w:rFonts w:ascii="Times New Roman" w:hAnsi="Times New Roman" w:cs="Times New Roman"/>
          <w:color w:val="0D0D0D" w:themeColor="text1" w:themeTint="F2"/>
          <w:sz w:val="24"/>
          <w:szCs w:val="24"/>
        </w:rPr>
        <w:t>, p. 1-3.</w:t>
      </w:r>
    </w:p>
  </w:footnote>
  <w:footnote w:id="245">
    <w:p w14:paraId="6881A846" w14:textId="77777777" w:rsidR="00B10FA3" w:rsidRPr="00850C6D" w:rsidRDefault="00B10FA3">
      <w:pPr>
        <w:pStyle w:val="FootnoteText"/>
        <w:rPr>
          <w:rFonts w:ascii="Times New Roman" w:hAnsi="Times New Roman" w:cs="Times New Roman"/>
          <w:sz w:val="24"/>
          <w:szCs w:val="24"/>
        </w:rPr>
      </w:pPr>
      <w:r w:rsidRPr="00850C6D">
        <w:rPr>
          <w:rStyle w:val="FootnoteReference"/>
          <w:rFonts w:ascii="Times New Roman" w:hAnsi="Times New Roman" w:cs="Times New Roman"/>
          <w:sz w:val="24"/>
          <w:szCs w:val="24"/>
        </w:rPr>
        <w:footnoteRef/>
      </w:r>
      <w:r w:rsidRPr="00850C6D">
        <w:rPr>
          <w:rFonts w:ascii="Times New Roman" w:hAnsi="Times New Roman" w:cs="Times New Roman"/>
          <w:sz w:val="24"/>
          <w:szCs w:val="24"/>
        </w:rPr>
        <w:t xml:space="preserve"> Ibid.</w:t>
      </w:r>
    </w:p>
  </w:footnote>
  <w:footnote w:id="246">
    <w:p w14:paraId="51216DA7" w14:textId="77777777" w:rsidR="00B10FA3" w:rsidRPr="00850C6D" w:rsidRDefault="00B10FA3" w:rsidP="007D603D">
      <w:pPr>
        <w:pStyle w:val="FootnoteText"/>
        <w:rPr>
          <w:rFonts w:ascii="Times New Roman" w:hAnsi="Times New Roman" w:cs="Times New Roman"/>
          <w:sz w:val="24"/>
          <w:szCs w:val="24"/>
        </w:rPr>
      </w:pPr>
      <w:r w:rsidRPr="00850C6D">
        <w:rPr>
          <w:rStyle w:val="FootnoteReference"/>
          <w:rFonts w:ascii="Times New Roman" w:hAnsi="Times New Roman" w:cs="Times New Roman"/>
          <w:sz w:val="24"/>
          <w:szCs w:val="24"/>
        </w:rPr>
        <w:footnoteRef/>
      </w:r>
      <w:r w:rsidRPr="00850C6D">
        <w:rPr>
          <w:rFonts w:ascii="Times New Roman" w:hAnsi="Times New Roman" w:cs="Times New Roman"/>
          <w:sz w:val="24"/>
          <w:szCs w:val="24"/>
        </w:rPr>
        <w:t xml:space="preserve"> National Priorities Project, https://www.nationalpriorities.org/budget-basics/federal-budget-101/spending/.</w:t>
      </w:r>
    </w:p>
  </w:footnote>
  <w:footnote w:id="247">
    <w:p w14:paraId="0A7892E9" w14:textId="77777777" w:rsidR="00B10FA3" w:rsidRPr="00850C6D" w:rsidRDefault="00B10FA3" w:rsidP="007D603D">
      <w:pPr>
        <w:pStyle w:val="FootnoteText"/>
        <w:rPr>
          <w:rFonts w:ascii="Times New Roman" w:hAnsi="Times New Roman" w:cs="Times New Roman"/>
          <w:sz w:val="24"/>
          <w:szCs w:val="24"/>
        </w:rPr>
      </w:pPr>
      <w:r w:rsidRPr="00850C6D">
        <w:rPr>
          <w:rStyle w:val="FootnoteReference"/>
          <w:rFonts w:ascii="Times New Roman" w:hAnsi="Times New Roman" w:cs="Times New Roman"/>
          <w:sz w:val="24"/>
          <w:szCs w:val="24"/>
        </w:rPr>
        <w:footnoteRef/>
      </w:r>
      <w:r w:rsidRPr="00850C6D">
        <w:rPr>
          <w:rFonts w:ascii="Times New Roman" w:hAnsi="Times New Roman" w:cs="Times New Roman"/>
          <w:sz w:val="24"/>
          <w:szCs w:val="24"/>
        </w:rPr>
        <w:t xml:space="preserve"> Tax Policy Center/ Urban Institute and Brookings Institute. https://www.taxpolicycenter.org/briefing-book/how-do-us-taxes-compare-internationally</w:t>
      </w:r>
    </w:p>
  </w:footnote>
  <w:footnote w:id="248">
    <w:p w14:paraId="4EA8B60E" w14:textId="77777777" w:rsidR="00B10FA3" w:rsidRPr="00850C6D" w:rsidRDefault="00B10FA3" w:rsidP="007D603D">
      <w:pPr>
        <w:pStyle w:val="FootnoteText"/>
        <w:rPr>
          <w:rFonts w:ascii="Times New Roman" w:hAnsi="Times New Roman" w:cs="Times New Roman"/>
          <w:sz w:val="24"/>
          <w:szCs w:val="24"/>
        </w:rPr>
      </w:pPr>
      <w:r w:rsidRPr="00850C6D">
        <w:rPr>
          <w:rStyle w:val="FootnoteReference"/>
          <w:rFonts w:ascii="Times New Roman" w:hAnsi="Times New Roman" w:cs="Times New Roman"/>
          <w:sz w:val="24"/>
          <w:szCs w:val="24"/>
        </w:rPr>
        <w:footnoteRef/>
      </w:r>
      <w:r w:rsidRPr="00850C6D">
        <w:rPr>
          <w:rFonts w:ascii="Times New Roman" w:hAnsi="Times New Roman" w:cs="Times New Roman"/>
          <w:sz w:val="24"/>
          <w:szCs w:val="24"/>
        </w:rPr>
        <w:t xml:space="preserve"> John F. </w:t>
      </w:r>
      <w:proofErr w:type="spellStart"/>
      <w:r w:rsidRPr="00850C6D">
        <w:rPr>
          <w:rFonts w:ascii="Times New Roman" w:hAnsi="Times New Roman" w:cs="Times New Roman"/>
          <w:sz w:val="24"/>
          <w:szCs w:val="24"/>
        </w:rPr>
        <w:t>Holliwell</w:t>
      </w:r>
      <w:proofErr w:type="spellEnd"/>
      <w:r w:rsidRPr="00850C6D">
        <w:rPr>
          <w:rFonts w:ascii="Times New Roman" w:hAnsi="Times New Roman" w:cs="Times New Roman"/>
          <w:sz w:val="24"/>
          <w:szCs w:val="24"/>
        </w:rPr>
        <w:t xml:space="preserve">, </w:t>
      </w:r>
      <w:r w:rsidRPr="00850C6D">
        <w:rPr>
          <w:rFonts w:ascii="Times New Roman" w:hAnsi="Times New Roman" w:cs="Times New Roman"/>
          <w:i/>
          <w:iCs/>
          <w:sz w:val="24"/>
          <w:szCs w:val="24"/>
        </w:rPr>
        <w:t>The Nordic Exceptionalism</w:t>
      </w:r>
      <w:r w:rsidRPr="00850C6D">
        <w:rPr>
          <w:rFonts w:ascii="Times New Roman" w:hAnsi="Times New Roman" w:cs="Times New Roman"/>
          <w:sz w:val="24"/>
          <w:szCs w:val="24"/>
        </w:rPr>
        <w:t>, World Happiness Report, 2/20/20, pp. 129-146.</w:t>
      </w:r>
    </w:p>
  </w:footnote>
  <w:footnote w:id="249">
    <w:p w14:paraId="395D26E1" w14:textId="77777777" w:rsidR="00B10FA3" w:rsidRPr="00850C6D" w:rsidRDefault="00B10FA3" w:rsidP="007D603D">
      <w:pPr>
        <w:pStyle w:val="FootnoteText"/>
        <w:rPr>
          <w:rFonts w:ascii="Times New Roman" w:hAnsi="Times New Roman" w:cs="Times New Roman"/>
          <w:sz w:val="24"/>
          <w:szCs w:val="24"/>
        </w:rPr>
      </w:pPr>
      <w:r w:rsidRPr="00850C6D">
        <w:rPr>
          <w:rStyle w:val="FootnoteReference"/>
          <w:rFonts w:ascii="Times New Roman" w:hAnsi="Times New Roman" w:cs="Times New Roman"/>
          <w:sz w:val="24"/>
          <w:szCs w:val="24"/>
        </w:rPr>
        <w:footnoteRef/>
      </w:r>
      <w:r w:rsidRPr="00850C6D">
        <w:rPr>
          <w:rFonts w:ascii="Times New Roman" w:hAnsi="Times New Roman" w:cs="Times New Roman"/>
          <w:sz w:val="24"/>
          <w:szCs w:val="24"/>
        </w:rPr>
        <w:t xml:space="preserve"> Ibid, and R.A. Easterlin, </w:t>
      </w:r>
      <w:r w:rsidRPr="00850C6D">
        <w:rPr>
          <w:rFonts w:ascii="Times New Roman" w:hAnsi="Times New Roman" w:cs="Times New Roman"/>
          <w:i/>
          <w:iCs/>
          <w:sz w:val="24"/>
          <w:szCs w:val="24"/>
        </w:rPr>
        <w:t>Income and Happiness: Towards a Unified Theory</w:t>
      </w:r>
      <w:r w:rsidRPr="00850C6D">
        <w:rPr>
          <w:rFonts w:ascii="Times New Roman" w:hAnsi="Times New Roman" w:cs="Times New Roman"/>
          <w:sz w:val="24"/>
          <w:szCs w:val="24"/>
        </w:rPr>
        <w:t xml:space="preserve">, The Economic Journal, vol. 111, #473 (July 2001), </w:t>
      </w:r>
      <w:proofErr w:type="spellStart"/>
      <w:r w:rsidRPr="00850C6D">
        <w:rPr>
          <w:rFonts w:ascii="Times New Roman" w:hAnsi="Times New Roman" w:cs="Times New Roman"/>
          <w:sz w:val="24"/>
          <w:szCs w:val="24"/>
        </w:rPr>
        <w:t>pps</w:t>
      </w:r>
      <w:proofErr w:type="spellEnd"/>
      <w:r w:rsidRPr="00850C6D">
        <w:rPr>
          <w:rFonts w:ascii="Times New Roman" w:hAnsi="Times New Roman" w:cs="Times New Roman"/>
          <w:sz w:val="24"/>
          <w:szCs w:val="24"/>
        </w:rPr>
        <w:t>. 465-484.</w:t>
      </w:r>
    </w:p>
  </w:footnote>
  <w:footnote w:id="250">
    <w:p w14:paraId="45A95FE1" w14:textId="77777777" w:rsidR="00B10FA3" w:rsidRPr="00850C6D" w:rsidRDefault="00B10FA3" w:rsidP="007D603D">
      <w:pPr>
        <w:pStyle w:val="FootnoteText"/>
        <w:rPr>
          <w:rFonts w:ascii="Times New Roman" w:hAnsi="Times New Roman" w:cs="Times New Roman"/>
          <w:sz w:val="24"/>
          <w:szCs w:val="24"/>
        </w:rPr>
      </w:pPr>
      <w:r w:rsidRPr="00850C6D">
        <w:rPr>
          <w:rStyle w:val="FootnoteReference"/>
          <w:rFonts w:ascii="Times New Roman" w:hAnsi="Times New Roman" w:cs="Times New Roman"/>
          <w:sz w:val="24"/>
          <w:szCs w:val="24"/>
        </w:rPr>
        <w:footnoteRef/>
      </w:r>
      <w:r w:rsidRPr="00850C6D">
        <w:rPr>
          <w:rFonts w:ascii="Times New Roman" w:hAnsi="Times New Roman" w:cs="Times New Roman"/>
          <w:sz w:val="24"/>
          <w:szCs w:val="24"/>
        </w:rPr>
        <w:t xml:space="preserve"> Easterlin, p. 465-84.</w:t>
      </w:r>
    </w:p>
  </w:footnote>
  <w:footnote w:id="251">
    <w:p w14:paraId="0DD001EC" w14:textId="77777777" w:rsidR="00B10FA3" w:rsidRDefault="00B10FA3" w:rsidP="007D603D">
      <w:pPr>
        <w:pStyle w:val="FootnoteText"/>
      </w:pPr>
      <w:r w:rsidRPr="00850C6D">
        <w:rPr>
          <w:rStyle w:val="FootnoteReference"/>
          <w:rFonts w:ascii="Times New Roman" w:hAnsi="Times New Roman" w:cs="Times New Roman"/>
          <w:sz w:val="24"/>
          <w:szCs w:val="24"/>
        </w:rPr>
        <w:footnoteRef/>
      </w:r>
      <w:r w:rsidRPr="00850C6D">
        <w:rPr>
          <w:rFonts w:ascii="Times New Roman" w:hAnsi="Times New Roman" w:cs="Times New Roman"/>
          <w:sz w:val="24"/>
          <w:szCs w:val="24"/>
        </w:rPr>
        <w:t xml:space="preserve"> </w:t>
      </w:r>
      <w:proofErr w:type="spellStart"/>
      <w:r w:rsidRPr="00850C6D">
        <w:rPr>
          <w:rFonts w:ascii="Times New Roman" w:hAnsi="Times New Roman" w:cs="Times New Roman"/>
          <w:sz w:val="24"/>
          <w:szCs w:val="24"/>
        </w:rPr>
        <w:t>Holliwell</w:t>
      </w:r>
      <w:proofErr w:type="spellEnd"/>
      <w:r w:rsidRPr="00850C6D">
        <w:rPr>
          <w:rFonts w:ascii="Times New Roman" w:hAnsi="Times New Roman" w:cs="Times New Roman"/>
          <w:sz w:val="24"/>
          <w:szCs w:val="24"/>
        </w:rPr>
        <w:t>, pp. 131-32.</w:t>
      </w:r>
    </w:p>
  </w:footnote>
  <w:footnote w:id="252">
    <w:p w14:paraId="7FE683A3" w14:textId="77777777" w:rsidR="00B10FA3" w:rsidRPr="00A23AC2" w:rsidRDefault="00B10FA3" w:rsidP="007D603D">
      <w:pPr>
        <w:pStyle w:val="FootnoteText"/>
        <w:rPr>
          <w:rFonts w:ascii="Times New Roman" w:hAnsi="Times New Roman" w:cs="Times New Roman"/>
          <w:sz w:val="24"/>
          <w:szCs w:val="24"/>
        </w:rPr>
      </w:pPr>
      <w:r w:rsidRPr="00A23AC2">
        <w:rPr>
          <w:rStyle w:val="FootnoteReference"/>
          <w:rFonts w:ascii="Times New Roman" w:hAnsi="Times New Roman" w:cs="Times New Roman"/>
          <w:sz w:val="24"/>
          <w:szCs w:val="24"/>
        </w:rPr>
        <w:footnoteRef/>
      </w:r>
      <w:r w:rsidRPr="00A23AC2">
        <w:rPr>
          <w:rFonts w:ascii="Times New Roman" w:hAnsi="Times New Roman" w:cs="Times New Roman"/>
          <w:sz w:val="24"/>
          <w:szCs w:val="24"/>
        </w:rPr>
        <w:t xml:space="preserve"> “Thaddeus Stevens and the Imperfect Republic,” </w:t>
      </w:r>
      <w:r w:rsidRPr="00A23AC2">
        <w:rPr>
          <w:rFonts w:ascii="Times New Roman" w:hAnsi="Times New Roman" w:cs="Times New Roman"/>
          <w:i/>
          <w:iCs/>
          <w:sz w:val="24"/>
          <w:szCs w:val="24"/>
        </w:rPr>
        <w:t>The Pennsylvania Journal: Journal of Mid-Atlantic Studies</w:t>
      </w:r>
      <w:r w:rsidRPr="00A23AC2">
        <w:rPr>
          <w:rFonts w:ascii="Times New Roman" w:hAnsi="Times New Roman" w:cs="Times New Roman"/>
          <w:sz w:val="24"/>
          <w:szCs w:val="24"/>
        </w:rPr>
        <w:t>, vol 60, #2 (4/93), 140-152.</w:t>
      </w:r>
    </w:p>
  </w:footnote>
  <w:footnote w:id="253">
    <w:p w14:paraId="4954FA4D" w14:textId="77777777" w:rsidR="00B10FA3" w:rsidRPr="00CA2EBC" w:rsidRDefault="00B10FA3" w:rsidP="007D603D">
      <w:pPr>
        <w:pStyle w:val="FootnoteText"/>
        <w:rPr>
          <w:sz w:val="24"/>
          <w:szCs w:val="24"/>
          <w:lang w:val="es-ES"/>
        </w:rPr>
      </w:pPr>
      <w:r w:rsidRPr="00A23AC2">
        <w:rPr>
          <w:rStyle w:val="FootnoteReference"/>
          <w:rFonts w:ascii="Times New Roman" w:hAnsi="Times New Roman" w:cs="Times New Roman"/>
          <w:sz w:val="24"/>
          <w:szCs w:val="24"/>
        </w:rPr>
        <w:footnoteRef/>
      </w:r>
      <w:r w:rsidRPr="00A23AC2">
        <w:rPr>
          <w:rFonts w:ascii="Times New Roman" w:hAnsi="Times New Roman" w:cs="Times New Roman"/>
          <w:sz w:val="24"/>
          <w:szCs w:val="24"/>
          <w:lang w:val="es-ES"/>
        </w:rPr>
        <w:t xml:space="preserve"> Ibid.</w:t>
      </w:r>
    </w:p>
  </w:footnote>
  <w:footnote w:id="254">
    <w:p w14:paraId="5C134000" w14:textId="77777777" w:rsidR="00B10FA3" w:rsidRPr="00CA2EBC" w:rsidRDefault="00B10FA3" w:rsidP="007D603D">
      <w:pPr>
        <w:pStyle w:val="FootnoteText"/>
        <w:rPr>
          <w:sz w:val="24"/>
          <w:szCs w:val="24"/>
          <w:lang w:val="es-ES"/>
        </w:rPr>
      </w:pPr>
      <w:r w:rsidRPr="00A23AC2">
        <w:rPr>
          <w:rStyle w:val="FootnoteReference"/>
          <w:rFonts w:ascii="Times New Roman" w:hAnsi="Times New Roman" w:cs="Times New Roman"/>
          <w:sz w:val="24"/>
          <w:szCs w:val="24"/>
        </w:rPr>
        <w:footnoteRef/>
      </w:r>
      <w:r w:rsidRPr="00A23AC2">
        <w:rPr>
          <w:rFonts w:ascii="Times New Roman" w:hAnsi="Times New Roman" w:cs="Times New Roman"/>
          <w:sz w:val="24"/>
          <w:szCs w:val="24"/>
          <w:lang w:val="es-ES"/>
        </w:rPr>
        <w:t xml:space="preserve"> https://www.hueylong.com</w:t>
      </w:r>
      <w:r w:rsidRPr="00CA2EBC">
        <w:rPr>
          <w:sz w:val="24"/>
          <w:szCs w:val="24"/>
          <w:lang w:val="es-ES"/>
        </w:rPr>
        <w:t>/.</w:t>
      </w:r>
    </w:p>
  </w:footnote>
  <w:footnote w:id="255">
    <w:p w14:paraId="698B2CA5" w14:textId="77777777" w:rsidR="00B10FA3" w:rsidRPr="00A23AC2" w:rsidRDefault="00B10FA3" w:rsidP="007D603D">
      <w:pPr>
        <w:pStyle w:val="FootnoteText"/>
        <w:rPr>
          <w:rFonts w:ascii="Times New Roman" w:hAnsi="Times New Roman" w:cs="Times New Roman"/>
          <w:sz w:val="24"/>
          <w:szCs w:val="24"/>
        </w:rPr>
      </w:pPr>
      <w:r w:rsidRPr="00A23AC2">
        <w:rPr>
          <w:rStyle w:val="FootnoteReference"/>
          <w:rFonts w:ascii="Times New Roman" w:hAnsi="Times New Roman" w:cs="Times New Roman"/>
          <w:sz w:val="24"/>
          <w:szCs w:val="24"/>
        </w:rPr>
        <w:footnoteRef/>
      </w:r>
      <w:r w:rsidRPr="00A23AC2">
        <w:rPr>
          <w:rFonts w:ascii="Times New Roman" w:hAnsi="Times New Roman" w:cs="Times New Roman"/>
          <w:sz w:val="24"/>
          <w:szCs w:val="24"/>
        </w:rPr>
        <w:t xml:space="preserve"> Ibid.</w:t>
      </w:r>
    </w:p>
  </w:footnote>
  <w:footnote w:id="256">
    <w:p w14:paraId="1B3C9E52" w14:textId="24B21FA0" w:rsidR="00B10FA3" w:rsidRPr="00A23AC2" w:rsidRDefault="00B10FA3" w:rsidP="007D603D">
      <w:pPr>
        <w:pStyle w:val="FootnoteText"/>
        <w:rPr>
          <w:rFonts w:ascii="Times New Roman" w:hAnsi="Times New Roman" w:cs="Times New Roman"/>
          <w:sz w:val="24"/>
          <w:szCs w:val="24"/>
        </w:rPr>
      </w:pPr>
      <w:r w:rsidRPr="00A23AC2">
        <w:rPr>
          <w:rStyle w:val="FootnoteReference"/>
          <w:rFonts w:ascii="Times New Roman" w:hAnsi="Times New Roman" w:cs="Times New Roman"/>
          <w:sz w:val="24"/>
          <w:szCs w:val="24"/>
        </w:rPr>
        <w:footnoteRef/>
      </w:r>
      <w:r w:rsidRPr="00A23AC2">
        <w:rPr>
          <w:rFonts w:ascii="Times New Roman" w:hAnsi="Times New Roman" w:cs="Times New Roman"/>
          <w:sz w:val="24"/>
          <w:szCs w:val="24"/>
        </w:rPr>
        <w:t xml:space="preserve"> Richard Polenb</w:t>
      </w:r>
      <w:r w:rsidR="008F6575">
        <w:rPr>
          <w:rFonts w:ascii="Times New Roman" w:hAnsi="Times New Roman" w:cs="Times New Roman"/>
          <w:sz w:val="24"/>
          <w:szCs w:val="24"/>
        </w:rPr>
        <w:t>u</w:t>
      </w:r>
      <w:r w:rsidRPr="00A23AC2">
        <w:rPr>
          <w:rFonts w:ascii="Times New Roman" w:hAnsi="Times New Roman" w:cs="Times New Roman"/>
          <w:sz w:val="24"/>
          <w:szCs w:val="24"/>
        </w:rPr>
        <w:t xml:space="preserve">rg, </w:t>
      </w:r>
      <w:r w:rsidRPr="00A23AC2">
        <w:rPr>
          <w:rFonts w:ascii="Times New Roman" w:hAnsi="Times New Roman" w:cs="Times New Roman"/>
          <w:i/>
          <w:iCs/>
          <w:sz w:val="24"/>
          <w:szCs w:val="24"/>
        </w:rPr>
        <w:t>One Nation Divisible</w:t>
      </w:r>
      <w:r w:rsidRPr="00A23AC2">
        <w:rPr>
          <w:rFonts w:ascii="Times New Roman" w:hAnsi="Times New Roman" w:cs="Times New Roman"/>
          <w:sz w:val="24"/>
          <w:szCs w:val="24"/>
        </w:rPr>
        <w:t xml:space="preserve">, Penguin Books, 1980, </w:t>
      </w:r>
      <w:proofErr w:type="spellStart"/>
      <w:r w:rsidRPr="00A23AC2">
        <w:rPr>
          <w:rFonts w:ascii="Times New Roman" w:hAnsi="Times New Roman" w:cs="Times New Roman"/>
          <w:sz w:val="24"/>
          <w:szCs w:val="24"/>
        </w:rPr>
        <w:t>pps</w:t>
      </w:r>
      <w:proofErr w:type="spellEnd"/>
      <w:r w:rsidRPr="00A23AC2">
        <w:rPr>
          <w:rFonts w:ascii="Times New Roman" w:hAnsi="Times New Roman" w:cs="Times New Roman"/>
          <w:sz w:val="24"/>
          <w:szCs w:val="24"/>
        </w:rPr>
        <w:t>. 193-94.</w:t>
      </w:r>
    </w:p>
  </w:footnote>
  <w:footnote w:id="257">
    <w:p w14:paraId="0872C02A" w14:textId="77777777" w:rsidR="00A23AC2" w:rsidRPr="008F6575" w:rsidRDefault="00A23AC2" w:rsidP="007D603D">
      <w:pPr>
        <w:pStyle w:val="FootnoteText"/>
        <w:rPr>
          <w:lang w:val="en-US"/>
        </w:rPr>
      </w:pPr>
    </w:p>
    <w:p w14:paraId="7F92643C" w14:textId="027CCA8A" w:rsidR="00B10FA3" w:rsidRPr="00A23AC2" w:rsidRDefault="00B10FA3" w:rsidP="007D603D">
      <w:pPr>
        <w:pStyle w:val="FootnoteText"/>
        <w:rPr>
          <w:rFonts w:ascii="Times New Roman" w:hAnsi="Times New Roman" w:cs="Times New Roman"/>
          <w:lang w:val="es-ES"/>
        </w:rPr>
      </w:pPr>
      <w:r w:rsidRPr="00A23AC2">
        <w:rPr>
          <w:rStyle w:val="FootnoteReference"/>
          <w:rFonts w:ascii="Times New Roman" w:hAnsi="Times New Roman" w:cs="Times New Roman"/>
        </w:rPr>
        <w:footnoteRef/>
      </w:r>
      <w:r w:rsidRPr="00A23AC2">
        <w:rPr>
          <w:rFonts w:ascii="Times New Roman" w:hAnsi="Times New Roman" w:cs="Times New Roman"/>
          <w:lang w:val="es-ES"/>
        </w:rPr>
        <w:t xml:space="preserve"> </w:t>
      </w:r>
      <w:proofErr w:type="spellStart"/>
      <w:r w:rsidRPr="00A23AC2">
        <w:rPr>
          <w:rFonts w:ascii="Times New Roman" w:hAnsi="Times New Roman" w:cs="Times New Roman"/>
          <w:sz w:val="24"/>
          <w:szCs w:val="24"/>
          <w:lang w:val="es-ES"/>
        </w:rPr>
        <w:t>Ibid</w:t>
      </w:r>
      <w:proofErr w:type="spellEnd"/>
      <w:r w:rsidRPr="00A23AC2">
        <w:rPr>
          <w:rFonts w:ascii="Times New Roman" w:hAnsi="Times New Roman" w:cs="Times New Roman"/>
          <w:sz w:val="24"/>
          <w:szCs w:val="24"/>
          <w:lang w:val="es-ES"/>
        </w:rPr>
        <w:t>, p. 194-95.</w:t>
      </w:r>
    </w:p>
  </w:footnote>
  <w:footnote w:id="258">
    <w:p w14:paraId="2E1C57B2" w14:textId="77777777" w:rsidR="00B10FA3" w:rsidRPr="00A23AC2" w:rsidRDefault="00B10FA3" w:rsidP="007D603D">
      <w:pPr>
        <w:pStyle w:val="FootnoteText"/>
        <w:rPr>
          <w:rFonts w:ascii="Times New Roman" w:hAnsi="Times New Roman" w:cs="Times New Roman"/>
          <w:sz w:val="24"/>
          <w:szCs w:val="24"/>
          <w:lang w:val="es-ES"/>
        </w:rPr>
      </w:pPr>
      <w:r w:rsidRPr="00A23AC2">
        <w:rPr>
          <w:rStyle w:val="FootnoteReference"/>
          <w:rFonts w:ascii="Times New Roman" w:hAnsi="Times New Roman" w:cs="Times New Roman"/>
          <w:sz w:val="24"/>
          <w:szCs w:val="24"/>
        </w:rPr>
        <w:footnoteRef/>
      </w:r>
      <w:r w:rsidRPr="00A23AC2">
        <w:rPr>
          <w:rFonts w:ascii="Times New Roman" w:hAnsi="Times New Roman" w:cs="Times New Roman"/>
          <w:sz w:val="24"/>
          <w:szCs w:val="24"/>
          <w:lang w:val="es-ES"/>
        </w:rPr>
        <w:t xml:space="preserve"> https://www.rockefellerfoundation.org/blog/martin-luther-king-jr-and-his-push-for-economic-justice/.</w:t>
      </w:r>
    </w:p>
  </w:footnote>
  <w:footnote w:id="259">
    <w:p w14:paraId="105D11EC" w14:textId="77777777" w:rsidR="00B10FA3" w:rsidRPr="00A23AC2" w:rsidRDefault="00B10FA3" w:rsidP="007D603D">
      <w:pPr>
        <w:pStyle w:val="FootnoteText"/>
        <w:rPr>
          <w:rFonts w:ascii="Times New Roman" w:hAnsi="Times New Roman" w:cs="Times New Roman"/>
          <w:sz w:val="24"/>
          <w:szCs w:val="24"/>
        </w:rPr>
      </w:pPr>
      <w:r w:rsidRPr="00A23AC2">
        <w:rPr>
          <w:rStyle w:val="FootnoteReference"/>
          <w:rFonts w:ascii="Times New Roman" w:hAnsi="Times New Roman" w:cs="Times New Roman"/>
          <w:sz w:val="24"/>
          <w:szCs w:val="24"/>
        </w:rPr>
        <w:footnoteRef/>
      </w:r>
      <w:r w:rsidRPr="00A23AC2">
        <w:rPr>
          <w:rFonts w:ascii="Times New Roman" w:hAnsi="Times New Roman" w:cs="Times New Roman"/>
          <w:sz w:val="24"/>
          <w:szCs w:val="24"/>
        </w:rPr>
        <w:t xml:space="preserve"> Ibid.</w:t>
      </w:r>
    </w:p>
  </w:footnote>
  <w:footnote w:id="260">
    <w:p w14:paraId="5D853E6F" w14:textId="77777777" w:rsidR="00B10FA3" w:rsidRPr="00A23AC2" w:rsidRDefault="00B10FA3" w:rsidP="007D603D">
      <w:pPr>
        <w:pStyle w:val="FootnoteText"/>
        <w:rPr>
          <w:rFonts w:ascii="Times New Roman" w:hAnsi="Times New Roman" w:cs="Times New Roman"/>
        </w:rPr>
      </w:pPr>
      <w:r w:rsidRPr="00A23AC2">
        <w:rPr>
          <w:rStyle w:val="FootnoteReference"/>
          <w:rFonts w:ascii="Times New Roman" w:hAnsi="Times New Roman" w:cs="Times New Roman"/>
          <w:sz w:val="24"/>
          <w:szCs w:val="24"/>
        </w:rPr>
        <w:footnoteRef/>
      </w:r>
      <w:r w:rsidRPr="00A23AC2">
        <w:rPr>
          <w:rFonts w:ascii="Times New Roman" w:hAnsi="Times New Roman" w:cs="Times New Roman"/>
          <w:sz w:val="24"/>
          <w:szCs w:val="24"/>
        </w:rPr>
        <w:t xml:space="preserve"> Ibid.</w:t>
      </w:r>
    </w:p>
  </w:footnote>
  <w:footnote w:id="261">
    <w:p w14:paraId="5BB90EE6" w14:textId="77777777" w:rsidR="00B10FA3" w:rsidRPr="00B659A6" w:rsidRDefault="00B10FA3" w:rsidP="007D603D">
      <w:pPr>
        <w:pStyle w:val="FootnoteText"/>
        <w:rPr>
          <w:sz w:val="24"/>
          <w:szCs w:val="24"/>
        </w:rPr>
      </w:pPr>
      <w:r w:rsidRPr="00A23AC2">
        <w:rPr>
          <w:rStyle w:val="FootnoteReference"/>
          <w:rFonts w:ascii="Times New Roman" w:hAnsi="Times New Roman" w:cs="Times New Roman"/>
          <w:sz w:val="24"/>
          <w:szCs w:val="24"/>
        </w:rPr>
        <w:footnoteRef/>
      </w:r>
      <w:r w:rsidRPr="00A23AC2">
        <w:rPr>
          <w:rFonts w:ascii="Times New Roman" w:hAnsi="Times New Roman" w:cs="Times New Roman"/>
          <w:sz w:val="24"/>
          <w:szCs w:val="24"/>
        </w:rPr>
        <w:t xml:space="preserve"> Ibid.</w:t>
      </w:r>
    </w:p>
  </w:footnote>
  <w:footnote w:id="262">
    <w:p w14:paraId="657D80F1" w14:textId="77777777" w:rsidR="00B10FA3" w:rsidRDefault="00B10FA3" w:rsidP="007D603D">
      <w:pPr>
        <w:pStyle w:val="FootnoteText"/>
      </w:pPr>
      <w:r w:rsidRPr="002907CB">
        <w:rPr>
          <w:rStyle w:val="FootnoteReference"/>
          <w:rFonts w:ascii="Times New Roman" w:hAnsi="Times New Roman" w:cs="Times New Roman"/>
        </w:rPr>
        <w:footnoteRef/>
      </w:r>
      <w:r w:rsidRPr="002907CB">
        <w:rPr>
          <w:rFonts w:ascii="Times New Roman" w:hAnsi="Times New Roman" w:cs="Times New Roman"/>
        </w:rPr>
        <w:t xml:space="preserve"> </w:t>
      </w:r>
      <w:hyperlink r:id="rId26" w:history="1">
        <w:r w:rsidRPr="002907CB">
          <w:rPr>
            <w:rStyle w:val="Hyperlink"/>
            <w:rFonts w:ascii="Times New Roman" w:hAnsi="Times New Roman" w:cs="Times New Roman"/>
            <w:color w:val="0D0D0D" w:themeColor="text1" w:themeTint="F2"/>
            <w:sz w:val="24"/>
            <w:szCs w:val="24"/>
          </w:rPr>
          <w:t>https://www.urban.org/sites/default/files/publication/22271/413023-redistribution-under-the-aca-is-modest-in-scope.pdf</w:t>
        </w:r>
      </w:hyperlink>
      <w:r w:rsidRPr="002907CB">
        <w:rPr>
          <w:rFonts w:ascii="Times New Roman" w:hAnsi="Times New Roman" w:cs="Times New Roman"/>
          <w:color w:val="0D0D0D" w:themeColor="text1" w:themeTint="F2"/>
          <w:sz w:val="24"/>
          <w:szCs w:val="24"/>
        </w:rPr>
        <w:t xml:space="preserve">, </w:t>
      </w:r>
      <w:r w:rsidRPr="002907CB">
        <w:rPr>
          <w:rFonts w:ascii="Times New Roman" w:hAnsi="Times New Roman" w:cs="Times New Roman"/>
          <w:i/>
          <w:iCs/>
          <w:sz w:val="24"/>
          <w:szCs w:val="24"/>
        </w:rPr>
        <w:t>Redistribution Under the ACA is Modest in Scope Timely Analysis of Immediate Health Policy Issues</w:t>
      </w:r>
      <w:r w:rsidRPr="002907CB">
        <w:rPr>
          <w:rFonts w:ascii="Times New Roman" w:hAnsi="Times New Roman" w:cs="Times New Roman"/>
          <w:sz w:val="24"/>
          <w:szCs w:val="24"/>
        </w:rPr>
        <w:t>, February 2014, Stan Dorn, Bowen Garrett, and John Holahan</w:t>
      </w:r>
      <w:r>
        <w:rPr>
          <w:sz w:val="24"/>
          <w:szCs w:val="24"/>
        </w:rPr>
        <w:t>.</w:t>
      </w:r>
    </w:p>
  </w:footnote>
  <w:footnote w:id="263">
    <w:p w14:paraId="7DCF1D72" w14:textId="77777777" w:rsidR="00B10FA3" w:rsidRPr="00DD4B1E" w:rsidRDefault="00B10FA3" w:rsidP="007942B7">
      <w:pPr>
        <w:pStyle w:val="FootnoteText"/>
        <w:rPr>
          <w:rFonts w:ascii="Times New Roman" w:hAnsi="Times New Roman" w:cs="Times New Roman"/>
          <w:sz w:val="24"/>
          <w:szCs w:val="24"/>
        </w:rPr>
      </w:pPr>
      <w:r w:rsidRPr="00DD4B1E">
        <w:rPr>
          <w:rStyle w:val="FootnoteReference"/>
          <w:rFonts w:ascii="Times New Roman" w:hAnsi="Times New Roman" w:cs="Times New Roman"/>
          <w:sz w:val="24"/>
          <w:szCs w:val="24"/>
        </w:rPr>
        <w:footnoteRef/>
      </w:r>
      <w:r w:rsidRPr="00DD4B1E">
        <w:rPr>
          <w:rFonts w:ascii="Times New Roman" w:hAnsi="Times New Roman" w:cs="Times New Roman"/>
          <w:sz w:val="24"/>
          <w:szCs w:val="24"/>
        </w:rPr>
        <w:t xml:space="preserve"> Brooke Atterly, </w:t>
      </w:r>
      <w:r w:rsidRPr="00DD4B1E">
        <w:rPr>
          <w:rFonts w:ascii="Times New Roman" w:hAnsi="Times New Roman" w:cs="Times New Roman"/>
          <w:i/>
          <w:iCs/>
          <w:sz w:val="24"/>
          <w:szCs w:val="24"/>
        </w:rPr>
        <w:t>John Rawls: An Introduction</w:t>
      </w:r>
      <w:r w:rsidRPr="00DD4B1E">
        <w:rPr>
          <w:rFonts w:ascii="Times New Roman" w:hAnsi="Times New Roman" w:cs="Times New Roman"/>
          <w:sz w:val="24"/>
          <w:szCs w:val="24"/>
        </w:rPr>
        <w:t xml:space="preserve">, </w:t>
      </w:r>
      <w:r w:rsidRPr="00DD4B1E">
        <w:rPr>
          <w:rFonts w:ascii="Times New Roman" w:hAnsi="Times New Roman" w:cs="Times New Roman"/>
          <w:b/>
          <w:bCs/>
          <w:sz w:val="24"/>
          <w:szCs w:val="24"/>
        </w:rPr>
        <w:t>Perspectives in Politics</w:t>
      </w:r>
      <w:r w:rsidRPr="00DD4B1E">
        <w:rPr>
          <w:rFonts w:ascii="Times New Roman" w:hAnsi="Times New Roman" w:cs="Times New Roman"/>
          <w:sz w:val="24"/>
          <w:szCs w:val="24"/>
        </w:rPr>
        <w:t>, vol 4, #1 (3/2006), p. 75-80.</w:t>
      </w:r>
    </w:p>
  </w:footnote>
  <w:footnote w:id="264">
    <w:p w14:paraId="0DA9AC1B" w14:textId="77777777" w:rsidR="00B10FA3" w:rsidRPr="00DD4B1E" w:rsidRDefault="00B10FA3" w:rsidP="007942B7">
      <w:pPr>
        <w:pStyle w:val="FootnoteText"/>
        <w:rPr>
          <w:rFonts w:ascii="Times New Roman" w:hAnsi="Times New Roman" w:cs="Times New Roman"/>
          <w:sz w:val="24"/>
          <w:szCs w:val="24"/>
        </w:rPr>
      </w:pPr>
      <w:r w:rsidRPr="00DD4B1E">
        <w:rPr>
          <w:rStyle w:val="FootnoteReference"/>
          <w:rFonts w:ascii="Times New Roman" w:hAnsi="Times New Roman" w:cs="Times New Roman"/>
          <w:sz w:val="24"/>
          <w:szCs w:val="24"/>
        </w:rPr>
        <w:footnoteRef/>
      </w:r>
      <w:r w:rsidRPr="00DD4B1E">
        <w:rPr>
          <w:rFonts w:ascii="Times New Roman" w:hAnsi="Times New Roman" w:cs="Times New Roman"/>
          <w:sz w:val="24"/>
          <w:szCs w:val="24"/>
        </w:rPr>
        <w:t xml:space="preserve"> </w:t>
      </w:r>
      <w:r w:rsidRPr="00DD4B1E">
        <w:rPr>
          <w:rFonts w:ascii="Times New Roman" w:hAnsi="Times New Roman" w:cs="Times New Roman"/>
          <w:i/>
          <w:iCs/>
          <w:sz w:val="24"/>
          <w:szCs w:val="24"/>
        </w:rPr>
        <w:t>John Rawls and Redistribution</w:t>
      </w:r>
      <w:r w:rsidRPr="00DD4B1E">
        <w:rPr>
          <w:rFonts w:ascii="Times New Roman" w:hAnsi="Times New Roman" w:cs="Times New Roman"/>
          <w:sz w:val="24"/>
          <w:szCs w:val="24"/>
        </w:rPr>
        <w:t xml:space="preserve">, “Tom Woods Show,” </w:t>
      </w:r>
      <w:proofErr w:type="spellStart"/>
      <w:r w:rsidRPr="00DD4B1E">
        <w:rPr>
          <w:rFonts w:ascii="Times New Roman" w:hAnsi="Times New Roman" w:cs="Times New Roman"/>
          <w:sz w:val="24"/>
          <w:szCs w:val="24"/>
        </w:rPr>
        <w:t>Youtube</w:t>
      </w:r>
      <w:proofErr w:type="spellEnd"/>
      <w:r w:rsidRPr="00DD4B1E">
        <w:rPr>
          <w:rFonts w:ascii="Times New Roman" w:hAnsi="Times New Roman" w:cs="Times New Roman"/>
          <w:sz w:val="24"/>
          <w:szCs w:val="24"/>
        </w:rPr>
        <w:t>, 7/14/2015.</w:t>
      </w:r>
    </w:p>
  </w:footnote>
  <w:footnote w:id="265">
    <w:p w14:paraId="413C4DDE" w14:textId="77777777" w:rsidR="00B10FA3" w:rsidRPr="00917035" w:rsidRDefault="00B10FA3" w:rsidP="007942B7">
      <w:pPr>
        <w:pStyle w:val="FootnoteText"/>
        <w:rPr>
          <w:sz w:val="24"/>
          <w:szCs w:val="24"/>
        </w:rPr>
      </w:pPr>
      <w:r w:rsidRPr="00DD4B1E">
        <w:rPr>
          <w:rStyle w:val="FootnoteReference"/>
          <w:rFonts w:ascii="Times New Roman" w:hAnsi="Times New Roman" w:cs="Times New Roman"/>
          <w:sz w:val="24"/>
          <w:szCs w:val="24"/>
        </w:rPr>
        <w:footnoteRef/>
      </w:r>
      <w:r w:rsidRPr="00DD4B1E">
        <w:rPr>
          <w:rFonts w:ascii="Times New Roman" w:hAnsi="Times New Roman" w:cs="Times New Roman"/>
          <w:sz w:val="24"/>
          <w:szCs w:val="24"/>
        </w:rPr>
        <w:t xml:space="preserve"> Ibid.</w:t>
      </w:r>
      <w:r w:rsidRPr="00917035">
        <w:rPr>
          <w:sz w:val="24"/>
          <w:szCs w:val="24"/>
        </w:rPr>
        <w:t xml:space="preserve"> </w:t>
      </w:r>
    </w:p>
  </w:footnote>
  <w:footnote w:id="266">
    <w:p w14:paraId="4184111E" w14:textId="77777777" w:rsidR="00B10FA3" w:rsidRPr="009051ED" w:rsidRDefault="00B10FA3" w:rsidP="007942B7">
      <w:pPr>
        <w:pStyle w:val="FootnoteText"/>
        <w:rPr>
          <w:rFonts w:ascii="Times New Roman" w:hAnsi="Times New Roman" w:cs="Times New Roman"/>
          <w:sz w:val="24"/>
          <w:szCs w:val="24"/>
        </w:rPr>
      </w:pPr>
      <w:r w:rsidRPr="009051ED">
        <w:rPr>
          <w:rStyle w:val="FootnoteReference"/>
          <w:rFonts w:ascii="Times New Roman" w:hAnsi="Times New Roman" w:cs="Times New Roman"/>
          <w:sz w:val="24"/>
          <w:szCs w:val="24"/>
        </w:rPr>
        <w:footnoteRef/>
      </w:r>
      <w:r w:rsidRPr="009051ED">
        <w:rPr>
          <w:rFonts w:ascii="Times New Roman" w:hAnsi="Times New Roman" w:cs="Times New Roman"/>
          <w:sz w:val="24"/>
          <w:szCs w:val="24"/>
        </w:rPr>
        <w:t xml:space="preserve"> </w:t>
      </w:r>
      <w:r w:rsidRPr="009051ED">
        <w:rPr>
          <w:rFonts w:ascii="Times New Roman" w:hAnsi="Times New Roman" w:cs="Times New Roman"/>
          <w:i/>
          <w:iCs/>
          <w:sz w:val="24"/>
          <w:szCs w:val="24"/>
        </w:rPr>
        <w:t>Rawls, Mill and the Puzzle of Political Liberalism</w:t>
      </w:r>
      <w:r w:rsidRPr="009051ED">
        <w:rPr>
          <w:rFonts w:ascii="Times New Roman" w:hAnsi="Times New Roman" w:cs="Times New Roman"/>
          <w:sz w:val="24"/>
          <w:szCs w:val="24"/>
        </w:rPr>
        <w:t xml:space="preserve">, </w:t>
      </w:r>
      <w:r w:rsidRPr="00510A57">
        <w:rPr>
          <w:rFonts w:ascii="Times New Roman" w:hAnsi="Times New Roman" w:cs="Times New Roman"/>
          <w:b/>
          <w:bCs/>
          <w:i/>
          <w:iCs/>
          <w:sz w:val="24"/>
          <w:szCs w:val="24"/>
        </w:rPr>
        <w:t>Journal of Politics</w:t>
      </w:r>
      <w:r w:rsidRPr="009051ED">
        <w:rPr>
          <w:rFonts w:ascii="Times New Roman" w:hAnsi="Times New Roman" w:cs="Times New Roman"/>
          <w:sz w:val="24"/>
          <w:szCs w:val="24"/>
        </w:rPr>
        <w:t>, vol 75, #1, p. 24-136.</w:t>
      </w:r>
    </w:p>
  </w:footnote>
  <w:footnote w:id="267">
    <w:p w14:paraId="02919314" w14:textId="77777777" w:rsidR="00B10FA3" w:rsidRPr="009051ED" w:rsidRDefault="00B10FA3" w:rsidP="007942B7">
      <w:pPr>
        <w:pStyle w:val="FootnoteText"/>
        <w:rPr>
          <w:rFonts w:ascii="Times New Roman" w:hAnsi="Times New Roman" w:cs="Times New Roman"/>
          <w:b/>
          <w:bCs/>
          <w:i/>
          <w:iCs/>
          <w:sz w:val="28"/>
          <w:szCs w:val="28"/>
        </w:rPr>
      </w:pPr>
      <w:r w:rsidRPr="009051ED">
        <w:rPr>
          <w:rStyle w:val="FootnoteReference"/>
          <w:rFonts w:ascii="Times New Roman" w:hAnsi="Times New Roman" w:cs="Times New Roman"/>
          <w:sz w:val="24"/>
          <w:szCs w:val="24"/>
        </w:rPr>
        <w:footnoteRef/>
      </w:r>
      <w:r w:rsidRPr="009051ED">
        <w:rPr>
          <w:rFonts w:ascii="Times New Roman" w:hAnsi="Times New Roman" w:cs="Times New Roman"/>
          <w:sz w:val="24"/>
          <w:szCs w:val="24"/>
        </w:rPr>
        <w:t xml:space="preserve"> </w:t>
      </w:r>
      <w:r w:rsidRPr="009051ED">
        <w:rPr>
          <w:rFonts w:ascii="Times New Roman" w:hAnsi="Times New Roman" w:cs="Times New Roman"/>
          <w:i/>
          <w:iCs/>
          <w:sz w:val="24"/>
          <w:szCs w:val="24"/>
        </w:rPr>
        <w:t xml:space="preserve">Tom Woods Show, </w:t>
      </w:r>
      <w:r w:rsidRPr="009051ED">
        <w:rPr>
          <w:rFonts w:ascii="Times New Roman" w:hAnsi="Times New Roman" w:cs="Times New Roman"/>
          <w:sz w:val="24"/>
          <w:szCs w:val="24"/>
        </w:rPr>
        <w:t xml:space="preserve">tomwoods.com, </w:t>
      </w:r>
      <w:proofErr w:type="spellStart"/>
      <w:r w:rsidRPr="009051ED">
        <w:rPr>
          <w:rFonts w:ascii="Times New Roman" w:hAnsi="Times New Roman" w:cs="Times New Roman"/>
          <w:sz w:val="24"/>
          <w:szCs w:val="24"/>
        </w:rPr>
        <w:t>Youtube</w:t>
      </w:r>
      <w:proofErr w:type="spellEnd"/>
      <w:r w:rsidRPr="009051ED">
        <w:rPr>
          <w:rFonts w:ascii="Times New Roman" w:hAnsi="Times New Roman" w:cs="Times New Roman"/>
          <w:sz w:val="24"/>
          <w:szCs w:val="24"/>
        </w:rPr>
        <w:t xml:space="preserve">, 7/14/2015.      </w:t>
      </w:r>
    </w:p>
    <w:p w14:paraId="25C41E50" w14:textId="77777777" w:rsidR="00B10FA3" w:rsidRDefault="00B10FA3" w:rsidP="007942B7">
      <w:pPr>
        <w:pStyle w:val="FootnoteText"/>
        <w:rPr>
          <w:b/>
          <w:bCs/>
          <w:i/>
          <w:iCs/>
          <w:sz w:val="28"/>
          <w:szCs w:val="28"/>
        </w:rPr>
      </w:pPr>
    </w:p>
    <w:p w14:paraId="6FCBB7CE" w14:textId="77777777" w:rsidR="00B10FA3" w:rsidRDefault="00B10FA3" w:rsidP="007942B7">
      <w:pPr>
        <w:pStyle w:val="FootnoteText"/>
        <w:rPr>
          <w:b/>
          <w:bCs/>
          <w:i/>
          <w:iCs/>
          <w:sz w:val="28"/>
          <w:szCs w:val="28"/>
        </w:rPr>
      </w:pPr>
    </w:p>
    <w:p w14:paraId="75575B62" w14:textId="77777777" w:rsidR="00B10FA3" w:rsidRDefault="00B10FA3" w:rsidP="007942B7">
      <w:pPr>
        <w:pStyle w:val="FootnoteText"/>
        <w:rPr>
          <w:b/>
          <w:bCs/>
          <w:i/>
          <w:iCs/>
          <w:sz w:val="28"/>
          <w:szCs w:val="28"/>
        </w:rPr>
      </w:pPr>
    </w:p>
    <w:p w14:paraId="3359C10E" w14:textId="77777777" w:rsidR="00B10FA3" w:rsidRPr="007052B5" w:rsidRDefault="00B10FA3" w:rsidP="007942B7">
      <w:pPr>
        <w:pStyle w:val="FootnoteText"/>
        <w:rPr>
          <w:b/>
          <w:bCs/>
          <w:i/>
          <w:iCs/>
          <w:sz w:val="28"/>
          <w:szCs w:val="28"/>
        </w:rPr>
      </w:pPr>
    </w:p>
  </w:footnote>
  <w:footnote w:id="268">
    <w:p w14:paraId="154FF2B5" w14:textId="77777777" w:rsidR="00B10FA3" w:rsidRPr="009051ED" w:rsidRDefault="00B10FA3" w:rsidP="007942B7">
      <w:pPr>
        <w:pStyle w:val="FootnoteText"/>
        <w:rPr>
          <w:rFonts w:ascii="Times New Roman" w:hAnsi="Times New Roman" w:cs="Times New Roman"/>
          <w:sz w:val="24"/>
          <w:szCs w:val="24"/>
        </w:rPr>
      </w:pPr>
      <w:r w:rsidRPr="009051ED">
        <w:rPr>
          <w:rStyle w:val="FootnoteReference"/>
          <w:rFonts w:ascii="Times New Roman" w:hAnsi="Times New Roman" w:cs="Times New Roman"/>
          <w:sz w:val="24"/>
          <w:szCs w:val="24"/>
        </w:rPr>
        <w:footnoteRef/>
      </w:r>
      <w:r w:rsidRPr="009051ED">
        <w:rPr>
          <w:rFonts w:ascii="Times New Roman" w:hAnsi="Times New Roman" w:cs="Times New Roman"/>
          <w:sz w:val="24"/>
          <w:szCs w:val="24"/>
        </w:rPr>
        <w:t xml:space="preserve"> </w:t>
      </w:r>
      <w:hyperlink r:id="rId27" w:history="1">
        <w:r w:rsidRPr="009051ED">
          <w:rPr>
            <w:rStyle w:val="Hyperlink"/>
            <w:rFonts w:ascii="Times New Roman" w:hAnsi="Times New Roman" w:cs="Times New Roman"/>
            <w:color w:val="0D0D0D" w:themeColor="text1" w:themeTint="F2"/>
            <w:sz w:val="24"/>
            <w:szCs w:val="24"/>
          </w:rPr>
          <w:t>https://www.fool.com/the-ascent/personal-finance/articles/study-shows-only-27-of-wealthy-americans-are-self-made</w:t>
        </w:r>
      </w:hyperlink>
      <w:r w:rsidRPr="009051ED">
        <w:rPr>
          <w:rFonts w:ascii="Times New Roman" w:hAnsi="Times New Roman" w:cs="Times New Roman"/>
          <w:color w:val="0D0D0D" w:themeColor="text1" w:themeTint="F2"/>
          <w:sz w:val="24"/>
          <w:szCs w:val="24"/>
        </w:rPr>
        <w:t xml:space="preserve">, </w:t>
      </w:r>
      <w:proofErr w:type="spellStart"/>
      <w:r w:rsidRPr="009051ED">
        <w:rPr>
          <w:rFonts w:ascii="Times New Roman" w:hAnsi="Times New Roman" w:cs="Times New Roman"/>
          <w:color w:val="0D0D0D" w:themeColor="text1" w:themeTint="F2"/>
          <w:sz w:val="24"/>
          <w:szCs w:val="24"/>
        </w:rPr>
        <w:t>pps</w:t>
      </w:r>
      <w:proofErr w:type="spellEnd"/>
      <w:r w:rsidRPr="009051ED">
        <w:rPr>
          <w:rFonts w:ascii="Times New Roman" w:hAnsi="Times New Roman" w:cs="Times New Roman"/>
          <w:color w:val="0D0D0D" w:themeColor="text1" w:themeTint="F2"/>
          <w:sz w:val="24"/>
          <w:szCs w:val="24"/>
        </w:rPr>
        <w:t>. 1-2.</w:t>
      </w:r>
    </w:p>
  </w:footnote>
  <w:footnote w:id="269">
    <w:p w14:paraId="371EBB35" w14:textId="77777777" w:rsidR="00B10FA3" w:rsidRPr="009051ED" w:rsidRDefault="00B10FA3" w:rsidP="007942B7">
      <w:pPr>
        <w:pStyle w:val="FootnoteText"/>
        <w:rPr>
          <w:rFonts w:ascii="Times New Roman" w:hAnsi="Times New Roman" w:cs="Times New Roman"/>
          <w:sz w:val="24"/>
          <w:szCs w:val="24"/>
        </w:rPr>
      </w:pPr>
      <w:r w:rsidRPr="009051ED">
        <w:rPr>
          <w:rStyle w:val="FootnoteReference"/>
          <w:rFonts w:ascii="Times New Roman" w:hAnsi="Times New Roman" w:cs="Times New Roman"/>
          <w:sz w:val="24"/>
          <w:szCs w:val="24"/>
        </w:rPr>
        <w:footnoteRef/>
      </w:r>
      <w:r w:rsidRPr="009051ED">
        <w:rPr>
          <w:rFonts w:ascii="Times New Roman" w:hAnsi="Times New Roman" w:cs="Times New Roman"/>
          <w:sz w:val="24"/>
          <w:szCs w:val="24"/>
        </w:rPr>
        <w:t xml:space="preserve"> Alan Pendelton Grimes, </w:t>
      </w:r>
      <w:r w:rsidRPr="009051ED">
        <w:rPr>
          <w:rFonts w:ascii="Times New Roman" w:hAnsi="Times New Roman" w:cs="Times New Roman"/>
          <w:i/>
          <w:iCs/>
          <w:sz w:val="24"/>
          <w:szCs w:val="24"/>
        </w:rPr>
        <w:t xml:space="preserve">American Political Thought, </w:t>
      </w:r>
      <w:r w:rsidRPr="009051ED">
        <w:rPr>
          <w:rFonts w:ascii="Times New Roman" w:hAnsi="Times New Roman" w:cs="Times New Roman"/>
          <w:sz w:val="24"/>
          <w:szCs w:val="24"/>
        </w:rPr>
        <w:t>University Press of America,</w:t>
      </w:r>
      <w:r w:rsidRPr="009051ED">
        <w:rPr>
          <w:rFonts w:ascii="Times New Roman" w:hAnsi="Times New Roman" w:cs="Times New Roman"/>
          <w:i/>
          <w:iCs/>
          <w:sz w:val="24"/>
          <w:szCs w:val="24"/>
        </w:rPr>
        <w:t xml:space="preserve"> </w:t>
      </w:r>
      <w:r w:rsidRPr="009051ED">
        <w:rPr>
          <w:rFonts w:ascii="Times New Roman" w:hAnsi="Times New Roman" w:cs="Times New Roman"/>
          <w:sz w:val="24"/>
          <w:szCs w:val="24"/>
        </w:rPr>
        <w:t>Lanham, 2004, p. 290-292.</w:t>
      </w:r>
    </w:p>
  </w:footnote>
  <w:footnote w:id="270">
    <w:p w14:paraId="3100B599" w14:textId="77777777" w:rsidR="00B10FA3" w:rsidRPr="00D02C21" w:rsidRDefault="00B10FA3" w:rsidP="007942B7">
      <w:pPr>
        <w:pStyle w:val="FootnoteText"/>
        <w:rPr>
          <w:sz w:val="24"/>
          <w:szCs w:val="24"/>
        </w:rPr>
      </w:pPr>
      <w:r w:rsidRPr="009051ED">
        <w:rPr>
          <w:rStyle w:val="FootnoteReference"/>
          <w:rFonts w:ascii="Times New Roman" w:hAnsi="Times New Roman" w:cs="Times New Roman"/>
          <w:sz w:val="24"/>
          <w:szCs w:val="24"/>
        </w:rPr>
        <w:footnoteRef/>
      </w:r>
      <w:r w:rsidRPr="009051ED">
        <w:rPr>
          <w:rFonts w:ascii="Times New Roman" w:hAnsi="Times New Roman" w:cs="Times New Roman"/>
          <w:sz w:val="24"/>
          <w:szCs w:val="24"/>
        </w:rPr>
        <w:t xml:space="preserve"> Ibid, p. 247-250.</w:t>
      </w:r>
    </w:p>
  </w:footnote>
  <w:footnote w:id="271">
    <w:p w14:paraId="03438427" w14:textId="77777777" w:rsidR="00B10FA3" w:rsidRPr="009051ED" w:rsidRDefault="00B10FA3" w:rsidP="007942B7">
      <w:pPr>
        <w:pStyle w:val="FootnoteText"/>
        <w:rPr>
          <w:rFonts w:ascii="Times New Roman" w:hAnsi="Times New Roman" w:cs="Times New Roman"/>
          <w:sz w:val="24"/>
          <w:szCs w:val="24"/>
        </w:rPr>
      </w:pPr>
      <w:r w:rsidRPr="009051ED">
        <w:rPr>
          <w:rStyle w:val="FootnoteReference"/>
          <w:rFonts w:ascii="Times New Roman" w:hAnsi="Times New Roman" w:cs="Times New Roman"/>
          <w:sz w:val="24"/>
          <w:szCs w:val="24"/>
        </w:rPr>
        <w:footnoteRef/>
      </w:r>
      <w:r w:rsidRPr="009051ED">
        <w:rPr>
          <w:rFonts w:ascii="Times New Roman" w:hAnsi="Times New Roman" w:cs="Times New Roman"/>
          <w:sz w:val="24"/>
          <w:szCs w:val="24"/>
        </w:rPr>
        <w:t xml:space="preserve"> Ibid, p. 290-91.</w:t>
      </w:r>
    </w:p>
  </w:footnote>
  <w:footnote w:id="272">
    <w:p w14:paraId="50319047" w14:textId="77777777" w:rsidR="00B10FA3" w:rsidRPr="009051ED" w:rsidRDefault="00B10FA3" w:rsidP="007942B7">
      <w:pPr>
        <w:pStyle w:val="FootnoteText"/>
        <w:rPr>
          <w:rFonts w:ascii="Times New Roman" w:hAnsi="Times New Roman" w:cs="Times New Roman"/>
          <w:sz w:val="24"/>
          <w:szCs w:val="24"/>
        </w:rPr>
      </w:pPr>
      <w:r w:rsidRPr="009051ED">
        <w:rPr>
          <w:rStyle w:val="FootnoteReference"/>
          <w:rFonts w:ascii="Times New Roman" w:hAnsi="Times New Roman" w:cs="Times New Roman"/>
          <w:sz w:val="24"/>
          <w:szCs w:val="24"/>
        </w:rPr>
        <w:footnoteRef/>
      </w:r>
      <w:r w:rsidRPr="009051ED">
        <w:rPr>
          <w:rFonts w:ascii="Times New Roman" w:hAnsi="Times New Roman" w:cs="Times New Roman"/>
          <w:sz w:val="24"/>
          <w:szCs w:val="24"/>
        </w:rPr>
        <w:t xml:space="preserve"> </w:t>
      </w:r>
      <w:proofErr w:type="spellStart"/>
      <w:r w:rsidRPr="009051ED">
        <w:rPr>
          <w:rFonts w:ascii="Times New Roman" w:hAnsi="Times New Roman" w:cs="Times New Roman"/>
          <w:sz w:val="24"/>
          <w:szCs w:val="24"/>
        </w:rPr>
        <w:t>Debural</w:t>
      </w:r>
      <w:proofErr w:type="spellEnd"/>
      <w:r w:rsidRPr="009051ED">
        <w:rPr>
          <w:rFonts w:ascii="Times New Roman" w:hAnsi="Times New Roman" w:cs="Times New Roman"/>
          <w:sz w:val="24"/>
          <w:szCs w:val="24"/>
        </w:rPr>
        <w:t xml:space="preserve"> Boucoyannis, “The Equalizing Hand,” </w:t>
      </w:r>
      <w:r w:rsidRPr="009051ED">
        <w:rPr>
          <w:rFonts w:ascii="Times New Roman" w:hAnsi="Times New Roman" w:cs="Times New Roman"/>
          <w:i/>
          <w:iCs/>
          <w:sz w:val="24"/>
          <w:szCs w:val="24"/>
        </w:rPr>
        <w:t xml:space="preserve">Perspective on Politics, vol. 11, #4 12/13, </w:t>
      </w:r>
      <w:proofErr w:type="spellStart"/>
      <w:r w:rsidRPr="009051ED">
        <w:rPr>
          <w:rFonts w:ascii="Times New Roman" w:hAnsi="Times New Roman" w:cs="Times New Roman"/>
          <w:i/>
          <w:iCs/>
          <w:sz w:val="24"/>
          <w:szCs w:val="24"/>
        </w:rPr>
        <w:t>pps</w:t>
      </w:r>
      <w:proofErr w:type="spellEnd"/>
      <w:r w:rsidRPr="009051ED">
        <w:rPr>
          <w:rFonts w:ascii="Times New Roman" w:hAnsi="Times New Roman" w:cs="Times New Roman"/>
          <w:i/>
          <w:iCs/>
          <w:sz w:val="24"/>
          <w:szCs w:val="24"/>
        </w:rPr>
        <w:t>. 1051-170.</w:t>
      </w:r>
    </w:p>
  </w:footnote>
  <w:footnote w:id="273">
    <w:p w14:paraId="1878D1E8" w14:textId="77777777" w:rsidR="00B10FA3" w:rsidRDefault="00B10FA3" w:rsidP="007942B7">
      <w:pPr>
        <w:pStyle w:val="FootnoteText"/>
      </w:pPr>
      <w:r w:rsidRPr="009051ED">
        <w:rPr>
          <w:rStyle w:val="FootnoteReference"/>
          <w:rFonts w:ascii="Times New Roman" w:hAnsi="Times New Roman" w:cs="Times New Roman"/>
          <w:sz w:val="24"/>
          <w:szCs w:val="24"/>
        </w:rPr>
        <w:footnoteRef/>
      </w:r>
      <w:r w:rsidRPr="009051ED">
        <w:rPr>
          <w:rFonts w:ascii="Times New Roman" w:hAnsi="Times New Roman" w:cs="Times New Roman"/>
          <w:sz w:val="24"/>
          <w:szCs w:val="24"/>
        </w:rPr>
        <w:t xml:space="preserve"> Ibid.</w:t>
      </w:r>
    </w:p>
  </w:footnote>
  <w:footnote w:id="274">
    <w:p w14:paraId="6E198127" w14:textId="77777777" w:rsidR="00B10FA3" w:rsidRPr="00536123" w:rsidRDefault="00B10FA3" w:rsidP="007942B7">
      <w:pPr>
        <w:pStyle w:val="FootnoteText"/>
        <w:rPr>
          <w:rFonts w:ascii="Times New Roman" w:hAnsi="Times New Roman" w:cs="Times New Roman"/>
          <w:sz w:val="24"/>
          <w:szCs w:val="24"/>
        </w:rPr>
      </w:pPr>
      <w:r w:rsidRPr="009051ED">
        <w:rPr>
          <w:rStyle w:val="FootnoteReference"/>
          <w:rFonts w:ascii="Times New Roman" w:hAnsi="Times New Roman" w:cs="Times New Roman"/>
          <w:sz w:val="24"/>
          <w:szCs w:val="24"/>
        </w:rPr>
        <w:footnoteRef/>
      </w:r>
      <w:r w:rsidRPr="009051ED">
        <w:rPr>
          <w:rFonts w:ascii="Times New Roman" w:hAnsi="Times New Roman" w:cs="Times New Roman"/>
          <w:sz w:val="24"/>
          <w:szCs w:val="24"/>
        </w:rPr>
        <w:t xml:space="preserve"> I say this as a professor who taught history and political science to American military members for nearly 20 years in Europe. </w:t>
      </w:r>
      <w:r w:rsidRPr="009051ED">
        <w:rPr>
          <w:rFonts w:ascii="Times New Roman" w:eastAsia="Times New Roman" w:hAnsi="Times New Roman" w:cs="Times New Roman"/>
          <w:sz w:val="24"/>
          <w:szCs w:val="24"/>
          <w:lang w:eastAsia="en-CA"/>
        </w:rPr>
        <w:t xml:space="preserve">The irony is that many in the military don’t recognize their own system as socialistic, and often profess adherence to adhere </w:t>
      </w:r>
      <w:r w:rsidRPr="00536123">
        <w:rPr>
          <w:rFonts w:ascii="Times New Roman" w:eastAsia="Times New Roman" w:hAnsi="Times New Roman" w:cs="Times New Roman"/>
          <w:sz w:val="24"/>
          <w:szCs w:val="24"/>
          <w:lang w:eastAsia="en-CA"/>
        </w:rPr>
        <w:t>to conservative political ideas of individual responsibility and freedom from government coercion in the public sphere.</w:t>
      </w:r>
    </w:p>
  </w:footnote>
  <w:footnote w:id="275">
    <w:p w14:paraId="637CA722" w14:textId="77777777" w:rsidR="00B10FA3" w:rsidRPr="00536123" w:rsidRDefault="00B10FA3" w:rsidP="007942B7">
      <w:pPr>
        <w:pStyle w:val="FootnoteText"/>
        <w:rPr>
          <w:rFonts w:ascii="Times New Roman" w:hAnsi="Times New Roman" w:cs="Times New Roman"/>
          <w:sz w:val="24"/>
          <w:szCs w:val="24"/>
        </w:rPr>
      </w:pPr>
      <w:r w:rsidRPr="00536123">
        <w:rPr>
          <w:rStyle w:val="FootnoteReference"/>
          <w:rFonts w:ascii="Times New Roman" w:hAnsi="Times New Roman" w:cs="Times New Roman"/>
          <w:sz w:val="24"/>
          <w:szCs w:val="24"/>
        </w:rPr>
        <w:footnoteRef/>
      </w:r>
      <w:r w:rsidRPr="00536123">
        <w:rPr>
          <w:rFonts w:ascii="Times New Roman" w:hAnsi="Times New Roman" w:cs="Times New Roman"/>
          <w:sz w:val="24"/>
          <w:szCs w:val="24"/>
        </w:rPr>
        <w:t xml:space="preserve"> John A. Moore, “Social Justice,” </w:t>
      </w:r>
      <w:r w:rsidRPr="00536123">
        <w:rPr>
          <w:rFonts w:ascii="Times New Roman" w:hAnsi="Times New Roman" w:cs="Times New Roman"/>
          <w:i/>
          <w:iCs/>
          <w:sz w:val="24"/>
          <w:szCs w:val="24"/>
        </w:rPr>
        <w:t>Independent Review</w:t>
      </w:r>
      <w:r w:rsidRPr="00536123">
        <w:rPr>
          <w:rFonts w:ascii="Times New Roman" w:hAnsi="Times New Roman" w:cs="Times New Roman"/>
          <w:sz w:val="24"/>
          <w:szCs w:val="24"/>
        </w:rPr>
        <w:t xml:space="preserve">, vol. 24, #1, </w:t>
      </w:r>
      <w:proofErr w:type="spellStart"/>
      <w:r w:rsidRPr="00536123">
        <w:rPr>
          <w:rFonts w:ascii="Times New Roman" w:hAnsi="Times New Roman" w:cs="Times New Roman"/>
          <w:sz w:val="24"/>
          <w:szCs w:val="24"/>
        </w:rPr>
        <w:t>pps</w:t>
      </w:r>
      <w:proofErr w:type="spellEnd"/>
      <w:r w:rsidRPr="00536123">
        <w:rPr>
          <w:rFonts w:ascii="Times New Roman" w:hAnsi="Times New Roman" w:cs="Times New Roman"/>
          <w:sz w:val="24"/>
          <w:szCs w:val="24"/>
        </w:rPr>
        <w:t>. 119-130.</w:t>
      </w:r>
    </w:p>
  </w:footnote>
  <w:footnote w:id="276">
    <w:p w14:paraId="4024A7D5" w14:textId="77777777" w:rsidR="00B10FA3" w:rsidRPr="00536123" w:rsidRDefault="00B10FA3" w:rsidP="007942B7">
      <w:pPr>
        <w:pStyle w:val="FootnoteText"/>
        <w:rPr>
          <w:rFonts w:ascii="Times New Roman" w:hAnsi="Times New Roman" w:cs="Times New Roman"/>
          <w:sz w:val="24"/>
          <w:szCs w:val="24"/>
        </w:rPr>
      </w:pPr>
      <w:r w:rsidRPr="00536123">
        <w:rPr>
          <w:rStyle w:val="FootnoteReference"/>
          <w:rFonts w:ascii="Times New Roman" w:hAnsi="Times New Roman" w:cs="Times New Roman"/>
          <w:sz w:val="24"/>
          <w:szCs w:val="24"/>
        </w:rPr>
        <w:footnoteRef/>
      </w:r>
      <w:r w:rsidRPr="00536123">
        <w:rPr>
          <w:rFonts w:ascii="Times New Roman" w:hAnsi="Times New Roman" w:cs="Times New Roman"/>
          <w:sz w:val="24"/>
          <w:szCs w:val="24"/>
        </w:rPr>
        <w:t xml:space="preserve"> A.F. McCarthy, “Religion and Attitudes Towards Redistributive Policies Among Americans,” </w:t>
      </w:r>
      <w:r w:rsidRPr="00536123">
        <w:rPr>
          <w:rFonts w:ascii="Times New Roman" w:hAnsi="Times New Roman" w:cs="Times New Roman"/>
          <w:i/>
          <w:iCs/>
          <w:sz w:val="24"/>
          <w:szCs w:val="24"/>
        </w:rPr>
        <w:t>Political Research Quarterly</w:t>
      </w:r>
      <w:r w:rsidRPr="00536123">
        <w:rPr>
          <w:rFonts w:ascii="Times New Roman" w:hAnsi="Times New Roman" w:cs="Times New Roman"/>
          <w:sz w:val="24"/>
          <w:szCs w:val="24"/>
        </w:rPr>
        <w:t>, vol. 69, #1, p. 121-133.</w:t>
      </w:r>
    </w:p>
    <w:p w14:paraId="5947601B" w14:textId="77777777" w:rsidR="00B10FA3" w:rsidRDefault="00B10FA3" w:rsidP="007942B7">
      <w:pPr>
        <w:pStyle w:val="FootnoteText"/>
      </w:pPr>
    </w:p>
    <w:p w14:paraId="223EE1D3" w14:textId="77777777" w:rsidR="00B10FA3" w:rsidRPr="00F43280" w:rsidRDefault="00B10FA3" w:rsidP="007942B7">
      <w:pPr>
        <w:pStyle w:val="FootnoteText"/>
      </w:pPr>
    </w:p>
  </w:footnote>
  <w:footnote w:id="277">
    <w:p w14:paraId="616A1259" w14:textId="77777777" w:rsidR="00B10FA3" w:rsidRPr="00F31BC0" w:rsidRDefault="00B10FA3" w:rsidP="007942B7">
      <w:pPr>
        <w:pStyle w:val="FootnoteText"/>
        <w:rPr>
          <w:rFonts w:ascii="Times New Roman" w:hAnsi="Times New Roman" w:cs="Times New Roman"/>
        </w:rPr>
      </w:pPr>
      <w:r w:rsidRPr="00F31BC0">
        <w:rPr>
          <w:rStyle w:val="FootnoteReference"/>
          <w:rFonts w:ascii="Times New Roman" w:hAnsi="Times New Roman" w:cs="Times New Roman"/>
        </w:rPr>
        <w:footnoteRef/>
      </w:r>
      <w:r w:rsidRPr="00F31BC0">
        <w:rPr>
          <w:rFonts w:ascii="Times New Roman" w:hAnsi="Times New Roman" w:cs="Times New Roman"/>
        </w:rPr>
        <w:t xml:space="preserve"> </w:t>
      </w:r>
      <w:r w:rsidRPr="00F31BC0">
        <w:rPr>
          <w:rFonts w:ascii="Times New Roman" w:hAnsi="Times New Roman" w:cs="Times New Roman"/>
          <w:sz w:val="24"/>
          <w:szCs w:val="24"/>
        </w:rPr>
        <w:t xml:space="preserve">Randall G. Holcombe, </w:t>
      </w:r>
      <w:r w:rsidRPr="00F31BC0">
        <w:rPr>
          <w:rFonts w:ascii="Times New Roman" w:hAnsi="Times New Roman" w:cs="Times New Roman"/>
          <w:i/>
          <w:iCs/>
          <w:sz w:val="24"/>
          <w:szCs w:val="24"/>
        </w:rPr>
        <w:t xml:space="preserve">Gordon Tullock on Inequality and Redistribution, </w:t>
      </w:r>
      <w:r w:rsidRPr="00F31BC0">
        <w:rPr>
          <w:rFonts w:ascii="Times New Roman" w:hAnsi="Times New Roman" w:cs="Times New Roman"/>
          <w:sz w:val="24"/>
          <w:szCs w:val="24"/>
        </w:rPr>
        <w:t>Independent Review, Vol. 33, #2, 2018, p. 227-247.</w:t>
      </w:r>
    </w:p>
  </w:footnote>
  <w:footnote w:id="278">
    <w:p w14:paraId="3D4ED119" w14:textId="77777777" w:rsidR="00B10FA3" w:rsidRPr="00F31BC0" w:rsidRDefault="00B10FA3" w:rsidP="007942B7">
      <w:pPr>
        <w:pStyle w:val="FootnoteText"/>
        <w:rPr>
          <w:rFonts w:ascii="Times New Roman" w:hAnsi="Times New Roman" w:cs="Times New Roman"/>
          <w:sz w:val="24"/>
          <w:szCs w:val="24"/>
        </w:rPr>
      </w:pPr>
      <w:r w:rsidRPr="00F31BC0">
        <w:rPr>
          <w:rStyle w:val="FootnoteReference"/>
          <w:rFonts w:ascii="Times New Roman" w:hAnsi="Times New Roman" w:cs="Times New Roman"/>
          <w:sz w:val="24"/>
          <w:szCs w:val="24"/>
        </w:rPr>
        <w:footnoteRef/>
      </w:r>
      <w:r w:rsidRPr="00F31BC0">
        <w:rPr>
          <w:rFonts w:ascii="Times New Roman" w:hAnsi="Times New Roman" w:cs="Times New Roman"/>
          <w:sz w:val="24"/>
          <w:szCs w:val="24"/>
        </w:rPr>
        <w:t xml:space="preserve"> Ibid. </w:t>
      </w:r>
    </w:p>
  </w:footnote>
  <w:footnote w:id="279">
    <w:p w14:paraId="13B89416" w14:textId="77777777" w:rsidR="00B10FA3" w:rsidRPr="00F31BC0" w:rsidRDefault="00B10FA3" w:rsidP="007942B7">
      <w:pPr>
        <w:pStyle w:val="FootnoteText"/>
        <w:rPr>
          <w:rFonts w:ascii="Times New Roman" w:hAnsi="Times New Roman" w:cs="Times New Roman"/>
          <w:sz w:val="24"/>
          <w:szCs w:val="24"/>
        </w:rPr>
      </w:pPr>
      <w:r w:rsidRPr="00F31BC0">
        <w:rPr>
          <w:rStyle w:val="FootnoteReference"/>
          <w:rFonts w:ascii="Times New Roman" w:hAnsi="Times New Roman" w:cs="Times New Roman"/>
          <w:sz w:val="24"/>
          <w:szCs w:val="24"/>
        </w:rPr>
        <w:footnoteRef/>
      </w:r>
      <w:r w:rsidRPr="00F31BC0">
        <w:rPr>
          <w:rFonts w:ascii="Times New Roman" w:hAnsi="Times New Roman" w:cs="Times New Roman"/>
          <w:sz w:val="24"/>
          <w:szCs w:val="24"/>
        </w:rPr>
        <w:t xml:space="preserve"> Ibid.</w:t>
      </w:r>
    </w:p>
  </w:footnote>
  <w:footnote w:id="280">
    <w:p w14:paraId="2B15C7F7" w14:textId="77777777" w:rsidR="00B10FA3" w:rsidRPr="002547A2" w:rsidRDefault="00B10FA3" w:rsidP="007942B7">
      <w:pPr>
        <w:pStyle w:val="FootnoteText"/>
        <w:rPr>
          <w:sz w:val="24"/>
          <w:szCs w:val="24"/>
        </w:rPr>
      </w:pPr>
      <w:r w:rsidRPr="00F31BC0">
        <w:rPr>
          <w:rStyle w:val="FootnoteReference"/>
          <w:rFonts w:ascii="Times New Roman" w:hAnsi="Times New Roman" w:cs="Times New Roman"/>
          <w:sz w:val="24"/>
          <w:szCs w:val="24"/>
        </w:rPr>
        <w:footnoteRef/>
      </w:r>
      <w:r w:rsidRPr="00F31BC0">
        <w:rPr>
          <w:rFonts w:ascii="Times New Roman" w:hAnsi="Times New Roman" w:cs="Times New Roman"/>
          <w:sz w:val="24"/>
          <w:szCs w:val="24"/>
        </w:rPr>
        <w:t xml:space="preserve"> H. E. Brown, “Logics of Redistribution,” </w:t>
      </w:r>
      <w:r w:rsidRPr="00F31BC0">
        <w:rPr>
          <w:rFonts w:ascii="Times New Roman" w:hAnsi="Times New Roman" w:cs="Times New Roman"/>
          <w:i/>
          <w:iCs/>
          <w:sz w:val="24"/>
          <w:szCs w:val="24"/>
        </w:rPr>
        <w:t>Sociological Perspectives</w:t>
      </w:r>
      <w:r w:rsidRPr="00F31BC0">
        <w:rPr>
          <w:rFonts w:ascii="Times New Roman" w:hAnsi="Times New Roman" w:cs="Times New Roman"/>
          <w:sz w:val="24"/>
          <w:szCs w:val="24"/>
        </w:rPr>
        <w:t>, vol. 60, #4, p. 786-809.</w:t>
      </w:r>
    </w:p>
  </w:footnote>
  <w:footnote w:id="281">
    <w:p w14:paraId="7DA51C81" w14:textId="77777777" w:rsidR="00B10FA3" w:rsidRDefault="00B10FA3" w:rsidP="007942B7">
      <w:pPr>
        <w:pStyle w:val="FootnoteText"/>
      </w:pPr>
      <w:r w:rsidRPr="00F31BC0">
        <w:rPr>
          <w:rStyle w:val="FootnoteReference"/>
          <w:rFonts w:ascii="Times New Roman" w:hAnsi="Times New Roman" w:cs="Times New Roman"/>
          <w:sz w:val="24"/>
          <w:szCs w:val="24"/>
        </w:rPr>
        <w:footnoteRef/>
      </w:r>
      <w:r w:rsidRPr="00F31BC0">
        <w:rPr>
          <w:rFonts w:ascii="Times New Roman" w:hAnsi="Times New Roman" w:cs="Times New Roman"/>
          <w:sz w:val="24"/>
          <w:szCs w:val="24"/>
        </w:rPr>
        <w:t xml:space="preserve"> Ibid</w:t>
      </w:r>
      <w:r w:rsidRPr="002547A2">
        <w:rPr>
          <w:sz w:val="24"/>
          <w:szCs w:val="24"/>
        </w:rPr>
        <w:t xml:space="preserve">. </w:t>
      </w:r>
    </w:p>
  </w:footnote>
  <w:footnote w:id="282">
    <w:p w14:paraId="42436F88" w14:textId="77777777" w:rsidR="00B10FA3" w:rsidRPr="00F31BC0" w:rsidRDefault="00B10FA3" w:rsidP="007942B7">
      <w:pPr>
        <w:pStyle w:val="FootnoteText"/>
        <w:rPr>
          <w:rFonts w:ascii="Times New Roman" w:hAnsi="Times New Roman" w:cs="Times New Roman"/>
          <w:i/>
          <w:iCs/>
          <w:sz w:val="24"/>
          <w:szCs w:val="24"/>
        </w:rPr>
      </w:pPr>
      <w:r w:rsidRPr="00F31BC0">
        <w:rPr>
          <w:rStyle w:val="FootnoteReference"/>
          <w:rFonts w:ascii="Times New Roman" w:hAnsi="Times New Roman" w:cs="Times New Roman"/>
          <w:sz w:val="24"/>
          <w:szCs w:val="24"/>
        </w:rPr>
        <w:footnoteRef/>
      </w:r>
      <w:r w:rsidRPr="00F31BC0">
        <w:rPr>
          <w:rFonts w:ascii="Times New Roman" w:hAnsi="Times New Roman" w:cs="Times New Roman"/>
          <w:sz w:val="24"/>
          <w:szCs w:val="24"/>
        </w:rPr>
        <w:t xml:space="preserve"> Tmothy Besley, “Why Do Developing Countries Tax So Little?” </w:t>
      </w:r>
      <w:r w:rsidRPr="00F31BC0">
        <w:rPr>
          <w:rFonts w:ascii="Times New Roman" w:hAnsi="Times New Roman" w:cs="Times New Roman"/>
          <w:i/>
          <w:iCs/>
          <w:sz w:val="24"/>
          <w:szCs w:val="24"/>
        </w:rPr>
        <w:t>Journal of Economic Perspectives, vol 28, #4, 2014.</w:t>
      </w:r>
    </w:p>
  </w:footnote>
  <w:footnote w:id="283">
    <w:p w14:paraId="301A9930" w14:textId="77777777" w:rsidR="00B10FA3" w:rsidRPr="008B74C9" w:rsidRDefault="00B10FA3">
      <w:pPr>
        <w:pStyle w:val="FootnoteText"/>
        <w:rPr>
          <w:rFonts w:ascii="Times New Roman" w:hAnsi="Times New Roman" w:cs="Times New Roman"/>
        </w:rPr>
      </w:pPr>
      <w:r w:rsidRPr="008B74C9">
        <w:rPr>
          <w:rStyle w:val="FootnoteReference"/>
          <w:rFonts w:ascii="Times New Roman" w:hAnsi="Times New Roman" w:cs="Times New Roman"/>
        </w:rPr>
        <w:footnoteRef/>
      </w:r>
      <w:r w:rsidRPr="008B74C9">
        <w:rPr>
          <w:rFonts w:ascii="Times New Roman" w:hAnsi="Times New Roman" w:cs="Times New Roman"/>
        </w:rPr>
        <w:t xml:space="preserve"> ADD FOOTNOTE</w:t>
      </w:r>
    </w:p>
  </w:footnote>
  <w:footnote w:id="284">
    <w:p w14:paraId="077385AE" w14:textId="77777777" w:rsidR="00B10FA3" w:rsidRPr="00666B9B" w:rsidRDefault="00B10FA3" w:rsidP="007942B7">
      <w:pPr>
        <w:pStyle w:val="FootnoteText"/>
        <w:rPr>
          <w:sz w:val="24"/>
          <w:szCs w:val="24"/>
        </w:rPr>
      </w:pPr>
      <w:r w:rsidRPr="008B74C9">
        <w:rPr>
          <w:rStyle w:val="FootnoteReference"/>
          <w:rFonts w:ascii="Times New Roman" w:hAnsi="Times New Roman" w:cs="Times New Roman"/>
          <w:sz w:val="24"/>
          <w:szCs w:val="24"/>
        </w:rPr>
        <w:footnoteRef/>
      </w:r>
      <w:r w:rsidRPr="008B74C9">
        <w:rPr>
          <w:rFonts w:ascii="Times New Roman" w:hAnsi="Times New Roman" w:cs="Times New Roman"/>
          <w:sz w:val="24"/>
          <w:szCs w:val="24"/>
        </w:rPr>
        <w:t xml:space="preserve"> “Do Universal Welfare Systems Redistribute Income and Reduce Poverty.” </w:t>
      </w:r>
      <w:r w:rsidRPr="008B74C9">
        <w:rPr>
          <w:rFonts w:ascii="Times New Roman" w:hAnsi="Times New Roman" w:cs="Times New Roman"/>
          <w:color w:val="FF0000"/>
          <w:sz w:val="24"/>
          <w:szCs w:val="24"/>
        </w:rPr>
        <w:t>See Apple bookmarks</w:t>
      </w:r>
      <w:r w:rsidRPr="00666B9B">
        <w:rPr>
          <w:sz w:val="24"/>
          <w:szCs w:val="24"/>
        </w:rPr>
        <w:t xml:space="preserve"> </w:t>
      </w:r>
    </w:p>
  </w:footnote>
  <w:footnote w:id="285">
    <w:p w14:paraId="75DC235F" w14:textId="77777777" w:rsidR="00B10FA3" w:rsidRPr="006820E4" w:rsidRDefault="00B10FA3" w:rsidP="007942B7">
      <w:pPr>
        <w:pStyle w:val="FootnoteText"/>
        <w:rPr>
          <w:rFonts w:ascii="Times New Roman" w:hAnsi="Times New Roman" w:cs="Times New Roman"/>
        </w:rPr>
      </w:pPr>
      <w:r w:rsidRPr="006820E4">
        <w:rPr>
          <w:rStyle w:val="FootnoteReference"/>
          <w:rFonts w:ascii="Times New Roman" w:hAnsi="Times New Roman" w:cs="Times New Roman"/>
          <w:sz w:val="24"/>
          <w:szCs w:val="24"/>
        </w:rPr>
        <w:footnoteRef/>
      </w:r>
      <w:r w:rsidRPr="006820E4">
        <w:rPr>
          <w:rFonts w:ascii="Times New Roman" w:hAnsi="Times New Roman" w:cs="Times New Roman"/>
          <w:sz w:val="24"/>
          <w:szCs w:val="24"/>
        </w:rPr>
        <w:t xml:space="preserve"> Ibid.</w:t>
      </w:r>
      <w:r w:rsidRPr="006820E4">
        <w:rPr>
          <w:rFonts w:ascii="Times New Roman" w:hAnsi="Times New Roman" w:cs="Times New Roman"/>
        </w:rPr>
        <w:t xml:space="preserve"> </w:t>
      </w:r>
    </w:p>
  </w:footnote>
  <w:footnote w:id="286">
    <w:p w14:paraId="1945F870" w14:textId="77777777" w:rsidR="00B10FA3" w:rsidRPr="008B74C9" w:rsidRDefault="00B10FA3" w:rsidP="007942B7">
      <w:pPr>
        <w:pStyle w:val="FootnoteText"/>
        <w:rPr>
          <w:rFonts w:ascii="Times New Roman" w:hAnsi="Times New Roman" w:cs="Times New Roman"/>
          <w:sz w:val="24"/>
          <w:szCs w:val="24"/>
        </w:rPr>
      </w:pPr>
      <w:r w:rsidRPr="008B74C9">
        <w:rPr>
          <w:rStyle w:val="FootnoteReference"/>
          <w:rFonts w:ascii="Times New Roman" w:hAnsi="Times New Roman" w:cs="Times New Roman"/>
          <w:sz w:val="24"/>
          <w:szCs w:val="24"/>
        </w:rPr>
        <w:footnoteRef/>
      </w:r>
      <w:r w:rsidRPr="008B74C9">
        <w:rPr>
          <w:rFonts w:ascii="Times New Roman" w:hAnsi="Times New Roman" w:cs="Times New Roman"/>
          <w:sz w:val="24"/>
          <w:szCs w:val="24"/>
        </w:rPr>
        <w:t xml:space="preserve"> John F. </w:t>
      </w:r>
      <w:proofErr w:type="spellStart"/>
      <w:r w:rsidRPr="008B74C9">
        <w:rPr>
          <w:rFonts w:ascii="Times New Roman" w:hAnsi="Times New Roman" w:cs="Times New Roman"/>
          <w:sz w:val="24"/>
          <w:szCs w:val="24"/>
        </w:rPr>
        <w:t>Holliwell</w:t>
      </w:r>
      <w:proofErr w:type="spellEnd"/>
      <w:r w:rsidRPr="008B74C9">
        <w:rPr>
          <w:rFonts w:ascii="Times New Roman" w:hAnsi="Times New Roman" w:cs="Times New Roman"/>
          <w:sz w:val="24"/>
          <w:szCs w:val="24"/>
        </w:rPr>
        <w:t xml:space="preserve">, “The Nordic Exceptionalism,” </w:t>
      </w:r>
      <w:r w:rsidRPr="008B74C9">
        <w:rPr>
          <w:rFonts w:ascii="Times New Roman" w:hAnsi="Times New Roman" w:cs="Times New Roman"/>
          <w:i/>
          <w:iCs/>
          <w:sz w:val="24"/>
          <w:szCs w:val="24"/>
        </w:rPr>
        <w:t>World Happiness Report 2020</w:t>
      </w:r>
      <w:r w:rsidRPr="008B74C9">
        <w:rPr>
          <w:rFonts w:ascii="Times New Roman" w:hAnsi="Times New Roman" w:cs="Times New Roman"/>
          <w:sz w:val="24"/>
          <w:szCs w:val="24"/>
        </w:rPr>
        <w:t>, 3/20/20, p. 129-146.</w:t>
      </w:r>
    </w:p>
  </w:footnote>
  <w:footnote w:id="287">
    <w:p w14:paraId="2C589D28" w14:textId="77777777" w:rsidR="00B10FA3" w:rsidRDefault="00B10FA3" w:rsidP="007942B7">
      <w:pPr>
        <w:pStyle w:val="FootnoteText"/>
      </w:pPr>
      <w:r w:rsidRPr="008B74C9">
        <w:rPr>
          <w:rStyle w:val="FootnoteReference"/>
          <w:rFonts w:ascii="Times New Roman" w:hAnsi="Times New Roman" w:cs="Times New Roman"/>
          <w:sz w:val="24"/>
          <w:szCs w:val="24"/>
        </w:rPr>
        <w:footnoteRef/>
      </w:r>
      <w:r w:rsidRPr="008B74C9">
        <w:rPr>
          <w:rFonts w:ascii="Times New Roman" w:hAnsi="Times New Roman" w:cs="Times New Roman"/>
          <w:sz w:val="24"/>
          <w:szCs w:val="24"/>
        </w:rPr>
        <w:t xml:space="preserve"> Ibid.</w:t>
      </w:r>
      <w:r>
        <w:t xml:space="preserve">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EA67F8"/>
    <w:multiLevelType w:val="hybridMultilevel"/>
    <w:tmpl w:val="659CA42E"/>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 w15:restartNumberingAfterBreak="0">
    <w:nsid w:val="2A7B6621"/>
    <w:multiLevelType w:val="hybridMultilevel"/>
    <w:tmpl w:val="A6F0F02A"/>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 w15:restartNumberingAfterBreak="0">
    <w:nsid w:val="406D4796"/>
    <w:multiLevelType w:val="hybridMultilevel"/>
    <w:tmpl w:val="1682D32C"/>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 w15:restartNumberingAfterBreak="0">
    <w:nsid w:val="5445184F"/>
    <w:multiLevelType w:val="multilevel"/>
    <w:tmpl w:val="AB9048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887057674">
    <w:abstractNumId w:val="0"/>
  </w:num>
  <w:num w:numId="2" w16cid:durableId="1096366565">
    <w:abstractNumId w:val="2"/>
  </w:num>
  <w:num w:numId="3" w16cid:durableId="696007559">
    <w:abstractNumId w:val="3"/>
  </w:num>
  <w:num w:numId="4" w16cid:durableId="146211630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3"/>
  <w:proofState w:spelling="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10FA3"/>
    <w:rsid w:val="00024898"/>
    <w:rsid w:val="000269B7"/>
    <w:rsid w:val="000344F2"/>
    <w:rsid w:val="00051696"/>
    <w:rsid w:val="00053350"/>
    <w:rsid w:val="0005670F"/>
    <w:rsid w:val="00063466"/>
    <w:rsid w:val="000662A9"/>
    <w:rsid w:val="00072169"/>
    <w:rsid w:val="0007731A"/>
    <w:rsid w:val="00084274"/>
    <w:rsid w:val="00087D91"/>
    <w:rsid w:val="00094144"/>
    <w:rsid w:val="000D4122"/>
    <w:rsid w:val="000E3636"/>
    <w:rsid w:val="000E570E"/>
    <w:rsid w:val="000E5B5F"/>
    <w:rsid w:val="000F5F76"/>
    <w:rsid w:val="00101DF0"/>
    <w:rsid w:val="00101F8A"/>
    <w:rsid w:val="00104116"/>
    <w:rsid w:val="00106F9A"/>
    <w:rsid w:val="00107E4C"/>
    <w:rsid w:val="00117A5D"/>
    <w:rsid w:val="00123F0D"/>
    <w:rsid w:val="00134AB5"/>
    <w:rsid w:val="00141A66"/>
    <w:rsid w:val="00156A2E"/>
    <w:rsid w:val="001610FE"/>
    <w:rsid w:val="00163F29"/>
    <w:rsid w:val="00183138"/>
    <w:rsid w:val="00186624"/>
    <w:rsid w:val="00193ED6"/>
    <w:rsid w:val="00195F33"/>
    <w:rsid w:val="001B7EAE"/>
    <w:rsid w:val="001D1A1E"/>
    <w:rsid w:val="00200806"/>
    <w:rsid w:val="00200E78"/>
    <w:rsid w:val="00205DD5"/>
    <w:rsid w:val="00205EB2"/>
    <w:rsid w:val="00206DFE"/>
    <w:rsid w:val="00212975"/>
    <w:rsid w:val="0022296F"/>
    <w:rsid w:val="0023080C"/>
    <w:rsid w:val="00235F98"/>
    <w:rsid w:val="002417F5"/>
    <w:rsid w:val="00244145"/>
    <w:rsid w:val="00257293"/>
    <w:rsid w:val="0026163C"/>
    <w:rsid w:val="002656E4"/>
    <w:rsid w:val="0027085C"/>
    <w:rsid w:val="002764CE"/>
    <w:rsid w:val="00285EED"/>
    <w:rsid w:val="002907CB"/>
    <w:rsid w:val="00290DE8"/>
    <w:rsid w:val="002A2647"/>
    <w:rsid w:val="002B0066"/>
    <w:rsid w:val="002B627E"/>
    <w:rsid w:val="002B68BE"/>
    <w:rsid w:val="002C1C76"/>
    <w:rsid w:val="002C5AF1"/>
    <w:rsid w:val="002D3073"/>
    <w:rsid w:val="002D39C5"/>
    <w:rsid w:val="002E4154"/>
    <w:rsid w:val="002F508B"/>
    <w:rsid w:val="00314F10"/>
    <w:rsid w:val="003230E9"/>
    <w:rsid w:val="00334795"/>
    <w:rsid w:val="00340C7B"/>
    <w:rsid w:val="00342200"/>
    <w:rsid w:val="00352718"/>
    <w:rsid w:val="0035577F"/>
    <w:rsid w:val="0036288A"/>
    <w:rsid w:val="00376E5C"/>
    <w:rsid w:val="00380F9C"/>
    <w:rsid w:val="003901A3"/>
    <w:rsid w:val="003922A0"/>
    <w:rsid w:val="003A1C79"/>
    <w:rsid w:val="003A4C68"/>
    <w:rsid w:val="003B5B6F"/>
    <w:rsid w:val="003D11FE"/>
    <w:rsid w:val="003D25AB"/>
    <w:rsid w:val="003D3D37"/>
    <w:rsid w:val="003E44C3"/>
    <w:rsid w:val="003E55FB"/>
    <w:rsid w:val="003F7034"/>
    <w:rsid w:val="00400B81"/>
    <w:rsid w:val="0040377E"/>
    <w:rsid w:val="00404FDE"/>
    <w:rsid w:val="00412FE1"/>
    <w:rsid w:val="0041543E"/>
    <w:rsid w:val="00416394"/>
    <w:rsid w:val="004264B8"/>
    <w:rsid w:val="004474CE"/>
    <w:rsid w:val="00452C41"/>
    <w:rsid w:val="0045552E"/>
    <w:rsid w:val="0046284B"/>
    <w:rsid w:val="00491AFF"/>
    <w:rsid w:val="004A2CA2"/>
    <w:rsid w:val="004A609C"/>
    <w:rsid w:val="004B52EB"/>
    <w:rsid w:val="004BFE81"/>
    <w:rsid w:val="004C3FC3"/>
    <w:rsid w:val="004C5DD5"/>
    <w:rsid w:val="004D1427"/>
    <w:rsid w:val="004D15BD"/>
    <w:rsid w:val="004D303C"/>
    <w:rsid w:val="004F3FED"/>
    <w:rsid w:val="00501C32"/>
    <w:rsid w:val="00510A57"/>
    <w:rsid w:val="00536123"/>
    <w:rsid w:val="00541FC3"/>
    <w:rsid w:val="00543BC2"/>
    <w:rsid w:val="005533A3"/>
    <w:rsid w:val="005562E6"/>
    <w:rsid w:val="00562311"/>
    <w:rsid w:val="0056488F"/>
    <w:rsid w:val="00566D1B"/>
    <w:rsid w:val="00570803"/>
    <w:rsid w:val="00570BCB"/>
    <w:rsid w:val="00574146"/>
    <w:rsid w:val="0057663F"/>
    <w:rsid w:val="005841F0"/>
    <w:rsid w:val="005A1F76"/>
    <w:rsid w:val="005A1F77"/>
    <w:rsid w:val="006021A5"/>
    <w:rsid w:val="00606BA5"/>
    <w:rsid w:val="00613142"/>
    <w:rsid w:val="006264A3"/>
    <w:rsid w:val="00636F5F"/>
    <w:rsid w:val="006430F8"/>
    <w:rsid w:val="00644224"/>
    <w:rsid w:val="006452F4"/>
    <w:rsid w:val="006466F3"/>
    <w:rsid w:val="00650264"/>
    <w:rsid w:val="006523F0"/>
    <w:rsid w:val="0066389D"/>
    <w:rsid w:val="00667ED3"/>
    <w:rsid w:val="00671BF6"/>
    <w:rsid w:val="00676D2F"/>
    <w:rsid w:val="006820E4"/>
    <w:rsid w:val="00692472"/>
    <w:rsid w:val="0069789D"/>
    <w:rsid w:val="006A0CAC"/>
    <w:rsid w:val="006B4041"/>
    <w:rsid w:val="006B4A30"/>
    <w:rsid w:val="006C0469"/>
    <w:rsid w:val="006C076B"/>
    <w:rsid w:val="006D0F48"/>
    <w:rsid w:val="006D179F"/>
    <w:rsid w:val="006F0C10"/>
    <w:rsid w:val="00704685"/>
    <w:rsid w:val="00716462"/>
    <w:rsid w:val="00716EC5"/>
    <w:rsid w:val="00727E18"/>
    <w:rsid w:val="00727E27"/>
    <w:rsid w:val="00732236"/>
    <w:rsid w:val="00735D55"/>
    <w:rsid w:val="007370F1"/>
    <w:rsid w:val="00744188"/>
    <w:rsid w:val="00756A88"/>
    <w:rsid w:val="00766826"/>
    <w:rsid w:val="0077474B"/>
    <w:rsid w:val="00782036"/>
    <w:rsid w:val="007A3391"/>
    <w:rsid w:val="007C0935"/>
    <w:rsid w:val="007C5729"/>
    <w:rsid w:val="007E4C4F"/>
    <w:rsid w:val="007F094B"/>
    <w:rsid w:val="007F2BE6"/>
    <w:rsid w:val="00830B76"/>
    <w:rsid w:val="00845775"/>
    <w:rsid w:val="00850C6D"/>
    <w:rsid w:val="00851473"/>
    <w:rsid w:val="00853F26"/>
    <w:rsid w:val="00853F63"/>
    <w:rsid w:val="00860A3A"/>
    <w:rsid w:val="00863077"/>
    <w:rsid w:val="0086395C"/>
    <w:rsid w:val="00873D9B"/>
    <w:rsid w:val="0088264E"/>
    <w:rsid w:val="00884603"/>
    <w:rsid w:val="00895EB9"/>
    <w:rsid w:val="008976D5"/>
    <w:rsid w:val="00897915"/>
    <w:rsid w:val="008A6F2E"/>
    <w:rsid w:val="008A7B6A"/>
    <w:rsid w:val="008B2BE8"/>
    <w:rsid w:val="008B74C9"/>
    <w:rsid w:val="008B765F"/>
    <w:rsid w:val="008C123D"/>
    <w:rsid w:val="008C1697"/>
    <w:rsid w:val="008E37FE"/>
    <w:rsid w:val="008E4882"/>
    <w:rsid w:val="008F59FF"/>
    <w:rsid w:val="008F6575"/>
    <w:rsid w:val="009025B0"/>
    <w:rsid w:val="009051ED"/>
    <w:rsid w:val="00916914"/>
    <w:rsid w:val="009170BD"/>
    <w:rsid w:val="00921F23"/>
    <w:rsid w:val="00922E56"/>
    <w:rsid w:val="00926A80"/>
    <w:rsid w:val="00940299"/>
    <w:rsid w:val="00942DA4"/>
    <w:rsid w:val="009465E0"/>
    <w:rsid w:val="009512B4"/>
    <w:rsid w:val="00951BCD"/>
    <w:rsid w:val="0095286A"/>
    <w:rsid w:val="00957057"/>
    <w:rsid w:val="00967669"/>
    <w:rsid w:val="0097444C"/>
    <w:rsid w:val="009772A5"/>
    <w:rsid w:val="009810EE"/>
    <w:rsid w:val="00990133"/>
    <w:rsid w:val="00992708"/>
    <w:rsid w:val="009957BD"/>
    <w:rsid w:val="00995DF0"/>
    <w:rsid w:val="009A38B9"/>
    <w:rsid w:val="009B4A65"/>
    <w:rsid w:val="009B7CFF"/>
    <w:rsid w:val="009D1A6B"/>
    <w:rsid w:val="009D4479"/>
    <w:rsid w:val="009E1DA7"/>
    <w:rsid w:val="009F454B"/>
    <w:rsid w:val="009F59D0"/>
    <w:rsid w:val="00A11A47"/>
    <w:rsid w:val="00A23AC2"/>
    <w:rsid w:val="00A34FB0"/>
    <w:rsid w:val="00A36874"/>
    <w:rsid w:val="00A44AF7"/>
    <w:rsid w:val="00A452A3"/>
    <w:rsid w:val="00A46DE7"/>
    <w:rsid w:val="00A61909"/>
    <w:rsid w:val="00A64408"/>
    <w:rsid w:val="00A67618"/>
    <w:rsid w:val="00A90D9E"/>
    <w:rsid w:val="00A942A3"/>
    <w:rsid w:val="00AB00BF"/>
    <w:rsid w:val="00AB6F7D"/>
    <w:rsid w:val="00AB7501"/>
    <w:rsid w:val="00AC0DF4"/>
    <w:rsid w:val="00AD34FF"/>
    <w:rsid w:val="00AD5449"/>
    <w:rsid w:val="00AE14CB"/>
    <w:rsid w:val="00AF1858"/>
    <w:rsid w:val="00B029C3"/>
    <w:rsid w:val="00B0387C"/>
    <w:rsid w:val="00B10FA3"/>
    <w:rsid w:val="00B175F7"/>
    <w:rsid w:val="00B24102"/>
    <w:rsid w:val="00B4195D"/>
    <w:rsid w:val="00B445A2"/>
    <w:rsid w:val="00B4586D"/>
    <w:rsid w:val="00B5374F"/>
    <w:rsid w:val="00B5392A"/>
    <w:rsid w:val="00B6519F"/>
    <w:rsid w:val="00B77CF3"/>
    <w:rsid w:val="00B81802"/>
    <w:rsid w:val="00B9201C"/>
    <w:rsid w:val="00B94FFD"/>
    <w:rsid w:val="00BA419E"/>
    <w:rsid w:val="00BB4438"/>
    <w:rsid w:val="00BC27BC"/>
    <w:rsid w:val="00BD147F"/>
    <w:rsid w:val="00BD2C0B"/>
    <w:rsid w:val="00BD3117"/>
    <w:rsid w:val="00BD452E"/>
    <w:rsid w:val="00BE4549"/>
    <w:rsid w:val="00BE5AD6"/>
    <w:rsid w:val="00C04ABB"/>
    <w:rsid w:val="00C066D1"/>
    <w:rsid w:val="00C15142"/>
    <w:rsid w:val="00C368AA"/>
    <w:rsid w:val="00C37DB7"/>
    <w:rsid w:val="00C632F5"/>
    <w:rsid w:val="00C6500E"/>
    <w:rsid w:val="00C73A7C"/>
    <w:rsid w:val="00C76CD2"/>
    <w:rsid w:val="00C8170F"/>
    <w:rsid w:val="00C9162B"/>
    <w:rsid w:val="00CA103A"/>
    <w:rsid w:val="00CC0873"/>
    <w:rsid w:val="00CC1A53"/>
    <w:rsid w:val="00CE0B6F"/>
    <w:rsid w:val="00CE3194"/>
    <w:rsid w:val="00CF700F"/>
    <w:rsid w:val="00D235CA"/>
    <w:rsid w:val="00D31F7C"/>
    <w:rsid w:val="00D34003"/>
    <w:rsid w:val="00D416D8"/>
    <w:rsid w:val="00D54EBD"/>
    <w:rsid w:val="00D6247F"/>
    <w:rsid w:val="00D65816"/>
    <w:rsid w:val="00D66ECB"/>
    <w:rsid w:val="00D7423D"/>
    <w:rsid w:val="00D81C5B"/>
    <w:rsid w:val="00DA4100"/>
    <w:rsid w:val="00DB281F"/>
    <w:rsid w:val="00DB28C2"/>
    <w:rsid w:val="00DB595D"/>
    <w:rsid w:val="00DD4B1E"/>
    <w:rsid w:val="00DD5AA1"/>
    <w:rsid w:val="00DE1CCF"/>
    <w:rsid w:val="00DE2BBC"/>
    <w:rsid w:val="00DE34A1"/>
    <w:rsid w:val="00DF5A4E"/>
    <w:rsid w:val="00E13F6C"/>
    <w:rsid w:val="00E151E3"/>
    <w:rsid w:val="00E34ACF"/>
    <w:rsid w:val="00E35426"/>
    <w:rsid w:val="00E402DE"/>
    <w:rsid w:val="00E42F6F"/>
    <w:rsid w:val="00E461E4"/>
    <w:rsid w:val="00E47FAF"/>
    <w:rsid w:val="00E6549E"/>
    <w:rsid w:val="00E67C95"/>
    <w:rsid w:val="00E724A1"/>
    <w:rsid w:val="00E73438"/>
    <w:rsid w:val="00E75114"/>
    <w:rsid w:val="00E85B8A"/>
    <w:rsid w:val="00E96A5A"/>
    <w:rsid w:val="00E97385"/>
    <w:rsid w:val="00EB6AE1"/>
    <w:rsid w:val="00EB6F7A"/>
    <w:rsid w:val="00EB7321"/>
    <w:rsid w:val="00ED47B1"/>
    <w:rsid w:val="00ED6A23"/>
    <w:rsid w:val="00EF04AE"/>
    <w:rsid w:val="00F01A2E"/>
    <w:rsid w:val="00F076E9"/>
    <w:rsid w:val="00F10B6C"/>
    <w:rsid w:val="00F217A3"/>
    <w:rsid w:val="00F22197"/>
    <w:rsid w:val="00F24014"/>
    <w:rsid w:val="00F25B64"/>
    <w:rsid w:val="00F31BC0"/>
    <w:rsid w:val="00F51E6F"/>
    <w:rsid w:val="00F82FF5"/>
    <w:rsid w:val="00F8653E"/>
    <w:rsid w:val="00F86D23"/>
    <w:rsid w:val="00F9491D"/>
    <w:rsid w:val="00FA3D51"/>
    <w:rsid w:val="00FB4929"/>
    <w:rsid w:val="00FC0AAA"/>
    <w:rsid w:val="00FC4D09"/>
    <w:rsid w:val="00FC5A98"/>
    <w:rsid w:val="00FD0073"/>
    <w:rsid w:val="00FF1223"/>
    <w:rsid w:val="00FF2750"/>
    <w:rsid w:val="01A1A2D0"/>
    <w:rsid w:val="024C9168"/>
    <w:rsid w:val="058E20DC"/>
    <w:rsid w:val="06429FB8"/>
    <w:rsid w:val="06BC3D77"/>
    <w:rsid w:val="07E70920"/>
    <w:rsid w:val="081A2D6B"/>
    <w:rsid w:val="086AEEFB"/>
    <w:rsid w:val="091684B0"/>
    <w:rsid w:val="09C57423"/>
    <w:rsid w:val="0D0CD3F3"/>
    <w:rsid w:val="0D56FDC5"/>
    <w:rsid w:val="0DC61D80"/>
    <w:rsid w:val="0E311D1B"/>
    <w:rsid w:val="0F16878C"/>
    <w:rsid w:val="112A7802"/>
    <w:rsid w:val="12930716"/>
    <w:rsid w:val="13355519"/>
    <w:rsid w:val="13E09D60"/>
    <w:rsid w:val="173CA717"/>
    <w:rsid w:val="17A14B41"/>
    <w:rsid w:val="189FD62A"/>
    <w:rsid w:val="191ABFE3"/>
    <w:rsid w:val="1B42A2DE"/>
    <w:rsid w:val="1B71B0F3"/>
    <w:rsid w:val="1B9E1218"/>
    <w:rsid w:val="1C41AEB7"/>
    <w:rsid w:val="1D43726C"/>
    <w:rsid w:val="1E270ADA"/>
    <w:rsid w:val="1E4BE222"/>
    <w:rsid w:val="1EE67AC9"/>
    <w:rsid w:val="1F0A0191"/>
    <w:rsid w:val="1F0EACBE"/>
    <w:rsid w:val="20D4C066"/>
    <w:rsid w:val="21D62E2B"/>
    <w:rsid w:val="22C53280"/>
    <w:rsid w:val="24C49E6C"/>
    <w:rsid w:val="24D23C09"/>
    <w:rsid w:val="269AEDDE"/>
    <w:rsid w:val="26ABB02C"/>
    <w:rsid w:val="2858DC85"/>
    <w:rsid w:val="298D87A3"/>
    <w:rsid w:val="2DAA037A"/>
    <w:rsid w:val="2FAE51EA"/>
    <w:rsid w:val="2FFB1A4A"/>
    <w:rsid w:val="311AFB93"/>
    <w:rsid w:val="32013723"/>
    <w:rsid w:val="3281E5E0"/>
    <w:rsid w:val="331360C1"/>
    <w:rsid w:val="33C7B55B"/>
    <w:rsid w:val="35778F30"/>
    <w:rsid w:val="368C68C6"/>
    <w:rsid w:val="38F29184"/>
    <w:rsid w:val="3A25AA33"/>
    <w:rsid w:val="3A5A19F5"/>
    <w:rsid w:val="3CDCB85D"/>
    <w:rsid w:val="3D94D7CA"/>
    <w:rsid w:val="3DC1CD87"/>
    <w:rsid w:val="3E3676A8"/>
    <w:rsid w:val="42579E13"/>
    <w:rsid w:val="42CC6EF0"/>
    <w:rsid w:val="47C93911"/>
    <w:rsid w:val="4A09D2A1"/>
    <w:rsid w:val="4B7A16AC"/>
    <w:rsid w:val="4BFD5D58"/>
    <w:rsid w:val="4F287A63"/>
    <w:rsid w:val="4FF964D4"/>
    <w:rsid w:val="5143E353"/>
    <w:rsid w:val="51D30AD2"/>
    <w:rsid w:val="520967BA"/>
    <w:rsid w:val="560FC45C"/>
    <w:rsid w:val="575A2B1C"/>
    <w:rsid w:val="57F88C5E"/>
    <w:rsid w:val="5818290C"/>
    <w:rsid w:val="58EE36ED"/>
    <w:rsid w:val="5A0C5DD1"/>
    <w:rsid w:val="5C4868FD"/>
    <w:rsid w:val="5CD54D9B"/>
    <w:rsid w:val="5E79CB7B"/>
    <w:rsid w:val="6375CABF"/>
    <w:rsid w:val="6465C5FF"/>
    <w:rsid w:val="65DC9349"/>
    <w:rsid w:val="66495623"/>
    <w:rsid w:val="6780A5B0"/>
    <w:rsid w:val="684BCAAE"/>
    <w:rsid w:val="6A7DECB5"/>
    <w:rsid w:val="6C74D07F"/>
    <w:rsid w:val="6D284786"/>
    <w:rsid w:val="6D9F3272"/>
    <w:rsid w:val="6E7F338C"/>
    <w:rsid w:val="6E8B2C40"/>
    <w:rsid w:val="6EC6F6B8"/>
    <w:rsid w:val="6ED5E92D"/>
    <w:rsid w:val="7054F3D5"/>
    <w:rsid w:val="71411FDD"/>
    <w:rsid w:val="7167098C"/>
    <w:rsid w:val="77568113"/>
    <w:rsid w:val="775E61B1"/>
    <w:rsid w:val="78ED3D0E"/>
    <w:rsid w:val="7A40AAB9"/>
    <w:rsid w:val="7AEA8C97"/>
    <w:rsid w:val="7BFD61ED"/>
    <w:rsid w:val="7C4E9142"/>
    <w:rsid w:val="7DFD76FF"/>
    <w:rsid w:val="7F77D623"/>
    <w:rsid w:val="7F90B4B4"/>
    <w:rsid w:val="7FBCFAB3"/>
  </w:rsids>
  <m:mathPr>
    <m:mathFont m:val="Cambria Math"/>
    <m:brkBin m:val="before"/>
    <m:brkBinSub m:val="--"/>
    <m:smallFrac m:val="0"/>
    <m:dispDef/>
    <m:lMargin m:val="0"/>
    <m:rMargin m:val="0"/>
    <m:defJc m:val="centerGroup"/>
    <m:wrapIndent m:val="1440"/>
    <m:intLim m:val="subSup"/>
    <m:naryLim m:val="undOvr"/>
  </m:mathPr>
  <w:themeFontLang w:val="nl-NL"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F1FC6B"/>
  <w15:chartTrackingRefBased/>
  <w15:docId w15:val="{989487B1-6B43-4EF9-8CB5-B7F6E6024D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10FA3"/>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B10FA3"/>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B10FA3"/>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B10FA3"/>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B10FA3"/>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B10FA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10FA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10FA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10FA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10FA3"/>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B10FA3"/>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B10FA3"/>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B10FA3"/>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B10FA3"/>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B10FA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10FA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10FA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10FA3"/>
    <w:rPr>
      <w:rFonts w:eastAsiaTheme="majorEastAsia" w:cstheme="majorBidi"/>
      <w:color w:val="272727" w:themeColor="text1" w:themeTint="D8"/>
    </w:rPr>
  </w:style>
  <w:style w:type="paragraph" w:styleId="Title">
    <w:name w:val="Title"/>
    <w:basedOn w:val="Normal"/>
    <w:next w:val="Normal"/>
    <w:link w:val="TitleChar"/>
    <w:uiPriority w:val="10"/>
    <w:qFormat/>
    <w:rsid w:val="00B10FA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10FA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10FA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10FA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10FA3"/>
    <w:pPr>
      <w:spacing w:before="160"/>
      <w:jc w:val="center"/>
    </w:pPr>
    <w:rPr>
      <w:i/>
      <w:iCs/>
      <w:color w:val="404040" w:themeColor="text1" w:themeTint="BF"/>
    </w:rPr>
  </w:style>
  <w:style w:type="character" w:customStyle="1" w:styleId="QuoteChar">
    <w:name w:val="Quote Char"/>
    <w:basedOn w:val="DefaultParagraphFont"/>
    <w:link w:val="Quote"/>
    <w:uiPriority w:val="29"/>
    <w:rsid w:val="00B10FA3"/>
    <w:rPr>
      <w:i/>
      <w:iCs/>
      <w:color w:val="404040" w:themeColor="text1" w:themeTint="BF"/>
    </w:rPr>
  </w:style>
  <w:style w:type="paragraph" w:styleId="ListParagraph">
    <w:name w:val="List Paragraph"/>
    <w:basedOn w:val="Normal"/>
    <w:uiPriority w:val="34"/>
    <w:qFormat/>
    <w:rsid w:val="00B10FA3"/>
    <w:pPr>
      <w:ind w:left="720"/>
      <w:contextualSpacing/>
    </w:pPr>
  </w:style>
  <w:style w:type="character" w:styleId="IntenseEmphasis">
    <w:name w:val="Intense Emphasis"/>
    <w:basedOn w:val="DefaultParagraphFont"/>
    <w:uiPriority w:val="21"/>
    <w:qFormat/>
    <w:rsid w:val="00B10FA3"/>
    <w:rPr>
      <w:i/>
      <w:iCs/>
      <w:color w:val="2F5496" w:themeColor="accent1" w:themeShade="BF"/>
    </w:rPr>
  </w:style>
  <w:style w:type="paragraph" w:styleId="IntenseQuote">
    <w:name w:val="Intense Quote"/>
    <w:basedOn w:val="Normal"/>
    <w:next w:val="Normal"/>
    <w:link w:val="IntenseQuoteChar"/>
    <w:uiPriority w:val="30"/>
    <w:qFormat/>
    <w:rsid w:val="00B10FA3"/>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B10FA3"/>
    <w:rPr>
      <w:i/>
      <w:iCs/>
      <w:color w:val="2F5496" w:themeColor="accent1" w:themeShade="BF"/>
    </w:rPr>
  </w:style>
  <w:style w:type="character" w:styleId="IntenseReference">
    <w:name w:val="Intense Reference"/>
    <w:basedOn w:val="DefaultParagraphFont"/>
    <w:uiPriority w:val="32"/>
    <w:qFormat/>
    <w:rsid w:val="00B10FA3"/>
    <w:rPr>
      <w:b/>
      <w:bCs/>
      <w:smallCaps/>
      <w:color w:val="2F5496" w:themeColor="accent1" w:themeShade="BF"/>
      <w:spacing w:val="5"/>
    </w:rPr>
  </w:style>
  <w:style w:type="paragraph" w:styleId="FootnoteText">
    <w:name w:val="footnote text"/>
    <w:basedOn w:val="Normal"/>
    <w:link w:val="FootnoteTextChar"/>
    <w:uiPriority w:val="99"/>
    <w:unhideWhenUsed/>
    <w:rsid w:val="00B10FA3"/>
    <w:pPr>
      <w:spacing w:after="0" w:line="240" w:lineRule="auto"/>
      <w:ind w:left="397" w:right="397"/>
    </w:pPr>
    <w:rPr>
      <w:kern w:val="0"/>
      <w:sz w:val="20"/>
      <w:szCs w:val="20"/>
      <w:lang w:val="en-CA"/>
      <w14:ligatures w14:val="none"/>
    </w:rPr>
  </w:style>
  <w:style w:type="character" w:customStyle="1" w:styleId="FootnoteTextChar">
    <w:name w:val="Footnote Text Char"/>
    <w:basedOn w:val="DefaultParagraphFont"/>
    <w:link w:val="FootnoteText"/>
    <w:uiPriority w:val="99"/>
    <w:rsid w:val="00B10FA3"/>
    <w:rPr>
      <w:kern w:val="0"/>
      <w:sz w:val="20"/>
      <w:szCs w:val="20"/>
      <w:lang w:val="en-CA"/>
      <w14:ligatures w14:val="none"/>
    </w:rPr>
  </w:style>
  <w:style w:type="character" w:styleId="FootnoteReference">
    <w:name w:val="footnote reference"/>
    <w:basedOn w:val="DefaultParagraphFont"/>
    <w:uiPriority w:val="99"/>
    <w:semiHidden/>
    <w:unhideWhenUsed/>
    <w:rsid w:val="00B10FA3"/>
    <w:rPr>
      <w:vertAlign w:val="superscript"/>
    </w:rPr>
  </w:style>
  <w:style w:type="character" w:customStyle="1" w:styleId="authorortitle">
    <w:name w:val="authorortitle"/>
    <w:basedOn w:val="DefaultParagraphFont"/>
    <w:rsid w:val="00B10FA3"/>
  </w:style>
  <w:style w:type="character" w:styleId="Emphasis">
    <w:name w:val="Emphasis"/>
    <w:basedOn w:val="DefaultParagraphFont"/>
    <w:uiPriority w:val="20"/>
    <w:qFormat/>
    <w:rsid w:val="00B10FA3"/>
    <w:rPr>
      <w:i/>
      <w:iCs/>
    </w:rPr>
  </w:style>
  <w:style w:type="paragraph" w:styleId="NormalWeb">
    <w:name w:val="Normal (Web)"/>
    <w:basedOn w:val="Normal"/>
    <w:uiPriority w:val="99"/>
    <w:unhideWhenUsed/>
    <w:rsid w:val="00B10FA3"/>
    <w:pPr>
      <w:spacing w:before="100" w:beforeAutospacing="1" w:after="100" w:afterAutospacing="1" w:line="240" w:lineRule="auto"/>
    </w:pPr>
    <w:rPr>
      <w:rFonts w:ascii="Times New Roman" w:eastAsia="Times New Roman" w:hAnsi="Times New Roman" w:cs="Times New Roman"/>
      <w:kern w:val="0"/>
      <w:lang w:val="en-CA" w:eastAsia="en-CA"/>
      <w14:ligatures w14:val="none"/>
    </w:rPr>
  </w:style>
  <w:style w:type="character" w:styleId="Strong">
    <w:name w:val="Strong"/>
    <w:basedOn w:val="DefaultParagraphFont"/>
    <w:uiPriority w:val="22"/>
    <w:qFormat/>
    <w:rsid w:val="00B10FA3"/>
    <w:rPr>
      <w:b/>
      <w:bCs/>
    </w:rPr>
  </w:style>
  <w:style w:type="character" w:styleId="Hyperlink">
    <w:name w:val="Hyperlink"/>
    <w:basedOn w:val="DefaultParagraphFont"/>
    <w:uiPriority w:val="99"/>
    <w:unhideWhenUsed/>
    <w:rsid w:val="00B10FA3"/>
    <w:rPr>
      <w:color w:val="0563C1" w:themeColor="hyperlink"/>
      <w:u w:val="single"/>
    </w:rPr>
  </w:style>
  <w:style w:type="paragraph" w:customStyle="1" w:styleId="dcr-1kas69x">
    <w:name w:val="dcr-1kas69x"/>
    <w:basedOn w:val="Normal"/>
    <w:rsid w:val="00B10FA3"/>
    <w:pPr>
      <w:spacing w:before="100" w:beforeAutospacing="1" w:after="100" w:afterAutospacing="1" w:line="240" w:lineRule="auto"/>
    </w:pPr>
    <w:rPr>
      <w:rFonts w:ascii="Times New Roman" w:eastAsia="Times New Roman" w:hAnsi="Times New Roman" w:cs="Times New Roman"/>
      <w:kern w:val="0"/>
      <w:lang w:val="en-CA" w:eastAsia="en-CA"/>
      <w14:ligatures w14:val="none"/>
    </w:rPr>
  </w:style>
  <w:style w:type="character" w:customStyle="1" w:styleId="wpsdc-drop-cap">
    <w:name w:val="wpsdc-drop-cap"/>
    <w:basedOn w:val="DefaultParagraphFont"/>
    <w:rsid w:val="00B10FA3"/>
  </w:style>
  <w:style w:type="paragraph" w:customStyle="1" w:styleId="single-quote">
    <w:name w:val="single-quote"/>
    <w:basedOn w:val="Normal"/>
    <w:rsid w:val="00B10FA3"/>
    <w:pPr>
      <w:spacing w:before="100" w:beforeAutospacing="1" w:after="100" w:afterAutospacing="1" w:line="240" w:lineRule="auto"/>
    </w:pPr>
    <w:rPr>
      <w:rFonts w:ascii="Times New Roman" w:eastAsia="Times New Roman" w:hAnsi="Times New Roman" w:cs="Times New Roman"/>
      <w:kern w:val="0"/>
      <w:lang w:val="en-CA" w:eastAsia="en-CA"/>
      <w14:ligatures w14:val="none"/>
    </w:rPr>
  </w:style>
  <w:style w:type="paragraph" w:customStyle="1" w:styleId="comp">
    <w:name w:val="comp"/>
    <w:basedOn w:val="Normal"/>
    <w:rsid w:val="00B10FA3"/>
    <w:pPr>
      <w:spacing w:before="100" w:beforeAutospacing="1" w:after="100" w:afterAutospacing="1" w:line="240" w:lineRule="auto"/>
    </w:pPr>
    <w:rPr>
      <w:rFonts w:ascii="Times New Roman" w:eastAsia="Times New Roman" w:hAnsi="Times New Roman" w:cs="Times New Roman"/>
      <w:kern w:val="0"/>
      <w:lang w:val="en-CA" w:eastAsia="en-CA"/>
      <w14:ligatures w14:val="none"/>
    </w:rPr>
  </w:style>
  <w:style w:type="character" w:customStyle="1" w:styleId="reference-text">
    <w:name w:val="reference-text"/>
    <w:basedOn w:val="DefaultParagraphFont"/>
    <w:rsid w:val="00B10FA3"/>
  </w:style>
  <w:style w:type="paragraph" w:customStyle="1" w:styleId="css-at9mc1">
    <w:name w:val="css-at9mc1"/>
    <w:basedOn w:val="Normal"/>
    <w:rsid w:val="00B10FA3"/>
    <w:pPr>
      <w:spacing w:before="100" w:beforeAutospacing="1" w:after="100" w:afterAutospacing="1" w:line="240" w:lineRule="auto"/>
    </w:pPr>
    <w:rPr>
      <w:rFonts w:ascii="Times New Roman" w:eastAsia="Times New Roman" w:hAnsi="Times New Roman" w:cs="Times New Roman"/>
      <w:kern w:val="0"/>
      <w:lang w:val="en-CA" w:eastAsia="en-CA"/>
      <w14:ligatures w14:val="none"/>
    </w:rPr>
  </w:style>
  <w:style w:type="character" w:customStyle="1" w:styleId="name">
    <w:name w:val="name"/>
    <w:basedOn w:val="DefaultParagraphFont"/>
    <w:rsid w:val="00B10FA3"/>
  </w:style>
  <w:style w:type="character" w:customStyle="1" w:styleId="posted-on">
    <w:name w:val="posted-on"/>
    <w:basedOn w:val="DefaultParagraphFont"/>
    <w:rsid w:val="00B10FA3"/>
  </w:style>
  <w:style w:type="paragraph" w:customStyle="1" w:styleId="topic-paragraph">
    <w:name w:val="topic-paragraph"/>
    <w:basedOn w:val="Normal"/>
    <w:rsid w:val="00B10FA3"/>
    <w:pPr>
      <w:spacing w:before="100" w:beforeAutospacing="1" w:after="100" w:afterAutospacing="1" w:line="240" w:lineRule="auto"/>
    </w:pPr>
    <w:rPr>
      <w:rFonts w:ascii="Times New Roman" w:eastAsia="Times New Roman" w:hAnsi="Times New Roman" w:cs="Times New Roman"/>
      <w:kern w:val="0"/>
      <w:lang w:val="en-CA" w:eastAsia="en-CA"/>
      <w14:ligatures w14:val="none"/>
    </w:rPr>
  </w:style>
  <w:style w:type="character" w:customStyle="1" w:styleId="d2edcug0">
    <w:name w:val="d2edcug0"/>
    <w:basedOn w:val="DefaultParagraphFont"/>
    <w:rsid w:val="00B10FA3"/>
  </w:style>
  <w:style w:type="character" w:customStyle="1" w:styleId="authors">
    <w:name w:val="authors"/>
    <w:basedOn w:val="DefaultParagraphFont"/>
    <w:rsid w:val="00B10FA3"/>
  </w:style>
  <w:style w:type="paragraph" w:customStyle="1" w:styleId="container">
    <w:name w:val="container"/>
    <w:basedOn w:val="Normal"/>
    <w:rsid w:val="00B10FA3"/>
    <w:pPr>
      <w:spacing w:before="100" w:beforeAutospacing="1" w:after="100" w:afterAutospacing="1" w:line="240" w:lineRule="auto"/>
    </w:pPr>
    <w:rPr>
      <w:rFonts w:ascii="Times New Roman" w:eastAsia="Times New Roman" w:hAnsi="Times New Roman" w:cs="Times New Roman"/>
      <w:kern w:val="0"/>
      <w:lang w:val="en-CA" w:eastAsia="en-CA"/>
      <w14:ligatures w14:val="none"/>
    </w:rPr>
  </w:style>
  <w:style w:type="paragraph" w:styleId="EndnoteText">
    <w:name w:val="endnote text"/>
    <w:basedOn w:val="Normal"/>
    <w:link w:val="EndnoteTextChar"/>
    <w:uiPriority w:val="99"/>
    <w:semiHidden/>
    <w:unhideWhenUsed/>
    <w:rsid w:val="00990133"/>
    <w:pPr>
      <w:spacing w:after="0" w:line="240" w:lineRule="auto"/>
    </w:pPr>
    <w:rPr>
      <w:sz w:val="20"/>
      <w:szCs w:val="20"/>
    </w:rPr>
  </w:style>
  <w:style w:type="character" w:customStyle="1" w:styleId="EndnoteTextChar">
    <w:name w:val="Endnote Text Char"/>
    <w:basedOn w:val="DefaultParagraphFont"/>
    <w:link w:val="EndnoteText"/>
    <w:uiPriority w:val="99"/>
    <w:semiHidden/>
    <w:rsid w:val="00990133"/>
    <w:rPr>
      <w:sz w:val="20"/>
      <w:szCs w:val="20"/>
    </w:rPr>
  </w:style>
  <w:style w:type="character" w:styleId="EndnoteReference">
    <w:name w:val="endnote reference"/>
    <w:basedOn w:val="DefaultParagraphFont"/>
    <w:uiPriority w:val="99"/>
    <w:semiHidden/>
    <w:unhideWhenUsed/>
    <w:rsid w:val="00990133"/>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ted.com/talks/bill_gates_the_next_outbreak_we_re_not_ready?language=en" TargetMode="External"/><Relationship Id="rId13" Type="http://schemas.openxmlformats.org/officeDocument/2006/relationships/hyperlink" Target="https://www.azquotes.com/quote/1566903?ref=redistribution-of-wealth"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azquotes.com/author/7392-Thomas_Jefferson"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azquotes.com/quote/577418?ref=redistribution-of-wealth"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www.penguinrandomhouse.com/books/288950/the-great-influenza-by-john-m-barry/" TargetMode="External"/><Relationship Id="rId4" Type="http://schemas.openxmlformats.org/officeDocument/2006/relationships/settings" Target="settings.xml"/><Relationship Id="rId9" Type="http://schemas.openxmlformats.org/officeDocument/2006/relationships/hyperlink" Target="https://www.rollingstone.com/movies/movie-features/contagion-most-urgent-movie-of-2020-964532/" TargetMode="External"/><Relationship Id="rId14" Type="http://schemas.openxmlformats.org/officeDocument/2006/relationships/hyperlink" Target="https://www.azquotes.com/author/1549-Sidney_Blumenthal" TargetMode="External"/></Relationships>
</file>

<file path=word/_rels/footnotes.xml.rels><?xml version="1.0" encoding="UTF-8" standalone="yes"?>
<Relationships xmlns="http://schemas.openxmlformats.org/package/2006/relationships"><Relationship Id="rId8" Type="http://schemas.openxmlformats.org/officeDocument/2006/relationships/hyperlink" Target="https://www.cato.org/policy-analysis/space-force-ahead-its-time-or-dreadfully-premature" TargetMode="External"/><Relationship Id="rId13" Type="http://schemas.openxmlformats.org/officeDocument/2006/relationships/hyperlink" Target="https://eduzaurus.com/free-essay-samples/huckleberry-finn-masculinity-power-struggles-andself-aware" TargetMode="External"/><Relationship Id="rId18" Type="http://schemas.openxmlformats.org/officeDocument/2006/relationships/hyperlink" Target="https://cominsitu.files.wordpress.com/2021/02/negativity-and-revolution_adorno-and-political-activism.pdf" TargetMode="External"/><Relationship Id="rId26" Type="http://schemas.openxmlformats.org/officeDocument/2006/relationships/hyperlink" Target="https://www.urban.org/sites/default/files/publication/22271/413023-redistribution-under-the-aca-is-modest-in-scope.pdf" TargetMode="External"/><Relationship Id="rId3" Type="http://schemas.openxmlformats.org/officeDocument/2006/relationships/hyperlink" Target="https://lareviewofbooks.org/contributor/charles-j-holden" TargetMode="External"/><Relationship Id="rId21" Type="http://schemas.openxmlformats.org/officeDocument/2006/relationships/hyperlink" Target="https://journals.sagepub.com/doi/10.1111/j.1745-6924.2009.01161.x" TargetMode="External"/><Relationship Id="rId7" Type="http://schemas.openxmlformats.org/officeDocument/2006/relationships/hyperlink" Target="https://jfcoopersociety.org/articles/ALA/2006ala-permaul.html" TargetMode="External"/><Relationship Id="rId12" Type="http://schemas.openxmlformats.org/officeDocument/2006/relationships/hyperlink" Target="https://www.commonwealthfund.org/publications/issue-briefs/2013/dec/how-states-stand-gain-or-lose-federal-funds-opting-or-out" TargetMode="External"/><Relationship Id="rId17" Type="http://schemas.openxmlformats.org/officeDocument/2006/relationships/hyperlink" Target="https://journals.sagepub.com/toc/mena/5/3" TargetMode="External"/><Relationship Id="rId25" Type="http://schemas.openxmlformats.org/officeDocument/2006/relationships/hyperlink" Target="https://en.wikipedia.org/wiki/Majority_minority" TargetMode="External"/><Relationship Id="rId2" Type="http://schemas.openxmlformats.org/officeDocument/2006/relationships/hyperlink" Target="https://lareviewofbooks.org/contributor/zach-messitte" TargetMode="External"/><Relationship Id="rId16" Type="http://schemas.openxmlformats.org/officeDocument/2006/relationships/hyperlink" Target="https://journals.sagepub.com/doi/10.1177/106082659700500302" TargetMode="External"/><Relationship Id="rId20" Type="http://schemas.openxmlformats.org/officeDocument/2006/relationships/hyperlink" Target="https://journals.sagepub.com/doi/10.1111/j.1745-6924.2009.01161.x" TargetMode="External"/><Relationship Id="rId1" Type="http://schemas.openxmlformats.org/officeDocument/2006/relationships/hyperlink" Target="https://milwaukeecourieronline.com/index.php/2021/08/13" TargetMode="External"/><Relationship Id="rId6" Type="http://schemas.openxmlformats.org/officeDocument/2006/relationships/hyperlink" Target="https://en.wikipedia.org/wiki/Manifest_destiny" TargetMode="External"/><Relationship Id="rId11" Type="http://schemas.openxmlformats.org/officeDocument/2006/relationships/hyperlink" Target="https://www.commonwealthfund.org/publications/issue-briefs/2013/dec/how-states-stand-gain-or-lose-federal-funds-opting-or-out" TargetMode="External"/><Relationship Id="rId24" Type="http://schemas.openxmlformats.org/officeDocument/2006/relationships/hyperlink" Target="https://journals.sagepub.com/toc/ppsa/4/5" TargetMode="External"/><Relationship Id="rId5" Type="http://schemas.openxmlformats.org/officeDocument/2006/relationships/hyperlink" Target="https://www.npr.org/2018/08/09/63" TargetMode="External"/><Relationship Id="rId15" Type="http://schemas.openxmlformats.org/officeDocument/2006/relationships/hyperlink" Target="https://www.nytimes.com/1996/02/26/us/politics-patrick-j-buchanan-appealing-to-gun-owners-and-perot-camp.htm" TargetMode="External"/><Relationship Id="rId23" Type="http://schemas.openxmlformats.org/officeDocument/2006/relationships/hyperlink" Target="https://journals.sagepub.com/doi/10.1111/j.1745-6924.2009.01161.x" TargetMode="External"/><Relationship Id="rId10" Type="http://schemas.openxmlformats.org/officeDocument/2006/relationships/hyperlink" Target="https://www.commonwealthfund.org/press-release/2013/new-state-state-analysis-states-rejecting-medicaid-expansion-under-affordable" TargetMode="External"/><Relationship Id="rId19" Type="http://schemas.openxmlformats.org/officeDocument/2006/relationships/hyperlink" Target="https://www.jstor.org/publisher/nyupress" TargetMode="External"/><Relationship Id="rId4" Type="http://schemas.openxmlformats.org/officeDocument/2006/relationships/hyperlink" Target="https://lareviewofbooks.org/contributor/jerald-podair" TargetMode="External"/><Relationship Id="rId9" Type="http://schemas.openxmlformats.org/officeDocument/2006/relationships/hyperlink" Target="https://www.statista.com/statistics/249740/percentage-of-households-in-the-united-states-owning-a-firearm" TargetMode="External"/><Relationship Id="rId14" Type="http://schemas.openxmlformats.org/officeDocument/2006/relationships/hyperlink" Target="https://revisesociology.com/2016/11/30/gender-crime-sex-role-theory/" TargetMode="External"/><Relationship Id="rId22" Type="http://schemas.openxmlformats.org/officeDocument/2006/relationships/hyperlink" Target="https://journals.sagepub.com/doi/10.1111/j.1745-6924.2009.01161.x" TargetMode="External"/><Relationship Id="rId27" Type="http://schemas.openxmlformats.org/officeDocument/2006/relationships/hyperlink" Target="https://www.fool.com/the-ascent/personal-finance/articles/study-shows-only-27-of-wealthy-americans-are-self-made" TargetMode="Externa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AAEAAD0-C27B-43F7-9EEB-D25C0E1910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283</Pages>
  <Words>68332</Words>
  <Characters>389494</Characters>
  <Application>Microsoft Office Word</Application>
  <DocSecurity>0</DocSecurity>
  <Lines>3245</Lines>
  <Paragraphs>913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456913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Thomas Murphy</dc:creator>
  <cp:keywords/>
  <dc:description/>
  <cp:lastModifiedBy>Thomas Murphy</cp:lastModifiedBy>
  <cp:revision>2</cp:revision>
  <cp:lastPrinted>2025-04-04T10:55:00Z</cp:lastPrinted>
  <dcterms:created xsi:type="dcterms:W3CDTF">2026-03-09T19:36:00Z</dcterms:created>
  <dcterms:modified xsi:type="dcterms:W3CDTF">2026-03-09T19:36:00Z</dcterms:modified>
</cp:coreProperties>
</file>