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977A" w14:textId="77777777" w:rsidR="00A97CD3" w:rsidRPr="000B6308" w:rsidRDefault="00A97CD3" w:rsidP="00972CD3">
      <w:pPr>
        <w:pStyle w:val="Ttulo1"/>
        <w:numPr>
          <w:ilvl w:val="0"/>
          <w:numId w:val="1"/>
        </w:numPr>
        <w:tabs>
          <w:tab w:val="num" w:pos="142"/>
        </w:tabs>
        <w:spacing w:line="276" w:lineRule="auto"/>
        <w:ind w:left="142" w:firstLine="0"/>
        <w:rPr>
          <w:b w:val="0"/>
          <w:bCs w:val="0"/>
          <w:sz w:val="24"/>
          <w:szCs w:val="24"/>
        </w:rPr>
      </w:pPr>
      <w:r w:rsidRPr="000B6308">
        <w:rPr>
          <w:sz w:val="24"/>
          <w:szCs w:val="24"/>
        </w:rPr>
        <w:t>Derechos de autor</w:t>
      </w:r>
    </w:p>
    <w:p w14:paraId="7A4013A2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073E38C6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  <w:r w:rsidRPr="000B6308">
        <w:rPr>
          <w:rFonts w:ascii="Arial" w:eastAsia="Calibri" w:hAnsi="Arial" w:cs="Arial"/>
          <w:sz w:val="24"/>
          <w:szCs w:val="24"/>
          <w:lang w:val="es-MX"/>
        </w:rPr>
        <w:t xml:space="preserve">Radio Televisión Nacional de Colombia RTVC SAS </w:t>
      </w:r>
      <w:r w:rsidRPr="000B6308">
        <w:rPr>
          <w:rFonts w:ascii="Arial" w:eastAsia="Calibri" w:hAnsi="Arial" w:cs="Arial"/>
          <w:sz w:val="24"/>
          <w:szCs w:val="24"/>
        </w:rPr>
        <w:t>es el titular de los derechos de autor del presente documento, en consecuencia, no se permite su reproducción, comunicación al público, traducción, distribución, adaptación, arreglo o cualquier otro tipo de transformación total o parcial, ni almacenamiento en ningún sistema electrónico de datos sin autorización previa y escrita de la Gerencia.</w:t>
      </w:r>
    </w:p>
    <w:p w14:paraId="5C82CF3C" w14:textId="77777777" w:rsidR="00262132" w:rsidRPr="000B6308" w:rsidRDefault="00262132" w:rsidP="000B6308">
      <w:pPr>
        <w:tabs>
          <w:tab w:val="num" w:pos="142"/>
        </w:tabs>
        <w:spacing w:line="276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14:paraId="2973F1F9" w14:textId="77777777" w:rsidR="00A97CD3" w:rsidRPr="000B6308" w:rsidRDefault="00A97CD3" w:rsidP="00972CD3">
      <w:pPr>
        <w:pStyle w:val="Ttulo1"/>
        <w:numPr>
          <w:ilvl w:val="0"/>
          <w:numId w:val="1"/>
        </w:numPr>
        <w:tabs>
          <w:tab w:val="num" w:pos="142"/>
        </w:tabs>
        <w:spacing w:line="276" w:lineRule="auto"/>
        <w:ind w:left="142" w:firstLine="0"/>
        <w:rPr>
          <w:sz w:val="24"/>
          <w:szCs w:val="24"/>
        </w:rPr>
      </w:pPr>
      <w:bookmarkStart w:id="0" w:name="h.temzz2or00re" w:colFirst="0" w:colLast="0"/>
      <w:bookmarkEnd w:id="0"/>
      <w:r w:rsidRPr="000B6308">
        <w:rPr>
          <w:sz w:val="24"/>
          <w:szCs w:val="24"/>
        </w:rPr>
        <w:t>Acerca de este documento</w:t>
      </w:r>
    </w:p>
    <w:p w14:paraId="6016B2CC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61D6380A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6308">
        <w:rPr>
          <w:rFonts w:ascii="Arial" w:hAnsi="Arial" w:cs="Arial"/>
          <w:color w:val="000000" w:themeColor="text1"/>
          <w:sz w:val="24"/>
          <w:szCs w:val="24"/>
        </w:rPr>
        <w:t>El Decreto 1083 de 2015, Decreto único del Sector Función Pública, modificado por el Decreto 1499 de 2017, establece el Modelo Integrado de Planeación y Gestión - MIPG, el cual surge de la integración de los Sistemas de Desarrollo Administrativo y de Gestión de la Calidad en un solo Sistema de Gestión, y de la articulación de este con el Sistema de Control Interno.</w:t>
      </w:r>
    </w:p>
    <w:p w14:paraId="2BDC9605" w14:textId="77777777" w:rsidR="006939A6" w:rsidRPr="000B6308" w:rsidRDefault="006939A6" w:rsidP="000B6308">
      <w:pPr>
        <w:tabs>
          <w:tab w:val="num" w:pos="142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30C21A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6308">
        <w:rPr>
          <w:rFonts w:ascii="Arial" w:hAnsi="Arial" w:cs="Arial"/>
          <w:color w:val="000000" w:themeColor="text1"/>
          <w:sz w:val="24"/>
          <w:szCs w:val="24"/>
        </w:rPr>
        <w:t>Dando cumplimiento a lo anterior  mediante la Resolución No. 0327 del 2022 “Por medio de la cual se adopta el Modelo Integrado de Planeación y Gestión – MIPG, se conforma el Comité Institucional de Desempeño en Radio Televisión Nacional de Colombia – RTVC S.A.S y derogan las resoluciones 421 de 2020, 147 de 2018” , y teniendo en cuenta la incorporación de las políticas que la gestión y el desempeño permite asegurar de manera razonable la ejecución de obligaciones, actividades y tareas de acuerdo con lo planeado, contando con controles necesarios para la realización eficiente y efectiva de los planes, programas, proyectos, políticas operacionales y procesos de la entidad, que permitan evidenciar las posibles desviaciones y tomar las decisiones oportunas para el cumplimiento de objetivos, y así controlar la gestión de la entidad con integridad y calidad en el servicio a través del Modelo Integrado de Planeación y Gestión - MIPG.</w:t>
      </w:r>
    </w:p>
    <w:p w14:paraId="539363EB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14:paraId="586D0D9B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6AAFC7FA" w14:textId="77777777" w:rsidR="00A97CD3" w:rsidRPr="000B6308" w:rsidRDefault="00A97CD3" w:rsidP="00972CD3">
      <w:pPr>
        <w:pStyle w:val="Ttulo1"/>
        <w:numPr>
          <w:ilvl w:val="0"/>
          <w:numId w:val="1"/>
        </w:numPr>
        <w:tabs>
          <w:tab w:val="num" w:pos="142"/>
        </w:tabs>
        <w:spacing w:line="276" w:lineRule="auto"/>
        <w:ind w:left="142" w:firstLine="0"/>
        <w:rPr>
          <w:sz w:val="24"/>
          <w:szCs w:val="24"/>
        </w:rPr>
      </w:pPr>
      <w:r w:rsidRPr="000B6308">
        <w:rPr>
          <w:sz w:val="24"/>
          <w:szCs w:val="24"/>
        </w:rPr>
        <w:t>Políticas de carácter general o transversal</w:t>
      </w:r>
    </w:p>
    <w:p w14:paraId="7497A566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14:paraId="78B12340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B6308">
        <w:rPr>
          <w:rFonts w:ascii="Arial" w:hAnsi="Arial" w:cs="Arial"/>
          <w:color w:val="000000" w:themeColor="text1"/>
          <w:sz w:val="24"/>
          <w:szCs w:val="24"/>
        </w:rPr>
        <w:t>Los siguientes aspectos descritos, son lineamientos transversales a todos los procesos y</w:t>
      </w:r>
      <w:r w:rsidRPr="000B6308">
        <w:rPr>
          <w:rFonts w:ascii="Arial" w:eastAsia="Calibri" w:hAnsi="Arial" w:cs="Arial"/>
          <w:sz w:val="24"/>
          <w:szCs w:val="24"/>
        </w:rPr>
        <w:t xml:space="preserve"> contribuyen al buen funcionamiento de la Entidad:</w:t>
      </w:r>
    </w:p>
    <w:p w14:paraId="3EA24F5A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3CB0855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  <w:lang w:val="es-MX"/>
        </w:rPr>
        <w:t>Todos los procesos realizan actividades de autocontrol, de acuerdo con el esquema de líneas de defensa indicado en el Modelo Integrado de Planeación y Gestión MIPG.</w:t>
      </w:r>
    </w:p>
    <w:p w14:paraId="4F0BA083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  <w:lang w:val="es-MX"/>
        </w:rPr>
        <w:t xml:space="preserve">En RTVC S.A.S son responsables por la organización, conservación, uso y manejo de los documentos en cualquier soporte, todos los servidores y empleados públicos como los colaboradores, aplicarán las normas adoptadas para tal fin por la Entidad, </w:t>
      </w:r>
      <w:r w:rsidRPr="000B6308">
        <w:rPr>
          <w:rFonts w:ascii="Arial" w:hAnsi="Arial" w:cs="Arial"/>
          <w:sz w:val="24"/>
          <w:szCs w:val="24"/>
          <w:lang w:val="es-MX"/>
        </w:rPr>
        <w:lastRenderedPageBreak/>
        <w:t>las cuales están basadas en lo establecido por el Archivo General de la Nación</w:t>
      </w:r>
      <w:r w:rsidRPr="000B6308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0B6308">
        <w:rPr>
          <w:rFonts w:ascii="Arial" w:hAnsi="Arial" w:cs="Arial"/>
          <w:sz w:val="24"/>
          <w:szCs w:val="24"/>
        </w:rPr>
        <w:t xml:space="preserve">. </w:t>
      </w:r>
    </w:p>
    <w:p w14:paraId="4BC32FC6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>Toda comunicación oficial (Comunicaciones recibidas o producidas en desarrollo de las funciones de una entidad, independiente del medio utilizado</w:t>
      </w:r>
      <w:r w:rsidRPr="000B6308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0B6308">
        <w:rPr>
          <w:rFonts w:ascii="Arial" w:hAnsi="Arial" w:cs="Arial"/>
          <w:sz w:val="24"/>
          <w:szCs w:val="24"/>
        </w:rPr>
        <w:t>), enviada o recibida debe ser registrada en el sistema de gestión documental Orfeo para oficializar su trámite, asignándoles un consecutivo único de radicado y cumplir con los términos de vencimiento establecidos por la Ley</w:t>
      </w:r>
      <w:r w:rsidRPr="000B6308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0B6308">
        <w:rPr>
          <w:rFonts w:ascii="Arial" w:hAnsi="Arial" w:cs="Arial"/>
          <w:sz w:val="24"/>
          <w:szCs w:val="24"/>
        </w:rPr>
        <w:t xml:space="preserve">. </w:t>
      </w:r>
    </w:p>
    <w:p w14:paraId="1A0C946D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>En todas las reuniones que se realicen en las áreas, se debe llevar registro de asistencia o acta de reunión, de acuerdo con los formatos establecidos en el Sistema Integrado de Gestión - SIG, así mismo será viable realizar el registro a través de medios electrónico tales como:</w:t>
      </w:r>
    </w:p>
    <w:p w14:paraId="68C65F12" w14:textId="77777777" w:rsidR="00A97CD3" w:rsidRPr="000B6308" w:rsidRDefault="00A97CD3" w:rsidP="00972CD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>Formato de asistencia a reuniones diligenciada y aceptadas a través de correo electrónico (este formato de acuerdo con las recomendaciones de la coordinación de talento humano y en el marco del protocolo de bioseguridad, se evitará en la medida de lo posible, ser diligenciado de manera física, esto hasta que dicha coordinación considere lo contrario).</w:t>
      </w:r>
    </w:p>
    <w:p w14:paraId="1D3A3093" w14:textId="77777777" w:rsidR="00A97CD3" w:rsidRPr="000B6308" w:rsidRDefault="00A97CD3" w:rsidP="00972CD3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>Como soporte de la asistencia a reuniones realizadas de forma virtual, en cualquiera de las aplicaciones tecnológicas disponibles utilizadas, se podrá aportar captura(s) de pantalla en la que se visualicen los asistentes a la misma, como evidencia de su realización y se aportarán las necesarias. En el caso de las reuniones en las que haya quórum, la(s) captura(s) de pantalla se realizará en el momento de su verificación.</w:t>
      </w:r>
    </w:p>
    <w:p w14:paraId="57FD7A99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 xml:space="preserve">Todas las áreas deben estar en constante actualización de la normatividad legal que les aplique para el desarrollo de sus funciones. </w:t>
      </w:r>
    </w:p>
    <w:p w14:paraId="32551A52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 xml:space="preserve">En todos los procesos de RTVC S.A.S se da prioridad y estricto cumplimiento a los requerimientos de los órganos de control. </w:t>
      </w:r>
    </w:p>
    <w:p w14:paraId="05DF945C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 xml:space="preserve">Todo trámite, diligencia o proceso adelantado por RTVC S.A.S, se realiza de conformidad con la normatividad vigente y lo establecido en los diferentes manuales y procedimientos registrados en el sistema integrado de gestión </w:t>
      </w:r>
    </w:p>
    <w:p w14:paraId="6D4B355B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>El monitoreo y revisión a los mapas de riesgos debe ser realizado por los responsables de los procesos, como parte del ejercicio de autocontrol; lo anterior, para identificar todas las situaciones o factores que pueden influir en la aplicación de las acciones preventivas.</w:t>
      </w:r>
    </w:p>
    <w:p w14:paraId="794ADD24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 xml:space="preserve">Todas las personas y los procesos deben considerar y aplicar la política operacional de seguridad de la información y seguridad digital de RTVC S.A.S dentro de sus actividades y como parte de sus responsabilidades para el buen manejo de la información de empresa. </w:t>
      </w:r>
    </w:p>
    <w:p w14:paraId="48129C4C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6308">
        <w:rPr>
          <w:rFonts w:ascii="Arial" w:hAnsi="Arial" w:cs="Arial"/>
          <w:sz w:val="24"/>
          <w:szCs w:val="24"/>
        </w:rPr>
        <w:t xml:space="preserve">Todas las personas y los procesos deben considerar y aplicar la política de protección </w:t>
      </w:r>
      <w:r w:rsidRPr="000B6308">
        <w:rPr>
          <w:rFonts w:ascii="Arial" w:hAnsi="Arial" w:cs="Arial"/>
          <w:sz w:val="24"/>
          <w:szCs w:val="24"/>
        </w:rPr>
        <w:lastRenderedPageBreak/>
        <w:t>de datos dentro de sus actividades y como parte de sus responsabilidades para el buen manejo de la información de empresa y de los terceros que tenga en su poder.</w:t>
      </w:r>
    </w:p>
    <w:p w14:paraId="0D02F0F2" w14:textId="77777777" w:rsidR="00A97CD3" w:rsidRPr="000B6308" w:rsidRDefault="00A97CD3" w:rsidP="00972CD3">
      <w:pPr>
        <w:pStyle w:val="Prrafodelist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B6308">
        <w:rPr>
          <w:rFonts w:ascii="Arial" w:hAnsi="Arial" w:cs="Arial"/>
          <w:sz w:val="24"/>
          <w:szCs w:val="24"/>
          <w:lang w:val="es-MX"/>
        </w:rPr>
        <w:t>Todas las personas y los procesos deben considerar y aplicar la política gestión ambiental y los diferentes programas dentro de sus actividades y como parte de sus responsabilidades para el buen manejo de los recursos</w:t>
      </w:r>
      <w:r w:rsidRPr="000B6308">
        <w:rPr>
          <w:sz w:val="24"/>
          <w:szCs w:val="24"/>
          <w:lang w:val="es-MX"/>
        </w:rPr>
        <w:t>.</w:t>
      </w:r>
    </w:p>
    <w:p w14:paraId="44E22584" w14:textId="3BF3E713" w:rsidR="00262132" w:rsidRPr="000B6308" w:rsidRDefault="00262132" w:rsidP="000B6308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C61C3C" w14:textId="08AC97F3" w:rsidR="00A97CD3" w:rsidRPr="000B6308" w:rsidRDefault="00A97CD3" w:rsidP="00972CD3">
      <w:pPr>
        <w:pStyle w:val="Ttulo1"/>
        <w:numPr>
          <w:ilvl w:val="0"/>
          <w:numId w:val="1"/>
        </w:numPr>
        <w:tabs>
          <w:tab w:val="num" w:pos="142"/>
        </w:tabs>
        <w:spacing w:line="276" w:lineRule="auto"/>
        <w:ind w:left="142" w:firstLine="0"/>
        <w:rPr>
          <w:sz w:val="24"/>
          <w:szCs w:val="24"/>
        </w:rPr>
      </w:pPr>
      <w:r w:rsidRPr="000B6308">
        <w:rPr>
          <w:sz w:val="24"/>
          <w:szCs w:val="24"/>
        </w:rPr>
        <w:t xml:space="preserve">POLÍTICA </w:t>
      </w:r>
    </w:p>
    <w:p w14:paraId="7535F71F" w14:textId="77777777" w:rsidR="00A97CD3" w:rsidRPr="00205C77" w:rsidRDefault="00A97CD3" w:rsidP="000B6308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13E705" w14:textId="505AAF01" w:rsidR="00205C77" w:rsidRPr="002C17D5" w:rsidRDefault="00205C77" w:rsidP="00972CD3">
      <w:pPr>
        <w:pStyle w:val="Prrafodelista"/>
        <w:widowControl/>
        <w:numPr>
          <w:ilvl w:val="1"/>
          <w:numId w:val="3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Pr="00205C77">
        <w:rPr>
          <w:rFonts w:ascii="Arial" w:hAnsi="Arial" w:cs="Arial"/>
          <w:b/>
          <w:bCs/>
          <w:sz w:val="24"/>
          <w:szCs w:val="24"/>
          <w:lang w:val="es-CO"/>
        </w:rPr>
        <w:t xml:space="preserve">MARCO NORMATIVO </w:t>
      </w:r>
      <w:r w:rsidR="00114E95" w:rsidRPr="002C17D5">
        <w:rPr>
          <w:rFonts w:ascii="Arial" w:hAnsi="Arial" w:cs="Arial"/>
          <w:color w:val="969696"/>
          <w:sz w:val="24"/>
          <w:szCs w:val="24"/>
          <w:lang w:val="es-CO"/>
        </w:rPr>
        <w:t xml:space="preserve">(Relacionar </w:t>
      </w:r>
      <w:r w:rsidR="00F923E0" w:rsidRPr="002C17D5">
        <w:rPr>
          <w:rFonts w:ascii="Arial" w:hAnsi="Arial" w:cs="Arial"/>
          <w:color w:val="969696"/>
          <w:sz w:val="24"/>
          <w:szCs w:val="24"/>
          <w:lang w:val="es-CO"/>
        </w:rPr>
        <w:t>los documentos, leyes, decretos, circulares</w:t>
      </w:r>
      <w:r w:rsidR="002C17D5" w:rsidRPr="002C17D5">
        <w:rPr>
          <w:rFonts w:ascii="Arial" w:hAnsi="Arial" w:cs="Arial"/>
          <w:color w:val="969696"/>
          <w:sz w:val="24"/>
          <w:szCs w:val="24"/>
          <w:lang w:val="es-CO"/>
        </w:rPr>
        <w:t xml:space="preserve"> nacionales, </w:t>
      </w:r>
      <w:proofErr w:type="spellStart"/>
      <w:r w:rsidR="002C17D5" w:rsidRPr="002C17D5">
        <w:rPr>
          <w:rFonts w:ascii="Arial" w:hAnsi="Arial" w:cs="Arial"/>
          <w:color w:val="969696"/>
          <w:sz w:val="24"/>
          <w:szCs w:val="24"/>
          <w:lang w:val="es-CO"/>
        </w:rPr>
        <w:t>etc</w:t>
      </w:r>
      <w:proofErr w:type="spellEnd"/>
      <w:r w:rsidR="002C17D5" w:rsidRPr="002C17D5">
        <w:rPr>
          <w:rFonts w:ascii="Arial" w:hAnsi="Arial" w:cs="Arial"/>
          <w:color w:val="969696"/>
          <w:sz w:val="24"/>
          <w:szCs w:val="24"/>
          <w:lang w:val="es-CO"/>
        </w:rPr>
        <w:t xml:space="preserve"> en orden de tipo de documento y cronológico</w:t>
      </w:r>
      <w:r w:rsidR="00114E95" w:rsidRPr="002C17D5">
        <w:rPr>
          <w:rFonts w:ascii="Arial" w:hAnsi="Arial" w:cs="Arial"/>
          <w:color w:val="969696"/>
          <w:sz w:val="24"/>
          <w:szCs w:val="24"/>
          <w:lang w:val="es-CO"/>
        </w:rPr>
        <w:t>)</w:t>
      </w:r>
    </w:p>
    <w:p w14:paraId="1FD4992C" w14:textId="77777777" w:rsidR="00205C77" w:rsidRDefault="00205C77" w:rsidP="00205C77">
      <w:pPr>
        <w:jc w:val="both"/>
        <w:rPr>
          <w:rFonts w:ascii="Arial" w:hAnsi="Arial" w:cs="Arial"/>
          <w:sz w:val="24"/>
          <w:szCs w:val="24"/>
          <w:lang w:val="es-CO"/>
        </w:rPr>
      </w:pPr>
      <w:bookmarkStart w:id="1" w:name="_Hlk207981821"/>
    </w:p>
    <w:p w14:paraId="5FBDF403" w14:textId="6816E2F8" w:rsidR="00205C77" w:rsidRPr="00205C77" w:rsidRDefault="00205C77" w:rsidP="00972CD3">
      <w:pPr>
        <w:pStyle w:val="Prrafodelista"/>
        <w:widowControl/>
        <w:numPr>
          <w:ilvl w:val="1"/>
          <w:numId w:val="3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TÉRMINOS Y DEFINICIONES</w:t>
      </w:r>
      <w:r w:rsidR="00114E95">
        <w:rPr>
          <w:rFonts w:ascii="Arial" w:hAnsi="Arial" w:cs="Arial"/>
          <w:b/>
          <w:bCs/>
          <w:sz w:val="24"/>
          <w:szCs w:val="24"/>
          <w:lang w:val="es-CO"/>
        </w:rPr>
        <w:t xml:space="preserve"> </w:t>
      </w:r>
      <w:r w:rsidR="00114E95" w:rsidRPr="002C17D5">
        <w:rPr>
          <w:rFonts w:ascii="Arial" w:hAnsi="Arial" w:cs="Arial"/>
          <w:color w:val="969696"/>
          <w:sz w:val="24"/>
          <w:szCs w:val="24"/>
          <w:lang w:val="es-CO"/>
        </w:rPr>
        <w:t>(agregue cuantas filas requiera)</w:t>
      </w:r>
    </w:p>
    <w:p w14:paraId="642EB53D" w14:textId="532223A3" w:rsidR="00205C77" w:rsidRPr="00205C77" w:rsidRDefault="00205C77" w:rsidP="00205C77">
      <w:pPr>
        <w:jc w:val="both"/>
        <w:rPr>
          <w:rFonts w:ascii="Arial" w:hAnsi="Arial" w:cs="Arial"/>
          <w:sz w:val="24"/>
          <w:szCs w:val="24"/>
          <w:lang w:val="es-CO"/>
        </w:rPr>
      </w:pPr>
    </w:p>
    <w:tbl>
      <w:tblPr>
        <w:tblStyle w:val="Tablaconcuadrcula"/>
        <w:tblW w:w="9918" w:type="dxa"/>
        <w:tblInd w:w="0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205C77" w:rsidRPr="00205C77" w14:paraId="66A595A3" w14:textId="77777777" w:rsidTr="00205C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bookmarkEnd w:id="1"/>
          <w:p w14:paraId="16117F46" w14:textId="77777777" w:rsidR="00205C77" w:rsidRPr="00205C77" w:rsidRDefault="00205C77" w:rsidP="00205C77">
            <w:pPr>
              <w:ind w:left="142"/>
              <w:jc w:val="center"/>
              <w:rPr>
                <w:rFonts w:ascii="Arial" w:hAnsi="Arial" w:cs="Arial"/>
                <w:b/>
                <w:bCs/>
              </w:rPr>
            </w:pPr>
            <w:r w:rsidRPr="00205C77">
              <w:rPr>
                <w:rFonts w:ascii="Arial" w:hAnsi="Arial" w:cs="Arial"/>
                <w:b/>
                <w:bCs/>
              </w:rPr>
              <w:t>Término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384C6AAF" w14:textId="77777777" w:rsidR="00205C77" w:rsidRPr="00205C77" w:rsidRDefault="00205C77" w:rsidP="00205C77">
            <w:pPr>
              <w:ind w:left="142"/>
              <w:jc w:val="center"/>
              <w:rPr>
                <w:rFonts w:ascii="Arial" w:hAnsi="Arial" w:cs="Arial"/>
                <w:b/>
                <w:bCs/>
              </w:rPr>
            </w:pPr>
            <w:r w:rsidRPr="00205C77">
              <w:rPr>
                <w:rFonts w:ascii="Arial" w:hAnsi="Arial" w:cs="Arial"/>
                <w:b/>
                <w:bCs/>
              </w:rPr>
              <w:t>Definición</w:t>
            </w:r>
          </w:p>
        </w:tc>
      </w:tr>
      <w:tr w:rsidR="00205C77" w:rsidRPr="00205C77" w14:paraId="5C66E747" w14:textId="77777777" w:rsidTr="00972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4CA" w14:textId="4E78D697" w:rsidR="00205C77" w:rsidRPr="00205C77" w:rsidRDefault="00205C77" w:rsidP="00C6781E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CC7" w14:textId="3EF4C00F" w:rsidR="00205C77" w:rsidRPr="00205C77" w:rsidRDefault="00205C77" w:rsidP="00C6781E">
            <w:pPr>
              <w:ind w:left="142"/>
              <w:jc w:val="both"/>
              <w:rPr>
                <w:rFonts w:ascii="Arial" w:hAnsi="Arial" w:cs="Arial"/>
              </w:rPr>
            </w:pPr>
          </w:p>
        </w:tc>
      </w:tr>
      <w:tr w:rsidR="00205C77" w:rsidRPr="00205C77" w14:paraId="44B50023" w14:textId="77777777" w:rsidTr="00972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7657" w14:textId="3971E5EA" w:rsidR="00205C77" w:rsidRPr="00205C77" w:rsidRDefault="00205C77" w:rsidP="00C6781E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8DB" w14:textId="0CCD4237" w:rsidR="00205C77" w:rsidRPr="00205C77" w:rsidRDefault="00205C77" w:rsidP="00C6781E">
            <w:pPr>
              <w:ind w:left="142"/>
              <w:jc w:val="both"/>
              <w:rPr>
                <w:rFonts w:ascii="Arial" w:hAnsi="Arial" w:cs="Arial"/>
              </w:rPr>
            </w:pPr>
          </w:p>
        </w:tc>
      </w:tr>
      <w:tr w:rsidR="00205C77" w:rsidRPr="00205C77" w14:paraId="219CEF24" w14:textId="77777777" w:rsidTr="00972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BBD" w14:textId="200C30D5" w:rsidR="00205C77" w:rsidRPr="00205C77" w:rsidRDefault="00205C77" w:rsidP="00C6781E">
            <w:pPr>
              <w:ind w:left="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4760" w14:textId="618E02BE" w:rsidR="00205C77" w:rsidRPr="00205C77" w:rsidRDefault="00205C77" w:rsidP="00C6781E">
            <w:pPr>
              <w:ind w:left="142"/>
              <w:jc w:val="both"/>
              <w:rPr>
                <w:rFonts w:ascii="Arial" w:hAnsi="Arial" w:cs="Arial"/>
              </w:rPr>
            </w:pPr>
          </w:p>
        </w:tc>
      </w:tr>
    </w:tbl>
    <w:p w14:paraId="0973BD27" w14:textId="77777777" w:rsidR="00205C77" w:rsidRPr="00205C77" w:rsidRDefault="00205C77" w:rsidP="00205C77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2FA08F96" w14:textId="77777777" w:rsidR="003C07C1" w:rsidRDefault="00205C77" w:rsidP="00C8336C">
      <w:pPr>
        <w:pStyle w:val="Prrafodelista"/>
        <w:widowControl/>
        <w:numPr>
          <w:ilvl w:val="1"/>
          <w:numId w:val="3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C8336C">
        <w:rPr>
          <w:rFonts w:ascii="Arial" w:hAnsi="Arial" w:cs="Arial"/>
          <w:b/>
          <w:bCs/>
          <w:sz w:val="24"/>
          <w:szCs w:val="24"/>
          <w:lang w:val="es-CO"/>
        </w:rPr>
        <w:t xml:space="preserve"> SEGUIMIENTO Y SOCIALIZACIÓN </w:t>
      </w:r>
    </w:p>
    <w:p w14:paraId="543882FE" w14:textId="77777777" w:rsidR="003C07C1" w:rsidRDefault="003C07C1" w:rsidP="003C07C1">
      <w:pPr>
        <w:pStyle w:val="Prrafodelista"/>
        <w:widowControl/>
        <w:autoSpaceDE/>
        <w:autoSpaceDN/>
        <w:spacing w:line="276" w:lineRule="auto"/>
        <w:ind w:left="502" w:firstLine="0"/>
        <w:contextualSpacing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1C36CADC" w14:textId="3DB141DD" w:rsidR="00205C77" w:rsidRPr="003C07C1" w:rsidRDefault="007C670E" w:rsidP="003C07C1">
      <w:pPr>
        <w:pStyle w:val="Prrafodelista"/>
        <w:widowControl/>
        <w:autoSpaceDE/>
        <w:autoSpaceDN/>
        <w:spacing w:line="276" w:lineRule="auto"/>
        <w:ind w:left="502" w:firstLine="0"/>
        <w:contextualSpacing/>
        <w:jc w:val="both"/>
        <w:rPr>
          <w:rFonts w:ascii="Arial" w:hAnsi="Arial" w:cs="Arial"/>
          <w:color w:val="969696"/>
          <w:sz w:val="24"/>
          <w:szCs w:val="24"/>
          <w:lang w:val="es-CO"/>
        </w:rPr>
      </w:pPr>
      <w:r w:rsidRPr="003C07C1">
        <w:rPr>
          <w:rFonts w:ascii="Arial" w:hAnsi="Arial" w:cs="Arial"/>
          <w:color w:val="969696"/>
          <w:sz w:val="24"/>
          <w:szCs w:val="24"/>
          <w:lang w:val="es-CO"/>
        </w:rPr>
        <w:t>(Indicar, la periodicidad de revisión y divulgación</w:t>
      </w:r>
      <w:r w:rsidR="003C07C1" w:rsidRPr="003C07C1">
        <w:rPr>
          <w:rFonts w:ascii="Arial" w:hAnsi="Arial" w:cs="Arial"/>
          <w:color w:val="969696"/>
          <w:sz w:val="24"/>
          <w:szCs w:val="24"/>
          <w:lang w:val="es-CO"/>
        </w:rPr>
        <w:t xml:space="preserve"> dentro de la entidad</w:t>
      </w:r>
    </w:p>
    <w:p w14:paraId="70216380" w14:textId="77777777" w:rsidR="00114E95" w:rsidRPr="00114E95" w:rsidRDefault="00114E95" w:rsidP="00114E95">
      <w:pPr>
        <w:widowControl/>
        <w:autoSpaceDE/>
        <w:autoSpaceDN/>
        <w:spacing w:line="276" w:lineRule="auto"/>
        <w:ind w:left="142"/>
        <w:contextualSpacing/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95945B1" w14:textId="018C31FB" w:rsidR="00A97CD3" w:rsidRPr="000B6308" w:rsidRDefault="00343522" w:rsidP="00972CD3">
      <w:pPr>
        <w:pStyle w:val="Ttulo1"/>
        <w:numPr>
          <w:ilvl w:val="0"/>
          <w:numId w:val="1"/>
        </w:numPr>
        <w:tabs>
          <w:tab w:val="num" w:pos="142"/>
        </w:tabs>
        <w:spacing w:line="276" w:lineRule="auto"/>
        <w:ind w:left="142" w:firstLine="0"/>
        <w:rPr>
          <w:sz w:val="24"/>
          <w:szCs w:val="24"/>
        </w:rPr>
      </w:pPr>
      <w:r w:rsidRPr="000B6308">
        <w:rPr>
          <w:sz w:val="24"/>
          <w:szCs w:val="24"/>
        </w:rPr>
        <w:t xml:space="preserve">TRANSPARENCIA Y ACCESO A LA INFORMACIÓN </w:t>
      </w:r>
    </w:p>
    <w:p w14:paraId="731B3AA9" w14:textId="77777777" w:rsidR="006939A6" w:rsidRPr="000B6308" w:rsidRDefault="006939A6" w:rsidP="000B6308">
      <w:pPr>
        <w:pStyle w:val="Prrafodelista"/>
        <w:tabs>
          <w:tab w:val="num" w:pos="142"/>
        </w:tabs>
        <w:spacing w:line="276" w:lineRule="auto"/>
        <w:ind w:left="142" w:firstLine="0"/>
        <w:jc w:val="both"/>
        <w:rPr>
          <w:rFonts w:ascii="Arial" w:hAnsi="Arial" w:cs="Arial"/>
          <w:sz w:val="24"/>
          <w:szCs w:val="24"/>
        </w:rPr>
      </w:pPr>
    </w:p>
    <w:p w14:paraId="40D340D0" w14:textId="77777777" w:rsidR="00A97CD3" w:rsidRPr="000B6308" w:rsidRDefault="00A97CD3" w:rsidP="000B6308">
      <w:pPr>
        <w:tabs>
          <w:tab w:val="num" w:pos="142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6308">
        <w:rPr>
          <w:rFonts w:ascii="Arial" w:hAnsi="Arial" w:cs="Arial"/>
          <w:color w:val="000000" w:themeColor="text1"/>
          <w:sz w:val="24"/>
          <w:szCs w:val="24"/>
        </w:rPr>
        <w:t xml:space="preserve">Se debe garantizar el acceso a la información, de acuerdo con la clasificación y atendiendo las restricciones de acuerdo con las excepciones constitucionales y legales en cumplimiento de la Ley 1712 de 2014 de su Decreto reglamentario 103 de 2015 y demás normas que las complementen o modifiquen. </w:t>
      </w:r>
    </w:p>
    <w:p w14:paraId="5043723A" w14:textId="77777777" w:rsidR="006939A6" w:rsidRPr="000B6308" w:rsidRDefault="006939A6" w:rsidP="000B6308">
      <w:pPr>
        <w:tabs>
          <w:tab w:val="num" w:pos="142"/>
        </w:tabs>
        <w:spacing w:line="276" w:lineRule="auto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6A372B" w14:textId="439BB3DC" w:rsidR="00A97CD3" w:rsidRPr="000B6308" w:rsidRDefault="00A97CD3" w:rsidP="000B6308">
      <w:pPr>
        <w:pStyle w:val="Prrafodelista"/>
        <w:tabs>
          <w:tab w:val="num" w:pos="142"/>
        </w:tabs>
        <w:spacing w:line="276" w:lineRule="auto"/>
        <w:ind w:left="142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B6308">
        <w:rPr>
          <w:rFonts w:ascii="Arial" w:hAnsi="Arial" w:cs="Arial"/>
          <w:color w:val="000000" w:themeColor="text1"/>
          <w:sz w:val="24"/>
          <w:szCs w:val="24"/>
        </w:rPr>
        <w:t xml:space="preserve">En este sentido, se debe dar cumplimiento a lo expresado en los artículos 18, 19, 20, 21 y 22 el Título III de la Ley 1712 de 2014 y los artículos 30, 31, 32, </w:t>
      </w:r>
      <w:r w:rsidR="00F70D8C" w:rsidRPr="000B6308">
        <w:rPr>
          <w:rFonts w:ascii="Arial" w:hAnsi="Arial" w:cs="Arial"/>
          <w:color w:val="000000" w:themeColor="text1"/>
          <w:sz w:val="24"/>
          <w:szCs w:val="24"/>
        </w:rPr>
        <w:t>33 y</w:t>
      </w:r>
      <w:r w:rsidRPr="000B6308">
        <w:rPr>
          <w:rFonts w:ascii="Arial" w:hAnsi="Arial" w:cs="Arial"/>
          <w:color w:val="000000" w:themeColor="text1"/>
          <w:sz w:val="24"/>
          <w:szCs w:val="24"/>
        </w:rPr>
        <w:t xml:space="preserve"> 34 del Decreto 0103 de 2015, en lo relacionado con: las excepciones de acceso a la información, las excepciones temporales, la actualización del Índice de Información clasificada y reservada, la divulgación parcial y otras reglas y la denegación o rechazo del derecho de acceso a la información pública por Clasificación o Reserva.</w:t>
      </w:r>
    </w:p>
    <w:p w14:paraId="1CD32AAA" w14:textId="77777777" w:rsidR="00A97CD3" w:rsidRPr="000B6308" w:rsidRDefault="00A97CD3" w:rsidP="000B6308">
      <w:pPr>
        <w:pStyle w:val="Prrafodelista"/>
        <w:tabs>
          <w:tab w:val="num" w:pos="142"/>
        </w:tabs>
        <w:spacing w:line="276" w:lineRule="auto"/>
        <w:ind w:left="142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187E84" w14:textId="38002B6D" w:rsidR="00A97CD3" w:rsidRPr="000B6308" w:rsidRDefault="00343522" w:rsidP="00972CD3">
      <w:pPr>
        <w:pStyle w:val="Ttulo1"/>
        <w:numPr>
          <w:ilvl w:val="0"/>
          <w:numId w:val="1"/>
        </w:numPr>
        <w:tabs>
          <w:tab w:val="num" w:pos="142"/>
        </w:tabs>
        <w:spacing w:line="276" w:lineRule="auto"/>
        <w:ind w:left="142" w:firstLine="0"/>
        <w:rPr>
          <w:sz w:val="24"/>
          <w:szCs w:val="24"/>
        </w:rPr>
      </w:pPr>
      <w:r w:rsidRPr="000B6308">
        <w:rPr>
          <w:sz w:val="24"/>
          <w:szCs w:val="24"/>
        </w:rPr>
        <w:t xml:space="preserve"> VIGENCIA</w:t>
      </w:r>
    </w:p>
    <w:p w14:paraId="485BF184" w14:textId="77777777" w:rsidR="008719F3" w:rsidRDefault="008719F3" w:rsidP="008719F3">
      <w:pPr>
        <w:pStyle w:val="Prrafodelista"/>
        <w:spacing w:line="276" w:lineRule="auto"/>
        <w:ind w:left="142" w:firstLine="0"/>
        <w:jc w:val="both"/>
        <w:rPr>
          <w:rFonts w:ascii="Arial" w:eastAsia="Arial" w:hAnsi="Arial" w:cs="Arial"/>
          <w:sz w:val="24"/>
          <w:szCs w:val="24"/>
        </w:rPr>
      </w:pPr>
    </w:p>
    <w:p w14:paraId="262F427A" w14:textId="49471E23" w:rsidR="008719F3" w:rsidRPr="00887C66" w:rsidRDefault="008719F3" w:rsidP="008719F3">
      <w:pPr>
        <w:pStyle w:val="Prrafodelista"/>
        <w:spacing w:line="276" w:lineRule="auto"/>
        <w:ind w:left="142" w:firstLine="0"/>
        <w:jc w:val="both"/>
        <w:rPr>
          <w:rFonts w:ascii="Arial" w:eastAsia="Arial" w:hAnsi="Arial" w:cs="Arial"/>
          <w:sz w:val="24"/>
          <w:szCs w:val="24"/>
        </w:rPr>
      </w:pPr>
      <w:r w:rsidRPr="00887C66">
        <w:rPr>
          <w:rFonts w:ascii="Arial" w:eastAsia="Arial" w:hAnsi="Arial" w:cs="Arial"/>
          <w:sz w:val="24"/>
          <w:szCs w:val="24"/>
        </w:rPr>
        <w:t>La presente Política fue aprobada en el Comité Institucional de Gestión y Desempeño del día XX de XXX de 202XX</w:t>
      </w:r>
    </w:p>
    <w:p w14:paraId="490390D4" w14:textId="77777777" w:rsidR="00A97CD3" w:rsidRPr="000B6308" w:rsidRDefault="00A97CD3" w:rsidP="000B6308">
      <w:pPr>
        <w:pStyle w:val="Prrafodelista"/>
        <w:tabs>
          <w:tab w:val="num" w:pos="142"/>
        </w:tabs>
        <w:spacing w:line="276" w:lineRule="auto"/>
        <w:ind w:left="142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72523D" w14:textId="66D262BA" w:rsidR="006939A6" w:rsidRPr="000B6308" w:rsidRDefault="00343522" w:rsidP="00972CD3">
      <w:pPr>
        <w:pStyle w:val="Ttulo1"/>
        <w:numPr>
          <w:ilvl w:val="0"/>
          <w:numId w:val="1"/>
        </w:numPr>
        <w:tabs>
          <w:tab w:val="num" w:pos="142"/>
        </w:tabs>
        <w:spacing w:line="276" w:lineRule="auto"/>
        <w:ind w:left="142" w:firstLine="0"/>
        <w:rPr>
          <w:sz w:val="24"/>
          <w:szCs w:val="24"/>
        </w:rPr>
      </w:pPr>
      <w:bookmarkStart w:id="2" w:name="_Toc199167550"/>
      <w:bookmarkStart w:id="3" w:name="_Hlk199170591"/>
      <w:r w:rsidRPr="000B6308">
        <w:rPr>
          <w:sz w:val="24"/>
          <w:szCs w:val="24"/>
        </w:rPr>
        <w:t>CONTROL DE CAMBIOS</w:t>
      </w:r>
      <w:bookmarkEnd w:id="2"/>
    </w:p>
    <w:p w14:paraId="6EC9CD64" w14:textId="77777777" w:rsidR="006939A6" w:rsidRPr="000B6308" w:rsidRDefault="006939A6" w:rsidP="000B6308">
      <w:pPr>
        <w:spacing w:line="276" w:lineRule="auto"/>
        <w:jc w:val="both"/>
        <w:rPr>
          <w:sz w:val="24"/>
          <w:szCs w:val="24"/>
        </w:rPr>
      </w:pP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387"/>
        <w:gridCol w:w="1730"/>
        <w:gridCol w:w="1509"/>
      </w:tblGrid>
      <w:tr w:rsidR="006939A6" w:rsidRPr="000B6308" w14:paraId="70658EAC" w14:textId="77777777" w:rsidTr="000D72CE">
        <w:trPr>
          <w:trHeight w:val="251"/>
        </w:trPr>
        <w:tc>
          <w:tcPr>
            <w:tcW w:w="1129" w:type="dxa"/>
            <w:vAlign w:val="center"/>
          </w:tcPr>
          <w:p w14:paraId="4ED9705C" w14:textId="77777777" w:rsidR="006939A6" w:rsidRPr="000B6308" w:rsidRDefault="006939A6" w:rsidP="000B63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387" w:type="dxa"/>
            <w:vAlign w:val="center"/>
          </w:tcPr>
          <w:p w14:paraId="06B85D28" w14:textId="77777777" w:rsidR="006939A6" w:rsidRPr="000B6308" w:rsidRDefault="006939A6" w:rsidP="000B63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730" w:type="dxa"/>
            <w:vAlign w:val="center"/>
          </w:tcPr>
          <w:p w14:paraId="69DA71F0" w14:textId="77777777" w:rsidR="006939A6" w:rsidRPr="000B6308" w:rsidRDefault="006939A6" w:rsidP="000B63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1509" w:type="dxa"/>
            <w:vAlign w:val="center"/>
          </w:tcPr>
          <w:p w14:paraId="7C51FD0B" w14:textId="77777777" w:rsidR="006939A6" w:rsidRPr="000B6308" w:rsidRDefault="006939A6" w:rsidP="000B630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Publicación</w:t>
            </w:r>
          </w:p>
        </w:tc>
      </w:tr>
      <w:tr w:rsidR="00205C77" w:rsidRPr="000B6308" w14:paraId="5427EF60" w14:textId="77777777" w:rsidTr="00EC7574">
        <w:trPr>
          <w:trHeight w:val="236"/>
        </w:trPr>
        <w:tc>
          <w:tcPr>
            <w:tcW w:w="1129" w:type="dxa"/>
            <w:vAlign w:val="center"/>
          </w:tcPr>
          <w:p w14:paraId="031F4A1C" w14:textId="71B16ECE" w:rsidR="00205C77" w:rsidRPr="000B6308" w:rsidRDefault="00205C77" w:rsidP="00205C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vAlign w:val="center"/>
          </w:tcPr>
          <w:p w14:paraId="626ABDC1" w14:textId="0AF2C415" w:rsidR="00205C77" w:rsidRPr="000B6308" w:rsidRDefault="00205C77" w:rsidP="00205C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33FE8E0D" w14:textId="5910B9B6" w:rsidR="00205C77" w:rsidRPr="000B6308" w:rsidRDefault="00205C77" w:rsidP="00205C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9" w:type="dxa"/>
            <w:vAlign w:val="center"/>
          </w:tcPr>
          <w:p w14:paraId="479C59A5" w14:textId="1E590B3C" w:rsidR="00205C77" w:rsidRPr="000B6308" w:rsidRDefault="00205C77" w:rsidP="00205C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711C1FBF" w14:textId="1826CDB8" w:rsidR="00B81A6E" w:rsidRPr="000B6308" w:rsidRDefault="00B81A6E" w:rsidP="00343522">
      <w:pPr>
        <w:tabs>
          <w:tab w:val="num" w:pos="142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sectPr w:rsidR="00B81A6E" w:rsidRPr="000B6308" w:rsidSect="000D72CE">
      <w:headerReference w:type="default" r:id="rId8"/>
      <w:footerReference w:type="default" r:id="rId9"/>
      <w:pgSz w:w="12240" w:h="15840"/>
      <w:pgMar w:top="1600" w:right="1200" w:bottom="1560" w:left="1300" w:header="284" w:footer="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B744" w14:textId="77777777" w:rsidR="00DA44F6" w:rsidRDefault="00DA44F6">
      <w:r>
        <w:separator/>
      </w:r>
    </w:p>
  </w:endnote>
  <w:endnote w:type="continuationSeparator" w:id="0">
    <w:p w14:paraId="6508685F" w14:textId="77777777" w:rsidR="00DA44F6" w:rsidRDefault="00DA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E906" w14:textId="47745295" w:rsidR="00B81A6E" w:rsidRDefault="006939A6">
    <w:pPr>
      <w:pStyle w:val="Textoindependiente"/>
      <w:spacing w:line="14" w:lineRule="auto"/>
      <w:rPr>
        <w:sz w:val="20"/>
      </w:rPr>
    </w:pPr>
    <w:r>
      <w:rPr>
        <w:noProof/>
      </w:rPr>
      <w:drawing>
        <wp:inline distT="0" distB="0" distL="0" distR="0" wp14:anchorId="5490F75E" wp14:editId="63FBB8C3">
          <wp:extent cx="5612130" cy="649605"/>
          <wp:effectExtent l="0" t="0" r="7620" b="0"/>
          <wp:docPr id="1362857053" name="Imagen 1" descr="Logos de RTVC, Señal Colombia, Canal Institucional, Radio Nacional de Colombia, Radiónica, Señal Memoria y RTVC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47030" name="Imagen 1" descr="Logos de RTVC, Señal Colombia, Canal Institucional, Radio Nacional de Colombia, Radiónica, Señal Memoria y RTVCPla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C34F" w14:textId="77777777" w:rsidR="00DA44F6" w:rsidRDefault="00DA44F6">
      <w:r>
        <w:separator/>
      </w:r>
    </w:p>
  </w:footnote>
  <w:footnote w:type="continuationSeparator" w:id="0">
    <w:p w14:paraId="75508592" w14:textId="77777777" w:rsidR="00DA44F6" w:rsidRDefault="00DA44F6">
      <w:r>
        <w:continuationSeparator/>
      </w:r>
    </w:p>
  </w:footnote>
  <w:footnote w:id="1">
    <w:p w14:paraId="121071BD" w14:textId="77777777" w:rsidR="00A97CD3" w:rsidRPr="00A704A8" w:rsidRDefault="00A97CD3" w:rsidP="00A97CD3">
      <w:pPr>
        <w:pStyle w:val="Textonotapie"/>
        <w:rPr>
          <w:sz w:val="12"/>
        </w:rPr>
      </w:pPr>
      <w:r w:rsidRPr="00A704A8">
        <w:rPr>
          <w:rStyle w:val="Refdenotaalpie"/>
          <w:sz w:val="12"/>
        </w:rPr>
        <w:footnoteRef/>
      </w:r>
      <w:r w:rsidRPr="00A704A8">
        <w:rPr>
          <w:sz w:val="12"/>
        </w:rPr>
        <w:t xml:space="preserve"> Artículo 2.8.2.5.3 Decreto 1080 de 2015 Ministerio de Cultura </w:t>
      </w:r>
    </w:p>
  </w:footnote>
  <w:footnote w:id="2">
    <w:p w14:paraId="1BE824BF" w14:textId="77777777" w:rsidR="00A97CD3" w:rsidRPr="00A704A8" w:rsidRDefault="00A97CD3" w:rsidP="00A97CD3">
      <w:pPr>
        <w:pStyle w:val="Textonotapie"/>
        <w:rPr>
          <w:sz w:val="12"/>
        </w:rPr>
      </w:pPr>
      <w:r w:rsidRPr="00A704A8">
        <w:rPr>
          <w:rStyle w:val="Refdenotaalpie"/>
          <w:sz w:val="12"/>
        </w:rPr>
        <w:footnoteRef/>
      </w:r>
      <w:r w:rsidRPr="00A704A8">
        <w:rPr>
          <w:sz w:val="12"/>
        </w:rPr>
        <w:t xml:space="preserve"> Acuerdo 027 de 2006 Archivo General de la Nación</w:t>
      </w:r>
    </w:p>
  </w:footnote>
  <w:footnote w:id="3">
    <w:p w14:paraId="33D6875D" w14:textId="77777777" w:rsidR="00A97CD3" w:rsidRDefault="00A97CD3" w:rsidP="00A97CD3">
      <w:pPr>
        <w:pStyle w:val="Textonotapie"/>
      </w:pPr>
      <w:r w:rsidRPr="00A704A8">
        <w:rPr>
          <w:rStyle w:val="Refdenotaalpie"/>
          <w:sz w:val="12"/>
        </w:rPr>
        <w:footnoteRef/>
      </w:r>
      <w:r w:rsidRPr="00A704A8">
        <w:rPr>
          <w:sz w:val="12"/>
        </w:rPr>
        <w:t xml:space="preserve"> Acuerdo 060 de 2001 Archivo General de la Nación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5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81"/>
      <w:gridCol w:w="5488"/>
      <w:gridCol w:w="1886"/>
    </w:tblGrid>
    <w:tr w:rsidR="00DC5783" w14:paraId="408B8DE6" w14:textId="77777777" w:rsidTr="00F522B3">
      <w:trPr>
        <w:cantSplit/>
        <w:trHeight w:val="295"/>
      </w:trPr>
      <w:tc>
        <w:tcPr>
          <w:tcW w:w="25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33E9780E" w14:textId="77777777" w:rsidR="00DC5783" w:rsidRDefault="00DC5783" w:rsidP="00DC5783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75136" behindDoc="0" locked="0" layoutInCell="1" allowOverlap="1" wp14:anchorId="6BF0ADC6" wp14:editId="0B47630B">
                <wp:simplePos x="0" y="0"/>
                <wp:positionH relativeFrom="column">
                  <wp:posOffset>-34925</wp:posOffset>
                </wp:positionH>
                <wp:positionV relativeFrom="paragraph">
                  <wp:posOffset>184785</wp:posOffset>
                </wp:positionV>
                <wp:extent cx="1558925" cy="593090"/>
                <wp:effectExtent l="0" t="0" r="3175" b="3810"/>
                <wp:wrapThrough wrapText="bothSides">
                  <wp:wrapPolygon edited="0">
                    <wp:start x="0" y="0"/>
                    <wp:lineTo x="0" y="21276"/>
                    <wp:lineTo x="21468" y="21276"/>
                    <wp:lineTo x="21468" y="0"/>
                    <wp:lineTo x="0" y="0"/>
                  </wp:wrapPolygon>
                </wp:wrapThrough>
                <wp:docPr id="183666652" name="Imagen 1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92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1EAF7D97" w14:textId="4623AE44" w:rsidR="00DC5783" w:rsidRDefault="00205C77" w:rsidP="00DC578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PROCESO </w:t>
          </w:r>
          <w:r w:rsidR="00972CD3">
            <w:rPr>
              <w:rFonts w:ascii="Arial" w:hAnsi="Arial" w:cs="Arial"/>
              <w:b/>
            </w:rPr>
            <w:t>(NOMBRE PROCESO)</w:t>
          </w:r>
        </w:p>
        <w:p w14:paraId="4D71CECA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2216F96C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POLITICA OPERACIONAL</w:t>
          </w:r>
        </w:p>
        <w:p w14:paraId="666B5622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3ED45581" w14:textId="6605381E" w:rsidR="00DC5783" w:rsidRPr="00205C77" w:rsidRDefault="00972CD3" w:rsidP="00205C77">
          <w:pPr>
            <w:pStyle w:val="Standard"/>
            <w:tabs>
              <w:tab w:val="left" w:pos="709"/>
              <w:tab w:val="left" w:pos="851"/>
            </w:tabs>
            <w:ind w:left="142"/>
            <w:jc w:val="center"/>
            <w:rPr>
              <w:rFonts w:ascii="Arial" w:eastAsia="Arial MT" w:hAnsi="Arial" w:cs="Arial"/>
              <w:b/>
              <w:kern w:val="0"/>
              <w:lang w:eastAsia="en-US"/>
            </w:rPr>
          </w:pPr>
          <w:r>
            <w:rPr>
              <w:rFonts w:ascii="Arial" w:eastAsia="Arial MT" w:hAnsi="Arial" w:cs="Arial"/>
              <w:b/>
              <w:kern w:val="0"/>
              <w:lang w:eastAsia="en-US"/>
            </w:rPr>
            <w:t>NOMBRE POLÍTICA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72E11911" w14:textId="5CDE6966" w:rsidR="00DC5783" w:rsidRPr="003D01C5" w:rsidRDefault="00DC5783" w:rsidP="00DC5783">
          <w:pPr>
            <w:pStyle w:val="Encabezado"/>
            <w:rPr>
              <w:rFonts w:ascii="Arial" w:hAnsi="Arial" w:cs="Arial"/>
              <w:sz w:val="18"/>
            </w:rPr>
          </w:pPr>
          <w:r w:rsidRPr="003D01C5">
            <w:rPr>
              <w:rFonts w:ascii="Arial" w:hAnsi="Arial" w:cs="Arial"/>
              <w:sz w:val="18"/>
            </w:rPr>
            <w:t xml:space="preserve">Código: </w:t>
          </w:r>
        </w:p>
      </w:tc>
    </w:tr>
    <w:tr w:rsidR="00DC5783" w14:paraId="3CD2AA27" w14:textId="77777777" w:rsidTr="00F522B3">
      <w:trPr>
        <w:cantSplit/>
        <w:trHeight w:val="295"/>
      </w:trPr>
      <w:tc>
        <w:tcPr>
          <w:tcW w:w="25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4CF799C" w14:textId="77777777" w:rsidR="00DC5783" w:rsidRDefault="00DC5783" w:rsidP="00DC5783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66793355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2B31FAA" w14:textId="5B7E4C20" w:rsidR="00DC5783" w:rsidRDefault="00DC5783" w:rsidP="00DC5783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</w:p>
      </w:tc>
    </w:tr>
    <w:tr w:rsidR="00DC5783" w14:paraId="3C7A23A8" w14:textId="77777777" w:rsidTr="00F522B3">
      <w:trPr>
        <w:cantSplit/>
        <w:trHeight w:val="295"/>
      </w:trPr>
      <w:tc>
        <w:tcPr>
          <w:tcW w:w="25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78D67B7F" w14:textId="77777777" w:rsidR="00DC5783" w:rsidRDefault="00DC5783" w:rsidP="00DC5783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74CB577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34DA79A9" w14:textId="173B5686" w:rsidR="00DC5783" w:rsidRDefault="00DC5783" w:rsidP="00DC5783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</w:p>
      </w:tc>
    </w:tr>
    <w:tr w:rsidR="00DC5783" w14:paraId="274061B2" w14:textId="77777777" w:rsidTr="00F522B3">
      <w:trPr>
        <w:cantSplit/>
        <w:trHeight w:val="233"/>
      </w:trPr>
      <w:tc>
        <w:tcPr>
          <w:tcW w:w="25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4B6C703" w14:textId="77777777" w:rsidR="00DC5783" w:rsidRDefault="00DC5783" w:rsidP="00DC5783"/>
      </w:tc>
      <w:tc>
        <w:tcPr>
          <w:tcW w:w="5488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2FD95E7" w14:textId="77777777" w:rsidR="00DC5783" w:rsidRDefault="00DC5783" w:rsidP="00DC5783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56CBAA0" w14:textId="77777777" w:rsidR="00DC5783" w:rsidRDefault="00DC5783" w:rsidP="00DC5783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42235468" w14:textId="1C07A45C" w:rsidR="00B710A2" w:rsidRDefault="00B710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9B5"/>
    <w:multiLevelType w:val="multilevel"/>
    <w:tmpl w:val="3B408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FB59CA"/>
    <w:multiLevelType w:val="multilevel"/>
    <w:tmpl w:val="A7B2C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51C53A79"/>
    <w:multiLevelType w:val="hybridMultilevel"/>
    <w:tmpl w:val="3BAA40C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6A2ED162">
      <w:start w:val="1"/>
      <w:numFmt w:val="lowerLetter"/>
      <w:lvlText w:val="%2)"/>
      <w:lvlJc w:val="left"/>
      <w:pPr>
        <w:ind w:left="1665" w:hanging="58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30144">
    <w:abstractNumId w:val="0"/>
  </w:num>
  <w:num w:numId="2" w16cid:durableId="1179152980">
    <w:abstractNumId w:val="2"/>
  </w:num>
  <w:num w:numId="3" w16cid:durableId="6146058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6E"/>
    <w:rsid w:val="00006ADB"/>
    <w:rsid w:val="00034A7D"/>
    <w:rsid w:val="00037001"/>
    <w:rsid w:val="00041190"/>
    <w:rsid w:val="00044DA6"/>
    <w:rsid w:val="000634B8"/>
    <w:rsid w:val="000721BE"/>
    <w:rsid w:val="00081282"/>
    <w:rsid w:val="000864AF"/>
    <w:rsid w:val="00087C1E"/>
    <w:rsid w:val="00087DE0"/>
    <w:rsid w:val="00095A4F"/>
    <w:rsid w:val="000A5210"/>
    <w:rsid w:val="000B2D55"/>
    <w:rsid w:val="000B6308"/>
    <w:rsid w:val="000B7C30"/>
    <w:rsid w:val="000C24D4"/>
    <w:rsid w:val="000C40D7"/>
    <w:rsid w:val="000C496D"/>
    <w:rsid w:val="000D6D03"/>
    <w:rsid w:val="000D72CE"/>
    <w:rsid w:val="000F5662"/>
    <w:rsid w:val="001021B9"/>
    <w:rsid w:val="001105B7"/>
    <w:rsid w:val="00111B81"/>
    <w:rsid w:val="001121C9"/>
    <w:rsid w:val="001145B3"/>
    <w:rsid w:val="00114E95"/>
    <w:rsid w:val="00121B39"/>
    <w:rsid w:val="00134942"/>
    <w:rsid w:val="00151412"/>
    <w:rsid w:val="0016097E"/>
    <w:rsid w:val="001653EC"/>
    <w:rsid w:val="00172B8E"/>
    <w:rsid w:val="001B10A5"/>
    <w:rsid w:val="001D2815"/>
    <w:rsid w:val="001E4ABF"/>
    <w:rsid w:val="001E6FCD"/>
    <w:rsid w:val="0020363B"/>
    <w:rsid w:val="00205C77"/>
    <w:rsid w:val="00212225"/>
    <w:rsid w:val="002217DD"/>
    <w:rsid w:val="002308D7"/>
    <w:rsid w:val="00234132"/>
    <w:rsid w:val="00237AD2"/>
    <w:rsid w:val="00244F74"/>
    <w:rsid w:val="0024547E"/>
    <w:rsid w:val="00246A52"/>
    <w:rsid w:val="00246F81"/>
    <w:rsid w:val="00254927"/>
    <w:rsid w:val="0025608E"/>
    <w:rsid w:val="0025720B"/>
    <w:rsid w:val="002618B6"/>
    <w:rsid w:val="00262132"/>
    <w:rsid w:val="002763B7"/>
    <w:rsid w:val="00277A57"/>
    <w:rsid w:val="002853D3"/>
    <w:rsid w:val="0028697C"/>
    <w:rsid w:val="002C17D5"/>
    <w:rsid w:val="002E20E5"/>
    <w:rsid w:val="002E5ACA"/>
    <w:rsid w:val="002E753F"/>
    <w:rsid w:val="002F23E2"/>
    <w:rsid w:val="00303336"/>
    <w:rsid w:val="0033681D"/>
    <w:rsid w:val="00342FD2"/>
    <w:rsid w:val="00343522"/>
    <w:rsid w:val="0037026E"/>
    <w:rsid w:val="00385090"/>
    <w:rsid w:val="0039047C"/>
    <w:rsid w:val="00395374"/>
    <w:rsid w:val="003B1CE6"/>
    <w:rsid w:val="003B4276"/>
    <w:rsid w:val="003B5057"/>
    <w:rsid w:val="003B74EB"/>
    <w:rsid w:val="003C07C1"/>
    <w:rsid w:val="003C1EA1"/>
    <w:rsid w:val="003D25C3"/>
    <w:rsid w:val="003D35B2"/>
    <w:rsid w:val="003F3806"/>
    <w:rsid w:val="003F551D"/>
    <w:rsid w:val="00403493"/>
    <w:rsid w:val="004212B4"/>
    <w:rsid w:val="0043741C"/>
    <w:rsid w:val="0044351D"/>
    <w:rsid w:val="004578FB"/>
    <w:rsid w:val="00460383"/>
    <w:rsid w:val="0047240A"/>
    <w:rsid w:val="004743C7"/>
    <w:rsid w:val="00476BFE"/>
    <w:rsid w:val="00492297"/>
    <w:rsid w:val="00495360"/>
    <w:rsid w:val="00497D66"/>
    <w:rsid w:val="004A6339"/>
    <w:rsid w:val="004B4D41"/>
    <w:rsid w:val="004C00CA"/>
    <w:rsid w:val="004C5D60"/>
    <w:rsid w:val="004D574F"/>
    <w:rsid w:val="004F1A5A"/>
    <w:rsid w:val="00503E5A"/>
    <w:rsid w:val="005041DD"/>
    <w:rsid w:val="00537009"/>
    <w:rsid w:val="005438B0"/>
    <w:rsid w:val="0054536C"/>
    <w:rsid w:val="0056730D"/>
    <w:rsid w:val="00571257"/>
    <w:rsid w:val="00571670"/>
    <w:rsid w:val="005723BE"/>
    <w:rsid w:val="00573F46"/>
    <w:rsid w:val="00575A4A"/>
    <w:rsid w:val="0058254C"/>
    <w:rsid w:val="00583B2A"/>
    <w:rsid w:val="005A559B"/>
    <w:rsid w:val="005B3663"/>
    <w:rsid w:val="005C13B0"/>
    <w:rsid w:val="005C17A4"/>
    <w:rsid w:val="005C2BB4"/>
    <w:rsid w:val="00607771"/>
    <w:rsid w:val="00613A27"/>
    <w:rsid w:val="00622105"/>
    <w:rsid w:val="00622E08"/>
    <w:rsid w:val="0063551D"/>
    <w:rsid w:val="00635959"/>
    <w:rsid w:val="006411C1"/>
    <w:rsid w:val="00675B82"/>
    <w:rsid w:val="006939A6"/>
    <w:rsid w:val="006A5639"/>
    <w:rsid w:val="006B0804"/>
    <w:rsid w:val="006B6E80"/>
    <w:rsid w:val="006C3C43"/>
    <w:rsid w:val="006D0343"/>
    <w:rsid w:val="006D388B"/>
    <w:rsid w:val="006E0649"/>
    <w:rsid w:val="006E1503"/>
    <w:rsid w:val="00700144"/>
    <w:rsid w:val="00707B8E"/>
    <w:rsid w:val="00710F9F"/>
    <w:rsid w:val="00715CF8"/>
    <w:rsid w:val="007244E8"/>
    <w:rsid w:val="007271CF"/>
    <w:rsid w:val="00732560"/>
    <w:rsid w:val="007414B9"/>
    <w:rsid w:val="00742C27"/>
    <w:rsid w:val="00742E66"/>
    <w:rsid w:val="0074573A"/>
    <w:rsid w:val="00763C95"/>
    <w:rsid w:val="007735B7"/>
    <w:rsid w:val="00777E78"/>
    <w:rsid w:val="00780764"/>
    <w:rsid w:val="00786DE5"/>
    <w:rsid w:val="00794B75"/>
    <w:rsid w:val="007A09E8"/>
    <w:rsid w:val="007C2145"/>
    <w:rsid w:val="007C670E"/>
    <w:rsid w:val="007C6761"/>
    <w:rsid w:val="007C78FA"/>
    <w:rsid w:val="007D51D0"/>
    <w:rsid w:val="007E3775"/>
    <w:rsid w:val="007E6DD5"/>
    <w:rsid w:val="007F1255"/>
    <w:rsid w:val="00807621"/>
    <w:rsid w:val="0081437C"/>
    <w:rsid w:val="0081717F"/>
    <w:rsid w:val="0083772F"/>
    <w:rsid w:val="00840AE4"/>
    <w:rsid w:val="008458D1"/>
    <w:rsid w:val="0085700C"/>
    <w:rsid w:val="008719F3"/>
    <w:rsid w:val="008722C5"/>
    <w:rsid w:val="00874B89"/>
    <w:rsid w:val="00880F54"/>
    <w:rsid w:val="00881F75"/>
    <w:rsid w:val="008834E7"/>
    <w:rsid w:val="00887C0C"/>
    <w:rsid w:val="0089043D"/>
    <w:rsid w:val="00891C01"/>
    <w:rsid w:val="008A1996"/>
    <w:rsid w:val="008A240C"/>
    <w:rsid w:val="008A3FFB"/>
    <w:rsid w:val="008B7C83"/>
    <w:rsid w:val="008D5532"/>
    <w:rsid w:val="008E6969"/>
    <w:rsid w:val="008F3F56"/>
    <w:rsid w:val="00901C7D"/>
    <w:rsid w:val="00906F8E"/>
    <w:rsid w:val="009101DA"/>
    <w:rsid w:val="00920A81"/>
    <w:rsid w:val="009260AA"/>
    <w:rsid w:val="00961850"/>
    <w:rsid w:val="00972CD3"/>
    <w:rsid w:val="00975E67"/>
    <w:rsid w:val="00976D5A"/>
    <w:rsid w:val="009865A8"/>
    <w:rsid w:val="00992AD8"/>
    <w:rsid w:val="009A5252"/>
    <w:rsid w:val="009A6263"/>
    <w:rsid w:val="009B7AA0"/>
    <w:rsid w:val="009D1F3E"/>
    <w:rsid w:val="009E1926"/>
    <w:rsid w:val="009F647D"/>
    <w:rsid w:val="00A00A78"/>
    <w:rsid w:val="00A00BFE"/>
    <w:rsid w:val="00A13AA2"/>
    <w:rsid w:val="00A14A03"/>
    <w:rsid w:val="00A227F2"/>
    <w:rsid w:val="00A35844"/>
    <w:rsid w:val="00A36357"/>
    <w:rsid w:val="00A37AA9"/>
    <w:rsid w:val="00A5426F"/>
    <w:rsid w:val="00A60A6C"/>
    <w:rsid w:val="00A70142"/>
    <w:rsid w:val="00A71B9B"/>
    <w:rsid w:val="00A73578"/>
    <w:rsid w:val="00A77707"/>
    <w:rsid w:val="00A813DE"/>
    <w:rsid w:val="00A918DA"/>
    <w:rsid w:val="00A94DE5"/>
    <w:rsid w:val="00A970CD"/>
    <w:rsid w:val="00A97CD3"/>
    <w:rsid w:val="00AA0894"/>
    <w:rsid w:val="00AC0880"/>
    <w:rsid w:val="00AD1269"/>
    <w:rsid w:val="00AD5E4F"/>
    <w:rsid w:val="00AD5F73"/>
    <w:rsid w:val="00AE2BFE"/>
    <w:rsid w:val="00AE4A6A"/>
    <w:rsid w:val="00AF1362"/>
    <w:rsid w:val="00AF5E4A"/>
    <w:rsid w:val="00B16177"/>
    <w:rsid w:val="00B17E76"/>
    <w:rsid w:val="00B20822"/>
    <w:rsid w:val="00B21C6E"/>
    <w:rsid w:val="00B22D48"/>
    <w:rsid w:val="00B242C9"/>
    <w:rsid w:val="00B44126"/>
    <w:rsid w:val="00B4670A"/>
    <w:rsid w:val="00B521B7"/>
    <w:rsid w:val="00B55A93"/>
    <w:rsid w:val="00B67CEB"/>
    <w:rsid w:val="00B70E3C"/>
    <w:rsid w:val="00B710A2"/>
    <w:rsid w:val="00B81A6E"/>
    <w:rsid w:val="00BB3BCF"/>
    <w:rsid w:val="00BB4775"/>
    <w:rsid w:val="00BC4930"/>
    <w:rsid w:val="00BC6218"/>
    <w:rsid w:val="00BD0116"/>
    <w:rsid w:val="00BE6AB3"/>
    <w:rsid w:val="00BF5E3E"/>
    <w:rsid w:val="00C241ED"/>
    <w:rsid w:val="00C32B5D"/>
    <w:rsid w:val="00C55B73"/>
    <w:rsid w:val="00C55C2A"/>
    <w:rsid w:val="00C57DA7"/>
    <w:rsid w:val="00C76042"/>
    <w:rsid w:val="00C82CC7"/>
    <w:rsid w:val="00C8336C"/>
    <w:rsid w:val="00C87DF7"/>
    <w:rsid w:val="00CA5598"/>
    <w:rsid w:val="00CB0C2D"/>
    <w:rsid w:val="00CB6D78"/>
    <w:rsid w:val="00CE22C7"/>
    <w:rsid w:val="00CF29E5"/>
    <w:rsid w:val="00D01660"/>
    <w:rsid w:val="00D034F1"/>
    <w:rsid w:val="00D17F1A"/>
    <w:rsid w:val="00D210C8"/>
    <w:rsid w:val="00D215C4"/>
    <w:rsid w:val="00D3672D"/>
    <w:rsid w:val="00D45E7F"/>
    <w:rsid w:val="00D57417"/>
    <w:rsid w:val="00DA44F6"/>
    <w:rsid w:val="00DA5E96"/>
    <w:rsid w:val="00DC5783"/>
    <w:rsid w:val="00DD7912"/>
    <w:rsid w:val="00DE27F4"/>
    <w:rsid w:val="00DF221C"/>
    <w:rsid w:val="00E03460"/>
    <w:rsid w:val="00E03BF5"/>
    <w:rsid w:val="00E11BB1"/>
    <w:rsid w:val="00E1226A"/>
    <w:rsid w:val="00E159E8"/>
    <w:rsid w:val="00E24259"/>
    <w:rsid w:val="00E263B8"/>
    <w:rsid w:val="00E553A0"/>
    <w:rsid w:val="00E57F0F"/>
    <w:rsid w:val="00E661E9"/>
    <w:rsid w:val="00E77615"/>
    <w:rsid w:val="00E81EAF"/>
    <w:rsid w:val="00EB5021"/>
    <w:rsid w:val="00EE5C3E"/>
    <w:rsid w:val="00EF1797"/>
    <w:rsid w:val="00EF77C6"/>
    <w:rsid w:val="00F1795A"/>
    <w:rsid w:val="00F352F9"/>
    <w:rsid w:val="00F3689C"/>
    <w:rsid w:val="00F452CB"/>
    <w:rsid w:val="00F53963"/>
    <w:rsid w:val="00F70D8C"/>
    <w:rsid w:val="00F75881"/>
    <w:rsid w:val="00F923E0"/>
    <w:rsid w:val="00F96A84"/>
    <w:rsid w:val="00FE23AD"/>
    <w:rsid w:val="00FE65E3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5134"/>
  <w15:docId w15:val="{BF11AAEA-1B69-4DF8-8B75-2DE76084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46" w:hanging="3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7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spacing w:line="252" w:lineRule="exact"/>
      <w:ind w:left="546" w:hanging="28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D5532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D5532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24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24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24D4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4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4D4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710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10A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10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0A2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A97CD3"/>
    <w:pPr>
      <w:widowControl/>
      <w:autoSpaceDE/>
      <w:autoSpaceDN/>
    </w:pPr>
    <w:rPr>
      <w:rFonts w:ascii="Arial" w:eastAsia="Arial" w:hAnsi="Arial" w:cs="Arial"/>
      <w:color w:val="000000"/>
      <w:sz w:val="20"/>
      <w:szCs w:val="20"/>
      <w:lang w:val="es-CO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CD3"/>
    <w:rPr>
      <w:rFonts w:ascii="Arial" w:eastAsia="Arial" w:hAnsi="Arial" w:cs="Arial"/>
      <w:color w:val="000000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uiPriority w:val="99"/>
    <w:unhideWhenUsed/>
    <w:rsid w:val="00A97CD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26213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A777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customStyle="1" w:styleId="Standard">
    <w:name w:val="Standard"/>
    <w:rsid w:val="00205C77"/>
    <w:pPr>
      <w:widowControl/>
      <w:suppressAutoHyphens/>
      <w:autoSpaceDE/>
      <w:textAlignment w:val="baseline"/>
    </w:pPr>
    <w:rPr>
      <w:rFonts w:ascii="Verdana" w:eastAsia="Times New Roman" w:hAnsi="Verdana" w:cs="Verdana"/>
      <w:kern w:val="3"/>
      <w:lang w:val="es-ES" w:eastAsia="es-CO"/>
    </w:rPr>
  </w:style>
  <w:style w:type="character" w:customStyle="1" w:styleId="uv3um">
    <w:name w:val="uv3um"/>
    <w:basedOn w:val="Fuentedeprrafopredeter"/>
    <w:rsid w:val="00205C77"/>
  </w:style>
  <w:style w:type="table" w:styleId="Tablaconcuadrcula">
    <w:name w:val="Table Grid"/>
    <w:basedOn w:val="Tablanormal"/>
    <w:uiPriority w:val="39"/>
    <w:rsid w:val="00205C77"/>
    <w:pPr>
      <w:widowControl/>
      <w:autoSpaceDE/>
      <w:autoSpaceDN/>
    </w:pPr>
    <w:rPr>
      <w:kern w:val="2"/>
      <w:sz w:val="24"/>
      <w:szCs w:val="24"/>
      <w:lang w:val="es-CO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0230-53F0-45AD-83B6-AD440674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5762</Characters>
  <Application>Microsoft Office Word</Application>
  <DocSecurity>0</DocSecurity>
  <Lines>411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Alejandra Salamanca Sierra</dc:creator>
  <cp:lastModifiedBy>Luz Anyely Guevara Ramirez</cp:lastModifiedBy>
  <cp:revision>2</cp:revision>
  <cp:lastPrinted>2025-05-30T16:41:00Z</cp:lastPrinted>
  <dcterms:created xsi:type="dcterms:W3CDTF">2025-11-13T18:18:00Z</dcterms:created>
  <dcterms:modified xsi:type="dcterms:W3CDTF">2025-11-13T18:18:00Z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2023-10-16T00:00:00Z</vt:filetime>
  </property>
</Properties>
</file>