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0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3389"/>
        <w:gridCol w:w="2702"/>
        <w:gridCol w:w="2531"/>
      </w:tblGrid>
      <w:tr w:rsidR="00A73CB4" w:rsidRPr="00500F70" w:rsidTr="0021132E">
        <w:trPr>
          <w:cantSplit/>
          <w:trHeight w:val="372"/>
        </w:trPr>
        <w:tc>
          <w:tcPr>
            <w:tcW w:w="1458" w:type="dxa"/>
            <w:vMerge w:val="restart"/>
          </w:tcPr>
          <w:p w:rsidR="00A73CB4" w:rsidRPr="00500F70" w:rsidRDefault="00A73CB4" w:rsidP="0021132E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4D2B2072" wp14:editId="0A888D7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43815</wp:posOffset>
                  </wp:positionV>
                  <wp:extent cx="800100" cy="588010"/>
                  <wp:effectExtent l="0" t="0" r="0" b="2540"/>
                  <wp:wrapNone/>
                  <wp:docPr id="1" name="Imagen 1" descr="logo rt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t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1" w:type="dxa"/>
            <w:gridSpan w:val="2"/>
            <w:vAlign w:val="center"/>
          </w:tcPr>
          <w:p w:rsidR="00A73CB4" w:rsidRPr="00500F70" w:rsidRDefault="00A73CB4" w:rsidP="0021132E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A73CB4" w:rsidRPr="00500F70" w:rsidRDefault="00A73CB4" w:rsidP="0021132E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Código: </w:t>
            </w:r>
            <w:r w:rsidRPr="00500F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DE-MC-FT-15</w:t>
            </w:r>
          </w:p>
        </w:tc>
      </w:tr>
      <w:tr w:rsidR="00A73CB4" w:rsidRPr="00500F70" w:rsidTr="0021132E">
        <w:trPr>
          <w:cantSplit/>
          <w:trHeight w:val="153"/>
        </w:trPr>
        <w:tc>
          <w:tcPr>
            <w:tcW w:w="1458" w:type="dxa"/>
            <w:vMerge/>
          </w:tcPr>
          <w:p w:rsidR="00A73CB4" w:rsidRPr="00500F70" w:rsidRDefault="00A73CB4" w:rsidP="0021132E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 w:val="restart"/>
            <w:vAlign w:val="center"/>
          </w:tcPr>
          <w:p w:rsidR="00A73CB4" w:rsidRPr="00500F70" w:rsidRDefault="00A73CB4" w:rsidP="0021132E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ACTAS DE REUNIÓN</w:t>
            </w:r>
          </w:p>
        </w:tc>
        <w:tc>
          <w:tcPr>
            <w:tcW w:w="2702" w:type="dxa"/>
            <w:vMerge w:val="restart"/>
            <w:vAlign w:val="center"/>
          </w:tcPr>
          <w:p w:rsidR="00A73CB4" w:rsidRPr="00500F70" w:rsidRDefault="00A73CB4" w:rsidP="0021132E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A73CB4" w:rsidRPr="00500F70" w:rsidRDefault="00A73CB4" w:rsidP="0021132E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Versión: </w:t>
            </w:r>
            <w:proofErr w:type="spellStart"/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Vo</w:t>
            </w:r>
            <w:proofErr w:type="spellEnd"/>
          </w:p>
        </w:tc>
      </w:tr>
      <w:tr w:rsidR="00A73CB4" w:rsidRPr="00500F70" w:rsidTr="0021132E">
        <w:trPr>
          <w:cantSplit/>
          <w:trHeight w:val="405"/>
        </w:trPr>
        <w:tc>
          <w:tcPr>
            <w:tcW w:w="1458" w:type="dxa"/>
            <w:vMerge/>
          </w:tcPr>
          <w:p w:rsidR="00A73CB4" w:rsidRPr="00500F70" w:rsidRDefault="00A73CB4" w:rsidP="0021132E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/>
            <w:vAlign w:val="center"/>
          </w:tcPr>
          <w:p w:rsidR="00A73CB4" w:rsidRPr="00500F70" w:rsidRDefault="00A73CB4" w:rsidP="0021132E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A73CB4" w:rsidRPr="00500F70" w:rsidRDefault="00A73CB4" w:rsidP="0021132E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:rsidR="00A73CB4" w:rsidRPr="00500F70" w:rsidRDefault="00A73CB4" w:rsidP="0021132E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Fecha de emisión: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23/02/2012</w:t>
            </w:r>
          </w:p>
        </w:tc>
      </w:tr>
    </w:tbl>
    <w:p w:rsidR="00A73CB4" w:rsidRPr="00500F70" w:rsidRDefault="00A73CB4" w:rsidP="00A73CB4">
      <w:pPr>
        <w:rPr>
          <w:rFonts w:ascii="Arial Narrow" w:hAnsi="Arial Narrow"/>
          <w:vanish/>
        </w:rPr>
      </w:pPr>
    </w:p>
    <w:tbl>
      <w:tblPr>
        <w:tblpPr w:leftFromText="141" w:rightFromText="141" w:vertAnchor="page" w:horzAnchor="margin" w:tblpXSpec="center" w:tblpY="2318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A73CB4" w:rsidRPr="00500F70" w:rsidTr="0021132E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3CB4" w:rsidRPr="00500F70" w:rsidRDefault="00A73CB4" w:rsidP="002113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3CB4" w:rsidRPr="00500F70" w:rsidRDefault="00A73CB4" w:rsidP="002113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3</w:t>
            </w:r>
          </w:p>
        </w:tc>
      </w:tr>
      <w:tr w:rsidR="00A73CB4" w:rsidRPr="00500F70" w:rsidTr="0021132E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3CB4" w:rsidRPr="00500F70" w:rsidRDefault="00A73CB4" w:rsidP="002113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Grupo de comunicaciones</w:t>
            </w:r>
          </w:p>
        </w:tc>
      </w:tr>
      <w:tr w:rsidR="00A73CB4" w:rsidRPr="00500F70" w:rsidTr="0021132E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3CB4" w:rsidRPr="00500F70" w:rsidRDefault="00A73CB4" w:rsidP="002113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A73CB4" w:rsidRPr="00500F70" w:rsidTr="0021132E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3CB4" w:rsidRPr="00500F70" w:rsidRDefault="00A73CB4" w:rsidP="00A73CB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14 de marzo de 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3CB4" w:rsidRPr="00500F70" w:rsidRDefault="00A73CB4" w:rsidP="002113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Of. Divulgación y Prensa</w:t>
            </w:r>
          </w:p>
        </w:tc>
      </w:tr>
      <w:tr w:rsidR="00A73CB4" w:rsidRPr="00500F70" w:rsidTr="0021132E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3CB4" w:rsidRPr="00500F70" w:rsidRDefault="00A73CB4" w:rsidP="00A73CB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0 pm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3CB4" w:rsidRPr="00500F70" w:rsidRDefault="00A73CB4" w:rsidP="002113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4:30 pm</w:t>
            </w:r>
          </w:p>
        </w:tc>
      </w:tr>
    </w:tbl>
    <w:p w:rsidR="00A73CB4" w:rsidRPr="00500F70" w:rsidRDefault="00A73CB4" w:rsidP="00A73CB4">
      <w:pPr>
        <w:rPr>
          <w:rFonts w:ascii="Arial Narrow" w:hAnsi="Arial Narrow" w:cs="Arial"/>
          <w:sz w:val="24"/>
          <w:szCs w:val="24"/>
        </w:rPr>
      </w:pPr>
    </w:p>
    <w:p w:rsidR="00A73CB4" w:rsidRPr="00500F70" w:rsidRDefault="00A73CB4" w:rsidP="00A73CB4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A73CB4" w:rsidRPr="00500F70" w:rsidTr="0021132E">
        <w:tc>
          <w:tcPr>
            <w:tcW w:w="992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A73CB4" w:rsidRPr="00500F70" w:rsidRDefault="00A73CB4" w:rsidP="0021132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PARTICIPANTES / INVITADOS</w:t>
            </w:r>
          </w:p>
        </w:tc>
      </w:tr>
      <w:tr w:rsidR="00A73CB4" w:rsidRPr="00500F70" w:rsidTr="0021132E">
        <w:trPr>
          <w:trHeight w:val="66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00F70" w:rsidRDefault="00A73CB4" w:rsidP="0021132E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Nombres completos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00F70" w:rsidRDefault="00A73CB4" w:rsidP="0021132E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Entidad/Dependencia</w:t>
            </w:r>
          </w:p>
        </w:tc>
      </w:tr>
      <w:tr w:rsidR="00A73CB4" w:rsidRPr="00500F70" w:rsidTr="0021132E">
        <w:trPr>
          <w:trHeight w:val="4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B5644" w:rsidRDefault="00A73CB4" w:rsidP="0021132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Ligia González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B5644" w:rsidRDefault="00A73CB4" w:rsidP="0021132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Señalcolombia</w:t>
            </w:r>
            <w:proofErr w:type="spellEnd"/>
          </w:p>
        </w:tc>
      </w:tr>
      <w:tr w:rsidR="00A73CB4" w:rsidRPr="00500F70" w:rsidTr="0021132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B5644" w:rsidRDefault="00A73CB4" w:rsidP="0021132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Juanita Arango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B5644" w:rsidRDefault="00A73CB4" w:rsidP="0021132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Radio Nacional – 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Radiónica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(Se disculpó por m</w:t>
            </w:r>
            <w:r w:rsidR="00B06D2D">
              <w:rPr>
                <w:rFonts w:ascii="Arial Narrow" w:hAnsi="Arial Narrow" w:cs="Arial"/>
                <w:sz w:val="24"/>
                <w:szCs w:val="24"/>
              </w:rPr>
              <w:t>otivo de reunión con Subgerente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de radio)</w:t>
            </w:r>
          </w:p>
        </w:tc>
      </w:tr>
      <w:tr w:rsidR="00A73CB4" w:rsidRPr="00500F70" w:rsidTr="0021132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B5644" w:rsidRDefault="00A73CB4" w:rsidP="0021132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Ángela Téllez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B5644" w:rsidRDefault="00A73CB4" w:rsidP="00A73CB4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Fonoteca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  <w:tr w:rsidR="00A73CB4" w:rsidRPr="00500F70" w:rsidTr="0021132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B5644" w:rsidRDefault="00B06D2D" w:rsidP="0021132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Juan Edua</w:t>
            </w:r>
            <w:r w:rsidR="00A73CB4">
              <w:rPr>
                <w:rFonts w:ascii="Arial Narrow" w:hAnsi="Arial Narrow" w:cs="Arial"/>
                <w:sz w:val="24"/>
                <w:szCs w:val="24"/>
              </w:rPr>
              <w:t xml:space="preserve">rdo </w:t>
            </w:r>
            <w:r>
              <w:rPr>
                <w:rFonts w:ascii="Arial Narrow" w:hAnsi="Arial Narrow" w:cs="Arial"/>
                <w:sz w:val="24"/>
                <w:szCs w:val="24"/>
              </w:rPr>
              <w:t>Rodríguez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B5644" w:rsidRDefault="00A73CB4" w:rsidP="0021132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Canal Institucional</w:t>
            </w:r>
          </w:p>
        </w:tc>
      </w:tr>
      <w:tr w:rsidR="00A73CB4" w:rsidRPr="00500F70" w:rsidTr="0021132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B5644" w:rsidRDefault="00A73CB4" w:rsidP="0021132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Eder </w:t>
            </w:r>
            <w:r w:rsidR="00B06D2D" w:rsidRPr="005B5644">
              <w:rPr>
                <w:rFonts w:ascii="Arial Narrow" w:hAnsi="Arial Narrow" w:cs="Arial"/>
                <w:sz w:val="24"/>
                <w:szCs w:val="24"/>
              </w:rPr>
              <w:t>Nicolás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Araujo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B5644" w:rsidRDefault="00A73CB4" w:rsidP="0021132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Divulgación y prensa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A73CB4" w:rsidRPr="00500F70" w:rsidTr="0021132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B5644" w:rsidRDefault="00A73CB4" w:rsidP="0021132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B5644" w:rsidRDefault="00F51854" w:rsidP="00F51854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Editora </w:t>
            </w:r>
            <w:r w:rsidR="00A73CB4" w:rsidRPr="005B5644">
              <w:rPr>
                <w:rFonts w:ascii="Arial Narrow" w:hAnsi="Arial Narrow" w:cs="Arial"/>
                <w:sz w:val="24"/>
                <w:szCs w:val="24"/>
              </w:rPr>
              <w:t>Web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rtvc</w:t>
            </w:r>
            <w:bookmarkStart w:id="0" w:name="_GoBack"/>
            <w:bookmarkEnd w:id="0"/>
            <w:proofErr w:type="spellEnd"/>
          </w:p>
        </w:tc>
      </w:tr>
      <w:tr w:rsidR="00A73CB4" w:rsidRPr="00500F70" w:rsidTr="0021132E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B5644" w:rsidRDefault="00A73CB4" w:rsidP="0021132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B4" w:rsidRPr="005B5644" w:rsidRDefault="00A73CB4" w:rsidP="0021132E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Divulgación y prensa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</w:tbl>
    <w:p w:rsidR="00A73CB4" w:rsidRPr="00500F70" w:rsidRDefault="00A73CB4" w:rsidP="00A73CB4">
      <w:pPr>
        <w:rPr>
          <w:rFonts w:ascii="Arial Narrow" w:hAnsi="Arial Narrow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73CB4" w:rsidRPr="00500F70" w:rsidTr="0021132E">
        <w:tc>
          <w:tcPr>
            <w:tcW w:w="9923" w:type="dxa"/>
            <w:shd w:val="clear" w:color="auto" w:fill="auto"/>
          </w:tcPr>
          <w:p w:rsidR="00A73CB4" w:rsidRPr="00500F70" w:rsidRDefault="00A73CB4" w:rsidP="0021132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A73CB4" w:rsidRPr="00500F70" w:rsidTr="0021132E">
        <w:trPr>
          <w:trHeight w:val="845"/>
        </w:trPr>
        <w:tc>
          <w:tcPr>
            <w:tcW w:w="9923" w:type="dxa"/>
            <w:shd w:val="clear" w:color="auto" w:fill="auto"/>
          </w:tcPr>
          <w:p w:rsidR="00A73CB4" w:rsidRPr="005B5644" w:rsidRDefault="00A73CB4" w:rsidP="0021132E">
            <w:pPr>
              <w:pStyle w:val="Textoindependiente3"/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BD1793">
              <w:rPr>
                <w:rFonts w:ascii="Arial Narrow" w:hAnsi="Arial Narrow" w:cs="Arial"/>
              </w:rPr>
              <w:t>rtvc</w:t>
            </w:r>
            <w:proofErr w:type="spellEnd"/>
            <w:r w:rsidRPr="00BD1793">
              <w:rPr>
                <w:rFonts w:ascii="Arial Narrow" w:hAnsi="Arial Narrow" w:cs="Arial"/>
              </w:rPr>
              <w:t xml:space="preserve">, y en el despliegue de información </w:t>
            </w:r>
            <w:r>
              <w:rPr>
                <w:rFonts w:ascii="Arial Narrow" w:hAnsi="Arial Narrow" w:cs="Arial"/>
              </w:rPr>
              <w:t xml:space="preserve">interno y </w:t>
            </w:r>
            <w:r w:rsidRPr="00BD1793">
              <w:rPr>
                <w:rFonts w:ascii="Arial Narrow" w:hAnsi="Arial Narrow" w:cs="Arial"/>
              </w:rPr>
              <w:t>a medios de comunicación</w:t>
            </w:r>
            <w:r>
              <w:rPr>
                <w:rFonts w:ascii="Arial Narrow" w:hAnsi="Arial Narrow" w:cs="Arial"/>
              </w:rPr>
              <w:t>.</w:t>
            </w:r>
          </w:p>
        </w:tc>
      </w:tr>
    </w:tbl>
    <w:p w:rsidR="00A73CB4" w:rsidRPr="00500F70" w:rsidRDefault="00A73CB4" w:rsidP="00A73CB4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73CB4" w:rsidRPr="00500F70" w:rsidTr="0021132E">
        <w:trPr>
          <w:tblHeader/>
        </w:trPr>
        <w:tc>
          <w:tcPr>
            <w:tcW w:w="9923" w:type="dxa"/>
            <w:shd w:val="pct5" w:color="auto" w:fill="auto"/>
          </w:tcPr>
          <w:p w:rsidR="00A73CB4" w:rsidRPr="00500F70" w:rsidRDefault="00A73CB4" w:rsidP="0021132E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A73CB4" w:rsidRPr="00500F70" w:rsidTr="0021132E">
        <w:trPr>
          <w:trHeight w:val="654"/>
        </w:trPr>
        <w:tc>
          <w:tcPr>
            <w:tcW w:w="9923" w:type="dxa"/>
          </w:tcPr>
          <w:p w:rsidR="00B06D2D" w:rsidRDefault="00B06D2D" w:rsidP="0021132E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>Intervención de integrantes</w:t>
            </w:r>
            <w:r w:rsidR="00B071B4">
              <w:rPr>
                <w:rFonts w:ascii="Arial Narrow" w:hAnsi="Arial Narrow" w:cs="Arial"/>
              </w:rPr>
              <w:t>.</w:t>
            </w:r>
          </w:p>
          <w:p w:rsidR="00A73CB4" w:rsidRPr="00BD1793" w:rsidRDefault="00B06D2D" w:rsidP="0021132E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Análisis y pertinencia del </w:t>
            </w:r>
            <w:proofErr w:type="spellStart"/>
            <w:r>
              <w:rPr>
                <w:rFonts w:ascii="Arial Narrow" w:hAnsi="Arial Narrow" w:cs="Arial"/>
              </w:rPr>
              <w:t>Brief</w:t>
            </w:r>
            <w:proofErr w:type="spellEnd"/>
            <w:r>
              <w:rPr>
                <w:rFonts w:ascii="Arial Narrow" w:hAnsi="Arial Narrow" w:cs="Arial"/>
              </w:rPr>
              <w:t xml:space="preserve"> de comunicación como herramienta para</w:t>
            </w:r>
            <w:r w:rsidR="00A75651">
              <w:rPr>
                <w:rFonts w:ascii="Arial Narrow" w:hAnsi="Arial Narrow" w:cs="Arial"/>
              </w:rPr>
              <w:t xml:space="preserve"> envío de información</w:t>
            </w:r>
            <w:r w:rsidR="00B071B4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</w:t>
            </w:r>
          </w:p>
          <w:p w:rsidR="00A73CB4" w:rsidRPr="00BD1793" w:rsidRDefault="00A73CB4" w:rsidP="0021132E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Socializ</w:t>
            </w:r>
            <w:r w:rsidR="00A75651">
              <w:rPr>
                <w:rFonts w:ascii="Arial Narrow" w:hAnsi="Arial Narrow" w:cs="Arial"/>
              </w:rPr>
              <w:t xml:space="preserve">ación del papel de Divulgación y Prensa en </w:t>
            </w:r>
            <w:proofErr w:type="spellStart"/>
            <w:r w:rsidR="00A75651">
              <w:rPr>
                <w:rFonts w:ascii="Arial Narrow" w:hAnsi="Arial Narrow" w:cs="Arial"/>
              </w:rPr>
              <w:t>rtvc</w:t>
            </w:r>
            <w:proofErr w:type="spellEnd"/>
            <w:r w:rsidR="00A75651">
              <w:rPr>
                <w:rFonts w:ascii="Arial Narrow" w:hAnsi="Arial Narrow" w:cs="Arial"/>
              </w:rPr>
              <w:t>.</w:t>
            </w:r>
          </w:p>
          <w:p w:rsidR="00A73CB4" w:rsidRPr="005B5644" w:rsidRDefault="00B071B4" w:rsidP="0021132E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Oportunidades de mejora sugeridas en reunión.</w:t>
            </w:r>
          </w:p>
        </w:tc>
      </w:tr>
    </w:tbl>
    <w:p w:rsidR="00A73CB4" w:rsidRPr="00500F70" w:rsidRDefault="00A73CB4" w:rsidP="00A73CB4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73CB4" w:rsidRPr="00500F70" w:rsidTr="0021132E">
        <w:trPr>
          <w:tblHeader/>
        </w:trPr>
        <w:tc>
          <w:tcPr>
            <w:tcW w:w="9923" w:type="dxa"/>
            <w:shd w:val="pct5" w:color="auto" w:fill="auto"/>
          </w:tcPr>
          <w:p w:rsidR="00A73CB4" w:rsidRPr="00500F70" w:rsidRDefault="00A73CB4" w:rsidP="0021132E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A73CB4" w:rsidRPr="00500F70" w:rsidTr="0021132E">
        <w:trPr>
          <w:trHeight w:val="654"/>
        </w:trPr>
        <w:tc>
          <w:tcPr>
            <w:tcW w:w="9923" w:type="dxa"/>
          </w:tcPr>
          <w:p w:rsidR="00B071B4" w:rsidRDefault="00B071B4" w:rsidP="0021132E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Noticias Fonoteca:</w:t>
            </w:r>
          </w:p>
          <w:p w:rsidR="00B071B4" w:rsidRDefault="00B071B4" w:rsidP="00B071B4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Nueva imagen Fonoteca 20 de marzo</w:t>
            </w:r>
          </w:p>
          <w:p w:rsidR="00B071B4" w:rsidRDefault="00B071B4" w:rsidP="00B071B4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Presentación Edipo Rey, 4 de abril en </w:t>
            </w:r>
            <w:proofErr w:type="spellStart"/>
            <w:r>
              <w:rPr>
                <w:rFonts w:ascii="Arial Narrow" w:hAnsi="Arial Narrow" w:cs="Arial"/>
                <w:bCs/>
              </w:rPr>
              <w:t>Corferias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en el marco del Iberoamericano de teatro (gestionar periodistas)</w:t>
            </w:r>
          </w:p>
          <w:p w:rsidR="00890C8F" w:rsidRDefault="00890C8F" w:rsidP="00B071B4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lastRenderedPageBreak/>
              <w:t xml:space="preserve">Mail </w:t>
            </w:r>
            <w:proofErr w:type="spellStart"/>
            <w:r>
              <w:rPr>
                <w:rFonts w:ascii="Arial Narrow" w:hAnsi="Arial Narrow" w:cs="Arial"/>
                <w:bCs/>
              </w:rPr>
              <w:t>chimp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(por confirmar)</w:t>
            </w:r>
          </w:p>
          <w:p w:rsidR="00B071B4" w:rsidRDefault="00B071B4" w:rsidP="00B071B4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Noticias institucional</w:t>
            </w:r>
          </w:p>
          <w:p w:rsidR="00890C8F" w:rsidRDefault="00890C8F" w:rsidP="00890C8F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Rendición victimas del conflicto (por confirmar)</w:t>
            </w:r>
          </w:p>
          <w:p w:rsidR="00890C8F" w:rsidRDefault="00890C8F" w:rsidP="00890C8F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64 cumbre de gobernadores</w:t>
            </w:r>
          </w:p>
          <w:p w:rsidR="00890C8F" w:rsidRDefault="00890C8F" w:rsidP="00890C8F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Urna de cristal con </w:t>
            </w:r>
            <w:proofErr w:type="spellStart"/>
            <w:r>
              <w:rPr>
                <w:rFonts w:ascii="Arial Narrow" w:hAnsi="Arial Narrow" w:cs="Arial"/>
                <w:bCs/>
              </w:rPr>
              <w:t>Minagricultura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15 de marzo</w:t>
            </w:r>
          </w:p>
          <w:p w:rsidR="00890C8F" w:rsidRDefault="00890C8F" w:rsidP="00890C8F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Acuerdos para la prosperidad 19 marzo</w:t>
            </w:r>
          </w:p>
          <w:p w:rsidR="00890C8F" w:rsidRDefault="00890C8F" w:rsidP="00890C8F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proofErr w:type="spellStart"/>
            <w:r>
              <w:rPr>
                <w:rFonts w:ascii="Arial Narrow" w:hAnsi="Arial Narrow" w:cs="Arial"/>
                <w:bCs/>
              </w:rPr>
              <w:t>Micrositio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cumbre de las américas (por confirmar)</w:t>
            </w:r>
          </w:p>
          <w:p w:rsidR="00890C8F" w:rsidRPr="00890C8F" w:rsidRDefault="00890C8F" w:rsidP="00890C8F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proofErr w:type="spellStart"/>
            <w:r>
              <w:rPr>
                <w:rFonts w:ascii="Arial Narrow" w:hAnsi="Arial Narrow" w:cs="Arial"/>
                <w:bCs/>
              </w:rPr>
              <w:t>señalcolombia</w:t>
            </w:r>
            <w:proofErr w:type="spellEnd"/>
          </w:p>
          <w:p w:rsidR="00890C8F" w:rsidRDefault="00D605E2" w:rsidP="00B071B4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Miércoles 21 Contra la discriminación racial</w:t>
            </w:r>
          </w:p>
          <w:p w:rsidR="00D605E2" w:rsidRDefault="00D605E2" w:rsidP="00B071B4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Jueves 22 Día del agua – Era del deshielo a las 9:30</w:t>
            </w:r>
          </w:p>
          <w:p w:rsidR="00890C8F" w:rsidRDefault="00D605E2" w:rsidP="00B071B4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Domingo 25 – señal </w:t>
            </w:r>
            <w:proofErr w:type="spellStart"/>
            <w:r>
              <w:rPr>
                <w:rFonts w:ascii="Arial Narrow" w:hAnsi="Arial Narrow" w:cs="Arial"/>
                <w:bCs/>
              </w:rPr>
              <w:t>radiónica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con </w:t>
            </w:r>
            <w:proofErr w:type="spellStart"/>
            <w:r>
              <w:rPr>
                <w:rFonts w:ascii="Arial Narrow" w:hAnsi="Arial Narrow" w:cs="Arial"/>
                <w:bCs/>
              </w:rPr>
              <w:t>Superlitio</w:t>
            </w:r>
            <w:proofErr w:type="spellEnd"/>
          </w:p>
          <w:p w:rsidR="00D605E2" w:rsidRPr="00D605E2" w:rsidRDefault="00D605E2" w:rsidP="00B071B4">
            <w:pPr>
              <w:pStyle w:val="Prrafodelista"/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jc w:val="both"/>
              <w:rPr>
                <w:rStyle w:val="Textoennegrita"/>
                <w:rFonts w:ascii="Arial Narrow" w:hAnsi="Arial Narrow" w:cs="Arial"/>
                <w:b w:val="0"/>
              </w:rPr>
            </w:pPr>
            <w:r>
              <w:rPr>
                <w:rFonts w:ascii="Arial Narrow" w:hAnsi="Arial Narrow" w:cs="Arial"/>
                <w:bCs/>
              </w:rPr>
              <w:t xml:space="preserve">Domingo 25 – Beatriz González </w:t>
            </w:r>
            <w:r w:rsidRPr="00D605E2">
              <w:rPr>
                <w:rStyle w:val="Textoennegrita"/>
                <w:rFonts w:ascii="Century Gothic" w:hAnsi="Century Gothic"/>
                <w:b w:val="0"/>
                <w:sz w:val="20"/>
                <w:szCs w:val="20"/>
              </w:rPr>
              <w:t>¿Por qué llora si ya reí?</w:t>
            </w:r>
            <w:r w:rsidRPr="00D605E2">
              <w:rPr>
                <w:rStyle w:val="Textoennegrita"/>
                <w:rFonts w:ascii="Century Gothic" w:hAnsi="Century Gothic"/>
                <w:b w:val="0"/>
                <w:sz w:val="20"/>
                <w:szCs w:val="20"/>
              </w:rPr>
              <w:t xml:space="preserve"> 4:00 pm</w:t>
            </w:r>
          </w:p>
          <w:p w:rsidR="00D605E2" w:rsidRDefault="009F4E66" w:rsidP="00D605E2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Construcción de bases de datos por secciones </w:t>
            </w:r>
            <w:proofErr w:type="spellStart"/>
            <w:r>
              <w:rPr>
                <w:rFonts w:ascii="Arial Narrow" w:hAnsi="Arial Narrow" w:cs="Arial"/>
                <w:bCs/>
              </w:rPr>
              <w:t>señalcolombia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(Niños – cine, documentales, ficción -deportes)</w:t>
            </w:r>
          </w:p>
          <w:p w:rsidR="00695C70" w:rsidRDefault="009F4E66" w:rsidP="0021132E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 w:rsidRPr="00695C70">
              <w:rPr>
                <w:rFonts w:ascii="Arial Narrow" w:hAnsi="Arial Narrow" w:cs="Arial"/>
                <w:bCs/>
              </w:rPr>
              <w:t xml:space="preserve"> </w:t>
            </w:r>
            <w:r w:rsidR="005E7BC7" w:rsidRPr="00695C70">
              <w:rPr>
                <w:rFonts w:ascii="Arial Narrow" w:hAnsi="Arial Narrow" w:cs="Arial"/>
                <w:bCs/>
              </w:rPr>
              <w:t xml:space="preserve">En la implementación del </w:t>
            </w:r>
            <w:proofErr w:type="spellStart"/>
            <w:r w:rsidR="005E7BC7" w:rsidRPr="00695C70">
              <w:rPr>
                <w:rFonts w:ascii="Arial Narrow" w:hAnsi="Arial Narrow" w:cs="Arial"/>
                <w:bCs/>
              </w:rPr>
              <w:t>brief</w:t>
            </w:r>
            <w:proofErr w:type="spellEnd"/>
            <w:r w:rsidR="005E7BC7" w:rsidRPr="00695C70">
              <w:rPr>
                <w:rFonts w:ascii="Arial Narrow" w:hAnsi="Arial Narrow" w:cs="Arial"/>
                <w:bCs/>
              </w:rPr>
              <w:t xml:space="preserve"> de comunicación existen oportunidades de mejora, por lo tanto, está en periodo de prueba, no eliminar sino, buscarle agilidad.</w:t>
            </w:r>
            <w:r w:rsidR="00695C70" w:rsidRPr="00695C70">
              <w:rPr>
                <w:rFonts w:ascii="Arial Narrow" w:hAnsi="Arial Narrow" w:cs="Arial"/>
                <w:bCs/>
              </w:rPr>
              <w:t xml:space="preserve"> Por el momento, se mantiene el </w:t>
            </w:r>
            <w:proofErr w:type="spellStart"/>
            <w:r w:rsidR="00695C70" w:rsidRPr="00695C70">
              <w:rPr>
                <w:rFonts w:ascii="Arial Narrow" w:hAnsi="Arial Narrow" w:cs="Arial"/>
                <w:bCs/>
              </w:rPr>
              <w:t>brief</w:t>
            </w:r>
            <w:proofErr w:type="spellEnd"/>
            <w:r w:rsidR="00695C70" w:rsidRPr="00695C70">
              <w:rPr>
                <w:rFonts w:ascii="Arial Narrow" w:hAnsi="Arial Narrow" w:cs="Arial"/>
                <w:bCs/>
              </w:rPr>
              <w:t xml:space="preserve"> </w:t>
            </w:r>
            <w:r w:rsidR="00695C70">
              <w:rPr>
                <w:rFonts w:ascii="Arial Narrow" w:hAnsi="Arial Narrow" w:cs="Arial"/>
                <w:bCs/>
              </w:rPr>
              <w:t>entre</w:t>
            </w:r>
            <w:r w:rsidR="00A73CB4" w:rsidRPr="00695C70">
              <w:rPr>
                <w:rFonts w:ascii="Arial Narrow" w:hAnsi="Arial Narrow" w:cs="Arial"/>
                <w:bCs/>
              </w:rPr>
              <w:t xml:space="preserve"> </w:t>
            </w:r>
            <w:r w:rsidR="00695C70">
              <w:rPr>
                <w:rFonts w:ascii="Arial Narrow" w:hAnsi="Arial Narrow" w:cs="Arial"/>
                <w:bCs/>
              </w:rPr>
              <w:t>l</w:t>
            </w:r>
            <w:r w:rsidR="00A73CB4" w:rsidRPr="00695C70">
              <w:rPr>
                <w:rFonts w:ascii="Arial Narrow" w:hAnsi="Arial Narrow" w:cs="Arial"/>
                <w:bCs/>
              </w:rPr>
              <w:t>os integrantes del grupo</w:t>
            </w:r>
            <w:r w:rsidR="00695C70">
              <w:rPr>
                <w:rFonts w:ascii="Arial Narrow" w:hAnsi="Arial Narrow" w:cs="Arial"/>
                <w:bCs/>
              </w:rPr>
              <w:t xml:space="preserve"> para envío de información semanal.</w:t>
            </w:r>
            <w:r w:rsidR="00A73CB4" w:rsidRPr="00695C70">
              <w:rPr>
                <w:rFonts w:ascii="Arial Narrow" w:hAnsi="Arial Narrow" w:cs="Arial"/>
                <w:bCs/>
              </w:rPr>
              <w:t xml:space="preserve"> </w:t>
            </w:r>
          </w:p>
          <w:p w:rsidR="00A73CB4" w:rsidRPr="0090494B" w:rsidRDefault="00695C70" w:rsidP="0021132E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</w:t>
            </w:r>
            <w:r w:rsidR="00A73CB4" w:rsidRPr="0090494B">
              <w:rPr>
                <w:rFonts w:ascii="Arial Narrow" w:hAnsi="Arial Narrow" w:cs="Arial"/>
                <w:bCs/>
              </w:rPr>
              <w:t>La oficina de Divulgación y Prensa hará un envío semanal de información a medios.</w:t>
            </w:r>
          </w:p>
          <w:p w:rsidR="00A73CB4" w:rsidRPr="001F6B95" w:rsidRDefault="00A73CB4" w:rsidP="0021132E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El envío de la información se hará según perfil de periodistas y medios de comunicación</w:t>
            </w:r>
            <w:r w:rsidR="00695C70">
              <w:rPr>
                <w:rFonts w:ascii="Arial Narrow" w:hAnsi="Arial Narrow" w:cs="Arial"/>
                <w:bCs/>
              </w:rPr>
              <w:t>, según disponibilidad de información y pertinencia en tiempos</w:t>
            </w:r>
            <w:r>
              <w:rPr>
                <w:rFonts w:ascii="Arial Narrow" w:hAnsi="Arial Narrow" w:cs="Arial"/>
                <w:bCs/>
              </w:rPr>
              <w:t>.</w:t>
            </w:r>
          </w:p>
        </w:tc>
      </w:tr>
    </w:tbl>
    <w:p w:rsidR="00A73CB4" w:rsidRPr="00500F70" w:rsidRDefault="00A73CB4" w:rsidP="00A73CB4">
      <w:pPr>
        <w:rPr>
          <w:rFonts w:ascii="Arial Narrow" w:hAnsi="Arial Narrow"/>
        </w:rPr>
      </w:pPr>
    </w:p>
    <w:p w:rsidR="00A73CB4" w:rsidRPr="00500F70" w:rsidRDefault="00A73CB4" w:rsidP="00A73CB4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A73CB4" w:rsidRPr="00500F70" w:rsidTr="0021132E">
        <w:trPr>
          <w:trHeight w:val="768"/>
          <w:tblHeader/>
        </w:trPr>
        <w:tc>
          <w:tcPr>
            <w:tcW w:w="2552" w:type="dxa"/>
            <w:shd w:val="pct5" w:color="auto" w:fill="auto"/>
            <w:vAlign w:val="center"/>
          </w:tcPr>
          <w:p w:rsidR="00A73CB4" w:rsidRPr="00500F70" w:rsidRDefault="00A73CB4" w:rsidP="0021132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pct5" w:color="auto" w:fill="auto"/>
            <w:vAlign w:val="center"/>
          </w:tcPr>
          <w:p w:rsidR="00A73CB4" w:rsidRPr="00500F70" w:rsidRDefault="00A73CB4" w:rsidP="0021132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A73CB4" w:rsidRPr="00500F70" w:rsidRDefault="00A73CB4" w:rsidP="0021132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A73CB4" w:rsidRPr="00500F70" w:rsidTr="0021132E">
        <w:trPr>
          <w:trHeight w:val="341"/>
        </w:trPr>
        <w:tc>
          <w:tcPr>
            <w:tcW w:w="2552" w:type="dxa"/>
          </w:tcPr>
          <w:p w:rsidR="00A73CB4" w:rsidRPr="00500F70" w:rsidRDefault="00695C70" w:rsidP="0021132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Brief</w:t>
            </w:r>
            <w:proofErr w:type="spellEnd"/>
          </w:p>
        </w:tc>
        <w:tc>
          <w:tcPr>
            <w:tcW w:w="5103" w:type="dxa"/>
          </w:tcPr>
          <w:p w:rsidR="00A73CB4" w:rsidRPr="00500F70" w:rsidRDefault="00695C70" w:rsidP="0021132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A73CB4" w:rsidRPr="00500F70" w:rsidRDefault="00695C70" w:rsidP="0021132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Semanalmente</w:t>
            </w:r>
          </w:p>
        </w:tc>
      </w:tr>
      <w:tr w:rsidR="00A73CB4" w:rsidRPr="00500F70" w:rsidTr="0021132E">
        <w:trPr>
          <w:trHeight w:val="430"/>
        </w:trPr>
        <w:tc>
          <w:tcPr>
            <w:tcW w:w="2552" w:type="dxa"/>
          </w:tcPr>
          <w:p w:rsidR="00A73CB4" w:rsidRPr="00500F70" w:rsidRDefault="00695C70" w:rsidP="0021132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Base datos</w:t>
            </w:r>
          </w:p>
        </w:tc>
        <w:tc>
          <w:tcPr>
            <w:tcW w:w="5103" w:type="dxa"/>
          </w:tcPr>
          <w:p w:rsidR="00A73CB4" w:rsidRPr="00500F70" w:rsidRDefault="00695C70" w:rsidP="0021132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Oficina de divulgación y prensa</w:t>
            </w:r>
          </w:p>
        </w:tc>
        <w:tc>
          <w:tcPr>
            <w:tcW w:w="2268" w:type="dxa"/>
          </w:tcPr>
          <w:p w:rsidR="00A73CB4" w:rsidRPr="00500F70" w:rsidRDefault="00A73CB4" w:rsidP="0021132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Semanalmente</w:t>
            </w:r>
          </w:p>
        </w:tc>
      </w:tr>
      <w:tr w:rsidR="00A73CB4" w:rsidRPr="0090494B" w:rsidTr="0021132E">
        <w:trPr>
          <w:trHeight w:val="430"/>
        </w:trPr>
        <w:tc>
          <w:tcPr>
            <w:tcW w:w="2552" w:type="dxa"/>
          </w:tcPr>
          <w:p w:rsidR="00A73CB4" w:rsidRDefault="00695C70" w:rsidP="0021132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Envío información</w:t>
            </w:r>
          </w:p>
        </w:tc>
        <w:tc>
          <w:tcPr>
            <w:tcW w:w="5103" w:type="dxa"/>
          </w:tcPr>
          <w:p w:rsidR="00A73CB4" w:rsidRPr="00D95933" w:rsidRDefault="00A73CB4" w:rsidP="0021132E">
            <w:p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Integrantes Of. Divulgación y Prensa</w:t>
            </w:r>
          </w:p>
        </w:tc>
        <w:tc>
          <w:tcPr>
            <w:tcW w:w="2268" w:type="dxa"/>
          </w:tcPr>
          <w:p w:rsidR="00A73CB4" w:rsidRPr="0090494B" w:rsidRDefault="00A73CB4" w:rsidP="0021132E">
            <w:pPr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Semanalmente</w:t>
            </w:r>
            <w:proofErr w:type="spellEnd"/>
          </w:p>
        </w:tc>
      </w:tr>
    </w:tbl>
    <w:p w:rsidR="00A73CB4" w:rsidRPr="0090494B" w:rsidRDefault="00A73CB4" w:rsidP="00A73CB4">
      <w:pPr>
        <w:rPr>
          <w:rFonts w:ascii="Arial Narrow" w:hAnsi="Arial Narrow"/>
          <w:lang w:val="es-CO"/>
        </w:rPr>
      </w:pPr>
    </w:p>
    <w:p w:rsidR="00A73CB4" w:rsidRPr="0090494B" w:rsidRDefault="00A73CB4" w:rsidP="00A73CB4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A73CB4" w:rsidRPr="0090494B" w:rsidRDefault="00A73CB4" w:rsidP="00A73CB4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A73CB4" w:rsidRPr="00D95933" w:rsidRDefault="00A73CB4" w:rsidP="00A73CB4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D95933">
        <w:rPr>
          <w:rFonts w:ascii="Arial Narrow" w:hAnsi="Arial Narrow" w:cs="Arial"/>
          <w:sz w:val="22"/>
          <w:szCs w:val="22"/>
          <w:lang w:val="es-CO"/>
        </w:rPr>
        <w:t>_____________________________________</w:t>
      </w:r>
      <w:r w:rsidRPr="00D95933">
        <w:rPr>
          <w:rFonts w:ascii="Arial Narrow" w:hAnsi="Arial Narrow" w:cs="Arial"/>
          <w:sz w:val="22"/>
          <w:szCs w:val="22"/>
          <w:lang w:val="es-CO"/>
        </w:rPr>
        <w:tab/>
      </w:r>
      <w:r w:rsidRPr="00D95933">
        <w:rPr>
          <w:rFonts w:ascii="Arial Narrow" w:hAnsi="Arial Narrow" w:cs="Arial"/>
          <w:sz w:val="22"/>
          <w:szCs w:val="22"/>
          <w:lang w:val="es-CO"/>
        </w:rPr>
        <w:tab/>
        <w:t xml:space="preserve">   _____________________________________  </w:t>
      </w:r>
    </w:p>
    <w:p w:rsidR="00A73CB4" w:rsidRDefault="00A73CB4" w:rsidP="00A73CB4">
      <w:pPr>
        <w:ind w:left="-567"/>
        <w:jc w:val="both"/>
        <w:rPr>
          <w:rFonts w:ascii="Arial Narrow" w:hAnsi="Arial Narrow" w:cs="Arial"/>
          <w:b/>
        </w:rPr>
      </w:pPr>
      <w:r w:rsidRPr="00BC3C28">
        <w:rPr>
          <w:rFonts w:ascii="Arial Narrow" w:hAnsi="Arial Narrow" w:cs="Arial"/>
          <w:b/>
          <w:lang w:val="es-CO"/>
        </w:rPr>
        <w:t xml:space="preserve">                            </w:t>
      </w:r>
      <w:r>
        <w:rPr>
          <w:rFonts w:ascii="Arial Narrow" w:hAnsi="Arial Narrow" w:cs="Arial"/>
          <w:b/>
        </w:rPr>
        <w:t>MELISSA LÓPEZ NIETO</w:t>
      </w:r>
      <w:r w:rsidRPr="00500F70">
        <w:rPr>
          <w:rFonts w:ascii="Arial Narrow" w:hAnsi="Arial Narrow" w:cs="Arial"/>
          <w:b/>
        </w:rPr>
        <w:t xml:space="preserve">                 </w:t>
      </w:r>
      <w:r>
        <w:rPr>
          <w:rFonts w:ascii="Arial Narrow" w:hAnsi="Arial Narrow" w:cs="Arial"/>
          <w:b/>
        </w:rPr>
        <w:t xml:space="preserve">                                                      </w:t>
      </w:r>
      <w:r w:rsidRPr="00500F70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 xml:space="preserve"> EDER NICOLÁS ARAUJO</w:t>
      </w:r>
    </w:p>
    <w:p w:rsidR="00A73CB4" w:rsidRPr="00500F70" w:rsidRDefault="00A73CB4" w:rsidP="00A73CB4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Prof. De Divulgación y Prensa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Prof. De Comunicaciones</w:t>
      </w:r>
    </w:p>
    <w:p w:rsidR="00A73CB4" w:rsidRDefault="00A73CB4" w:rsidP="00A73CB4">
      <w:pPr>
        <w:jc w:val="center"/>
      </w:pPr>
    </w:p>
    <w:p w:rsidR="00A73CB4" w:rsidRDefault="00A73CB4" w:rsidP="00A73CB4"/>
    <w:p w:rsidR="00632A30" w:rsidRDefault="00F51854"/>
    <w:sectPr w:rsidR="00632A30" w:rsidSect="00B100E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68A4"/>
    <w:multiLevelType w:val="hybridMultilevel"/>
    <w:tmpl w:val="872C1664"/>
    <w:lvl w:ilvl="0" w:tplc="C0DE7A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D69CF"/>
    <w:multiLevelType w:val="hybridMultilevel"/>
    <w:tmpl w:val="07AA4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B5BB7"/>
    <w:multiLevelType w:val="hybridMultilevel"/>
    <w:tmpl w:val="7138D58E"/>
    <w:lvl w:ilvl="0" w:tplc="581ED7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B4"/>
    <w:rsid w:val="004A3639"/>
    <w:rsid w:val="005E7BC7"/>
    <w:rsid w:val="00695C70"/>
    <w:rsid w:val="007B4FB7"/>
    <w:rsid w:val="00890C8F"/>
    <w:rsid w:val="009F4E66"/>
    <w:rsid w:val="00A73CB4"/>
    <w:rsid w:val="00A75651"/>
    <w:rsid w:val="00B06D2D"/>
    <w:rsid w:val="00B071B4"/>
    <w:rsid w:val="00D605E2"/>
    <w:rsid w:val="00F5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73C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73CB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A73CB4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A73CB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73CB4"/>
    <w:pPr>
      <w:ind w:left="720"/>
      <w:contextualSpacing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605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73C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73CB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A73CB4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A73CB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73CB4"/>
    <w:pPr>
      <w:ind w:left="720"/>
      <w:contextualSpacing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60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2</cp:revision>
  <dcterms:created xsi:type="dcterms:W3CDTF">2012-03-15T13:27:00Z</dcterms:created>
  <dcterms:modified xsi:type="dcterms:W3CDTF">2012-03-15T15:17:00Z</dcterms:modified>
</cp:coreProperties>
</file>