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68" w:rsidRDefault="00E15968" w:rsidP="007445E2">
      <w:pPr>
        <w:spacing w:after="0" w:line="480" w:lineRule="auto"/>
        <w:jc w:val="center"/>
        <w:rPr>
          <w:rFonts w:ascii="Times New Roman" w:hAnsi="Times New Roman" w:cs="Times New Roman"/>
          <w:sz w:val="24"/>
          <w:szCs w:val="24"/>
        </w:rPr>
      </w:pPr>
      <w:bookmarkStart w:id="0" w:name="_GoBack"/>
      <w:bookmarkEnd w:id="0"/>
    </w:p>
    <w:p w:rsidR="007445E2" w:rsidRDefault="007445E2" w:rsidP="007445E2">
      <w:pPr>
        <w:spacing w:after="0" w:line="480" w:lineRule="auto"/>
        <w:jc w:val="center"/>
        <w:rPr>
          <w:rFonts w:ascii="Times New Roman" w:hAnsi="Times New Roman" w:cs="Times New Roman"/>
          <w:sz w:val="24"/>
          <w:szCs w:val="24"/>
        </w:rPr>
      </w:pPr>
    </w:p>
    <w:p w:rsidR="007445E2" w:rsidRDefault="007445E2" w:rsidP="007445E2">
      <w:pPr>
        <w:spacing w:after="0" w:line="480" w:lineRule="auto"/>
        <w:jc w:val="center"/>
        <w:rPr>
          <w:rFonts w:ascii="Times New Roman" w:hAnsi="Times New Roman" w:cs="Times New Roman"/>
          <w:sz w:val="24"/>
          <w:szCs w:val="24"/>
        </w:rPr>
      </w:pPr>
    </w:p>
    <w:p w:rsidR="007445E2" w:rsidRDefault="007445E2" w:rsidP="007445E2">
      <w:pPr>
        <w:spacing w:after="0" w:line="480" w:lineRule="auto"/>
        <w:rPr>
          <w:rFonts w:ascii="Times New Roman" w:hAnsi="Times New Roman" w:cs="Times New Roman"/>
          <w:sz w:val="24"/>
          <w:szCs w:val="24"/>
        </w:rPr>
      </w:pPr>
    </w:p>
    <w:p w:rsidR="007445E2" w:rsidRPr="007445E2" w:rsidRDefault="007445E2" w:rsidP="007445E2">
      <w:pPr>
        <w:spacing w:after="0" w:line="480" w:lineRule="auto"/>
        <w:jc w:val="center"/>
        <w:rPr>
          <w:rFonts w:ascii="Times New Roman" w:hAnsi="Times New Roman" w:cs="Times New Roman"/>
          <w:sz w:val="40"/>
          <w:szCs w:val="24"/>
        </w:rPr>
      </w:pPr>
      <w:r w:rsidRPr="007445E2">
        <w:rPr>
          <w:rFonts w:ascii="Times New Roman" w:hAnsi="Times New Roman" w:cs="Times New Roman"/>
          <w:sz w:val="40"/>
          <w:szCs w:val="24"/>
        </w:rPr>
        <w:t>Programming a Nation:</w:t>
      </w:r>
    </w:p>
    <w:p w:rsidR="007445E2" w:rsidRDefault="007445E2" w:rsidP="007445E2">
      <w:pPr>
        <w:spacing w:after="0" w:line="480" w:lineRule="auto"/>
        <w:jc w:val="center"/>
        <w:rPr>
          <w:rFonts w:ascii="Times New Roman" w:hAnsi="Times New Roman" w:cs="Times New Roman"/>
          <w:sz w:val="28"/>
          <w:szCs w:val="24"/>
        </w:rPr>
      </w:pPr>
      <w:r w:rsidRPr="007445E2">
        <w:rPr>
          <w:rFonts w:ascii="Times New Roman" w:hAnsi="Times New Roman" w:cs="Times New Roman"/>
          <w:sz w:val="28"/>
          <w:szCs w:val="24"/>
        </w:rPr>
        <w:t>How hate propaganda restructured the mind of its audience</w:t>
      </w:r>
    </w:p>
    <w:p w:rsidR="007445E2" w:rsidRDefault="007445E2" w:rsidP="007445E2">
      <w:pPr>
        <w:spacing w:after="0" w:line="480" w:lineRule="auto"/>
        <w:jc w:val="center"/>
        <w:rPr>
          <w:rFonts w:ascii="Times New Roman" w:hAnsi="Times New Roman" w:cs="Times New Roman"/>
          <w:sz w:val="28"/>
          <w:szCs w:val="24"/>
        </w:rPr>
      </w:pPr>
    </w:p>
    <w:p w:rsidR="007445E2" w:rsidRPr="00B2471D" w:rsidRDefault="007445E2" w:rsidP="007445E2">
      <w:pPr>
        <w:spacing w:after="0" w:line="480" w:lineRule="auto"/>
        <w:jc w:val="center"/>
        <w:rPr>
          <w:rFonts w:ascii="Times New Roman" w:hAnsi="Times New Roman" w:cs="Times New Roman"/>
          <w:sz w:val="24"/>
          <w:szCs w:val="24"/>
        </w:rPr>
      </w:pPr>
    </w:p>
    <w:p w:rsidR="007445E2" w:rsidRPr="00B2471D" w:rsidRDefault="007445E2" w:rsidP="007445E2">
      <w:pPr>
        <w:spacing w:after="0" w:line="480" w:lineRule="auto"/>
        <w:jc w:val="center"/>
        <w:rPr>
          <w:rFonts w:ascii="Times New Roman" w:hAnsi="Times New Roman" w:cs="Times New Roman"/>
          <w:sz w:val="24"/>
          <w:szCs w:val="24"/>
        </w:rPr>
      </w:pPr>
    </w:p>
    <w:p w:rsidR="007445E2" w:rsidRPr="00B2471D" w:rsidRDefault="007445E2" w:rsidP="007445E2">
      <w:pPr>
        <w:spacing w:after="0" w:line="480" w:lineRule="auto"/>
        <w:jc w:val="center"/>
        <w:rPr>
          <w:rFonts w:ascii="Times New Roman" w:hAnsi="Times New Roman" w:cs="Times New Roman"/>
          <w:sz w:val="24"/>
          <w:szCs w:val="24"/>
        </w:rPr>
      </w:pPr>
      <w:r w:rsidRPr="00B2471D">
        <w:rPr>
          <w:rFonts w:ascii="Times New Roman" w:hAnsi="Times New Roman" w:cs="Times New Roman"/>
          <w:sz w:val="24"/>
          <w:szCs w:val="24"/>
        </w:rPr>
        <w:t>Phillip Hoffmann</w:t>
      </w:r>
    </w:p>
    <w:p w:rsidR="00E33BBF" w:rsidRDefault="00E33BBF" w:rsidP="007445E2">
      <w:pPr>
        <w:spacing w:after="0" w:line="480" w:lineRule="auto"/>
        <w:jc w:val="center"/>
        <w:rPr>
          <w:rFonts w:ascii="Times New Roman" w:hAnsi="Times New Roman" w:cs="Times New Roman"/>
          <w:sz w:val="24"/>
          <w:szCs w:val="24"/>
        </w:rPr>
      </w:pPr>
    </w:p>
    <w:p w:rsidR="00E33BBF" w:rsidRDefault="00E33BBF" w:rsidP="007445E2">
      <w:pPr>
        <w:spacing w:after="0" w:line="480" w:lineRule="auto"/>
        <w:jc w:val="center"/>
        <w:rPr>
          <w:rFonts w:ascii="Times New Roman" w:hAnsi="Times New Roman" w:cs="Times New Roman"/>
          <w:sz w:val="24"/>
          <w:szCs w:val="24"/>
        </w:rPr>
      </w:pPr>
    </w:p>
    <w:p w:rsidR="007445E2" w:rsidRDefault="007445E2" w:rsidP="007445E2">
      <w:pPr>
        <w:spacing w:after="0" w:line="480" w:lineRule="auto"/>
        <w:jc w:val="center"/>
        <w:rPr>
          <w:rFonts w:ascii="Times New Roman" w:hAnsi="Times New Roman" w:cs="Times New Roman"/>
          <w:sz w:val="24"/>
          <w:szCs w:val="24"/>
        </w:rPr>
      </w:pPr>
      <w:r w:rsidRPr="00B2471D">
        <w:rPr>
          <w:rFonts w:ascii="Times New Roman" w:hAnsi="Times New Roman" w:cs="Times New Roman"/>
          <w:sz w:val="24"/>
          <w:szCs w:val="24"/>
        </w:rPr>
        <w:t xml:space="preserve">Honors 112: </w:t>
      </w:r>
      <w:r w:rsidR="00B2471D" w:rsidRPr="00B2471D">
        <w:rPr>
          <w:rFonts w:ascii="Times New Roman" w:hAnsi="Times New Roman" w:cs="Times New Roman"/>
          <w:sz w:val="24"/>
          <w:szCs w:val="24"/>
        </w:rPr>
        <w:t>The Religion, Conflict, and Peace in African Context</w:t>
      </w:r>
    </w:p>
    <w:p w:rsidR="00E33BBF" w:rsidRDefault="00E33BBF" w:rsidP="007445E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Dr. Darius </w:t>
      </w:r>
      <w:proofErr w:type="spellStart"/>
      <w:r>
        <w:rPr>
          <w:rFonts w:ascii="Times New Roman" w:hAnsi="Times New Roman" w:cs="Times New Roman"/>
          <w:sz w:val="24"/>
          <w:szCs w:val="24"/>
        </w:rPr>
        <w:t>Makuja</w:t>
      </w:r>
      <w:proofErr w:type="spellEnd"/>
    </w:p>
    <w:p w:rsidR="00B2471D" w:rsidRDefault="00E33BBF" w:rsidP="00B247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December 4</w:t>
      </w:r>
      <w:r w:rsidR="00B2471D">
        <w:rPr>
          <w:rFonts w:ascii="Times New Roman" w:hAnsi="Times New Roman" w:cs="Times New Roman"/>
          <w:sz w:val="24"/>
          <w:szCs w:val="24"/>
        </w:rPr>
        <w:t>, 2017</w:t>
      </w:r>
    </w:p>
    <w:p w:rsidR="00B2471D" w:rsidRDefault="00B2471D">
      <w:pPr>
        <w:rPr>
          <w:rFonts w:ascii="Times New Roman" w:hAnsi="Times New Roman" w:cs="Times New Roman"/>
          <w:sz w:val="24"/>
          <w:szCs w:val="24"/>
        </w:rPr>
      </w:pPr>
      <w:r>
        <w:rPr>
          <w:rFonts w:ascii="Times New Roman" w:hAnsi="Times New Roman" w:cs="Times New Roman"/>
          <w:sz w:val="24"/>
          <w:szCs w:val="24"/>
        </w:rPr>
        <w:br w:type="page"/>
      </w:r>
    </w:p>
    <w:p w:rsidR="0099405F" w:rsidRDefault="009F5A4C" w:rsidP="00E33BBF">
      <w:pPr>
        <w:pStyle w:val="Heading1"/>
        <w:spacing w:before="0"/>
        <w:rPr>
          <w:color w:val="auto"/>
        </w:rPr>
      </w:pPr>
      <w:r w:rsidRPr="00E33BBF">
        <w:rPr>
          <w:color w:val="auto"/>
        </w:rPr>
        <w:lastRenderedPageBreak/>
        <w:t>Introduction</w:t>
      </w:r>
      <w:r w:rsidR="00B2471D" w:rsidRPr="00E33BBF">
        <w:rPr>
          <w:color w:val="auto"/>
        </w:rPr>
        <w:tab/>
      </w:r>
    </w:p>
    <w:p w:rsidR="00E33BBF" w:rsidRPr="00E33BBF" w:rsidRDefault="00E33BBF" w:rsidP="00E33BBF"/>
    <w:p w:rsidR="009F5A4C" w:rsidRDefault="00B2471D" w:rsidP="009F5A4C">
      <w:pPr>
        <w:spacing w:after="0" w:line="480" w:lineRule="auto"/>
        <w:ind w:firstLine="720"/>
        <w:rPr>
          <w:rFonts w:ascii="Times New Roman" w:hAnsi="Times New Roman" w:cs="Times New Roman"/>
          <w:b/>
          <w:sz w:val="24"/>
          <w:szCs w:val="24"/>
          <w:u w:val="single"/>
        </w:rPr>
      </w:pPr>
      <w:r>
        <w:rPr>
          <w:rFonts w:ascii="Times New Roman" w:hAnsi="Times New Roman" w:cs="Times New Roman"/>
          <w:sz w:val="24"/>
          <w:szCs w:val="24"/>
        </w:rPr>
        <w:t xml:space="preserve">The Rwandan genocide </w:t>
      </w:r>
      <w:r w:rsidR="0018058D">
        <w:rPr>
          <w:rFonts w:ascii="Times New Roman" w:hAnsi="Times New Roman" w:cs="Times New Roman"/>
          <w:sz w:val="24"/>
          <w:szCs w:val="24"/>
        </w:rPr>
        <w:t xml:space="preserve">in April of </w:t>
      </w:r>
      <w:r>
        <w:rPr>
          <w:rFonts w:ascii="Times New Roman" w:hAnsi="Times New Roman" w:cs="Times New Roman"/>
          <w:sz w:val="24"/>
          <w:szCs w:val="24"/>
        </w:rPr>
        <w:t xml:space="preserve">1994 that resulted in the deaths of hundreds of thousands of civilians did not happen by chance. It was a systematic, organized effort by the </w:t>
      </w:r>
      <w:r w:rsidR="0018058D">
        <w:rPr>
          <w:rFonts w:ascii="Times New Roman" w:hAnsi="Times New Roman" w:cs="Times New Roman"/>
          <w:sz w:val="24"/>
          <w:szCs w:val="24"/>
        </w:rPr>
        <w:t xml:space="preserve">Hutu controlled government to exterminate the Tutsi population in Rwanda. The Hutus and Tutsis were the two main African ethnic groups that resided in Rwanda since before the colonial era, with Hutus being the majority of the population. Notably, the genocide did not come to an end until the Rwandan Patriotic Front (RPF), a rebel Tutsi group, took control of the </w:t>
      </w:r>
      <w:r w:rsidR="000C33E0">
        <w:rPr>
          <w:rFonts w:ascii="Times New Roman" w:hAnsi="Times New Roman" w:cs="Times New Roman"/>
          <w:sz w:val="24"/>
          <w:szCs w:val="24"/>
        </w:rPr>
        <w:t>government in July, which raises the question of how the genocide was carried out with little to no resistance from everyday civilians. The answer comes in the hate propaganda that spread the message of genocide to Hutu homes all around Rwanda. This paper will discuss how hate propaganda was so effective in encouraging civilian participation in the genocide by analyzing what strategies and forms of media were used to reach the Hutu population of Rwanda. It will also examine steps that could have been taken to prevent such prop</w:t>
      </w:r>
      <w:r w:rsidR="00141262">
        <w:rPr>
          <w:rFonts w:ascii="Times New Roman" w:hAnsi="Times New Roman" w:cs="Times New Roman"/>
          <w:sz w:val="24"/>
          <w:szCs w:val="24"/>
        </w:rPr>
        <w:t>aganda from being as effective and utilize a comparison to the nationalist propaganda in Serbia during the 1990s to gain a better understanding of propaganda in the greater context of the world.</w:t>
      </w:r>
    </w:p>
    <w:p w:rsidR="00E33BBF" w:rsidRDefault="00E33BBF" w:rsidP="00E33BBF">
      <w:pPr>
        <w:pStyle w:val="Heading1"/>
        <w:spacing w:before="0"/>
        <w:rPr>
          <w:color w:val="auto"/>
        </w:rPr>
      </w:pPr>
    </w:p>
    <w:p w:rsidR="009F5A4C" w:rsidRDefault="009F5A4C" w:rsidP="00E33BBF">
      <w:pPr>
        <w:pStyle w:val="Heading1"/>
        <w:spacing w:before="0"/>
        <w:rPr>
          <w:color w:val="auto"/>
        </w:rPr>
      </w:pPr>
      <w:r w:rsidRPr="00E33BBF">
        <w:rPr>
          <w:color w:val="auto"/>
        </w:rPr>
        <w:t>General Definition</w:t>
      </w:r>
      <w:r w:rsidR="00E33BBF" w:rsidRPr="00E33BBF">
        <w:rPr>
          <w:color w:val="auto"/>
        </w:rPr>
        <w:t xml:space="preserve"> of Propaganda</w:t>
      </w:r>
    </w:p>
    <w:p w:rsidR="00E33BBF" w:rsidRPr="00E33BBF" w:rsidRDefault="00E33BBF" w:rsidP="00E33BBF"/>
    <w:p w:rsidR="00D8703D" w:rsidRDefault="004B3095" w:rsidP="009F5A4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Before analyzing hate propaganda in the specific case of Rwanda, one must first consider the idea of propaganda as a whole, along with what that term really entails.</w:t>
      </w:r>
      <w:r w:rsidR="005B5BE4">
        <w:rPr>
          <w:rFonts w:ascii="Times New Roman" w:hAnsi="Times New Roman" w:cs="Times New Roman"/>
          <w:sz w:val="24"/>
          <w:szCs w:val="24"/>
        </w:rPr>
        <w:t xml:space="preserve"> According to the “Propaganda” chapter in the </w:t>
      </w:r>
      <w:r w:rsidR="005B5BE4">
        <w:rPr>
          <w:rFonts w:ascii="Times New Roman" w:hAnsi="Times New Roman" w:cs="Times New Roman"/>
          <w:i/>
          <w:sz w:val="24"/>
          <w:szCs w:val="24"/>
        </w:rPr>
        <w:t xml:space="preserve">Encyclopedia of Genocide and Crimes </w:t>
      </w:r>
      <w:proofErr w:type="gramStart"/>
      <w:r w:rsidR="005B5BE4">
        <w:rPr>
          <w:rFonts w:ascii="Times New Roman" w:hAnsi="Times New Roman" w:cs="Times New Roman"/>
          <w:i/>
          <w:sz w:val="24"/>
          <w:szCs w:val="24"/>
        </w:rPr>
        <w:t>Against</w:t>
      </w:r>
      <w:proofErr w:type="gramEnd"/>
      <w:r w:rsidR="005B5BE4">
        <w:rPr>
          <w:rFonts w:ascii="Times New Roman" w:hAnsi="Times New Roman" w:cs="Times New Roman"/>
          <w:i/>
          <w:sz w:val="24"/>
          <w:szCs w:val="24"/>
        </w:rPr>
        <w:t xml:space="preserve"> Humanity </w:t>
      </w:r>
      <w:r w:rsidR="005B5BE4">
        <w:rPr>
          <w:rFonts w:ascii="Times New Roman" w:hAnsi="Times New Roman" w:cs="Times New Roman"/>
          <w:sz w:val="24"/>
          <w:szCs w:val="24"/>
        </w:rPr>
        <w:t xml:space="preserve">states that “hate propaganda is the public promotion or incitement of hatred against people and identifiable </w:t>
      </w:r>
      <w:r w:rsidR="005B5BE4">
        <w:rPr>
          <w:rFonts w:ascii="Times New Roman" w:hAnsi="Times New Roman" w:cs="Times New Roman"/>
          <w:sz w:val="24"/>
          <w:szCs w:val="24"/>
        </w:rPr>
        <w:lastRenderedPageBreak/>
        <w:t>groups and that is likely to result in harm to those targeted.”</w:t>
      </w:r>
      <w:r w:rsidR="005B5BE4">
        <w:rPr>
          <w:rStyle w:val="FootnoteReference"/>
          <w:rFonts w:ascii="Times New Roman" w:hAnsi="Times New Roman" w:cs="Times New Roman"/>
          <w:sz w:val="24"/>
          <w:szCs w:val="24"/>
        </w:rPr>
        <w:footnoteReference w:id="1"/>
      </w:r>
      <w:r w:rsidR="005B5BE4">
        <w:rPr>
          <w:rFonts w:ascii="Times New Roman" w:hAnsi="Times New Roman" w:cs="Times New Roman"/>
          <w:sz w:val="24"/>
          <w:szCs w:val="24"/>
        </w:rPr>
        <w:t xml:space="preserve"> This definition has multiple important components. Firstly, hate propaganda is public. This means that it is widespread and not really hidden from the view of everyd</w:t>
      </w:r>
      <w:r w:rsidR="009F55E6">
        <w:rPr>
          <w:rFonts w:ascii="Times New Roman" w:hAnsi="Times New Roman" w:cs="Times New Roman"/>
          <w:sz w:val="24"/>
          <w:szCs w:val="24"/>
        </w:rPr>
        <w:t xml:space="preserve">ay people. Hate propaganda is meant to reach the entire nation as a whole and is not targeted at a small group of people privately. </w:t>
      </w:r>
    </w:p>
    <w:p w:rsidR="00D8703D" w:rsidRDefault="009F55E6" w:rsidP="00D870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Secondly, hate propaganda promotes or incites hatred. This means that it is not meant to just cause a dislike of another person or group of people. It is not like political ads that attempt to cast an individual in a negative light, but rather seeks to evoke a feeling of utter detestation and hatred towards a specific individual or group of people. Hate propaganda is able to do this by “</w:t>
      </w:r>
      <w:proofErr w:type="spellStart"/>
      <w:r>
        <w:rPr>
          <w:rFonts w:ascii="Times New Roman" w:hAnsi="Times New Roman" w:cs="Times New Roman"/>
          <w:sz w:val="24"/>
          <w:szCs w:val="24"/>
        </w:rPr>
        <w:t>dehumaniz</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the members of the targeted group. It degrades them and stigmatizes them, creating the necessary illusion that the identifiable group is the enemy.”</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By casting the targeted group as the enemy and less than hu</w:t>
      </w:r>
      <w:r w:rsidR="00D8703D">
        <w:rPr>
          <w:rFonts w:ascii="Times New Roman" w:hAnsi="Times New Roman" w:cs="Times New Roman"/>
          <w:sz w:val="24"/>
          <w:szCs w:val="24"/>
        </w:rPr>
        <w:t xml:space="preserve">man, hate propaganda is able to promote emotions of hatred that would normally not be cast towards fellow humans. This dehumanization and view of the group as the enemy provides a legitimization for that feeling of hatred, thus making it more effective in taking hold among the audience of the propaganda. </w:t>
      </w:r>
    </w:p>
    <w:p w:rsidR="000C33E0" w:rsidRDefault="00D8703D" w:rsidP="00D870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Thirdly, that hatred is aimed at identifiable groups. There is always a specific target of the hate propaganda rather than a vague theme or idea. This means that propaganda tends to stick to “simple and clear arguments and descriptions over complex ones,”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since they are most effective in singling out a specific group in society. If the audience of the propaganda is able to easily identify the target of their hatred, they </w:t>
      </w:r>
      <w:r w:rsidR="00BE71E8">
        <w:rPr>
          <w:rFonts w:ascii="Times New Roman" w:hAnsi="Times New Roman" w:cs="Times New Roman"/>
          <w:sz w:val="24"/>
          <w:szCs w:val="24"/>
        </w:rPr>
        <w:t xml:space="preserve">are more likely to truly internalize and channel that hatred promoted in the propaganda. If the audience is unsure or perhaps doesn’t know who or what group they are angry at, their hatred will fizzle out and the propaganda would be </w:t>
      </w:r>
      <w:r w:rsidR="00BE71E8">
        <w:rPr>
          <w:rFonts w:ascii="Times New Roman" w:hAnsi="Times New Roman" w:cs="Times New Roman"/>
          <w:sz w:val="24"/>
          <w:szCs w:val="24"/>
        </w:rPr>
        <w:lastRenderedPageBreak/>
        <w:t>ineffective. Thus it becomes extremely important that hate propaganda singles out a specific, easily identifiable group of people that the audience of the propaganda can direct their hatred towards.</w:t>
      </w:r>
    </w:p>
    <w:p w:rsidR="00835EBA" w:rsidRDefault="00BE71E8" w:rsidP="00D870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Finally, hate propaganda is likely to result in harm to the targeted group. It gives the audience a way to express their hatred through action against the specific group being singled out. Hate propaganda “legitimizes aggression by conveying the message that something has to be done regarding a targeted group,”</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meaning that hate propaganda not only promotes a distrust and hatred towards a certain group, but it can also provide reasoning behind why the audience should in fact follow through on their hatred. It can be used to “trivialize the importance of crimes committed against its targets, it confers a sense of social acceptability and even desirability upon those crimes,”</w:t>
      </w:r>
      <w:r>
        <w:rPr>
          <w:rStyle w:val="FootnoteReference"/>
          <w:rFonts w:ascii="Times New Roman" w:hAnsi="Times New Roman" w:cs="Times New Roman"/>
          <w:sz w:val="24"/>
          <w:szCs w:val="24"/>
        </w:rPr>
        <w:footnoteReference w:id="5"/>
      </w:r>
      <w:r w:rsidR="001741B6">
        <w:rPr>
          <w:rFonts w:ascii="Times New Roman" w:hAnsi="Times New Roman" w:cs="Times New Roman"/>
          <w:sz w:val="24"/>
          <w:szCs w:val="24"/>
        </w:rPr>
        <w:t xml:space="preserve"> meaning that hate propaganda can even create a social climate in which violence against the targeted group begins to be seen as acceptable and encouraged not only by the propagandists, but also by other individuals in the audience. This demonstrates the fact that “propagandist rhetoric…works to modify people’s normal and expected reaction, leading them to accept, rather than condemn, discriminatory behavior.”</w:t>
      </w:r>
      <w:r w:rsidR="001741B6">
        <w:rPr>
          <w:rStyle w:val="FootnoteReference"/>
          <w:rFonts w:ascii="Times New Roman" w:hAnsi="Times New Roman" w:cs="Times New Roman"/>
          <w:sz w:val="24"/>
          <w:szCs w:val="24"/>
        </w:rPr>
        <w:footnoteReference w:id="6"/>
      </w:r>
      <w:r w:rsidR="001741B6">
        <w:rPr>
          <w:rFonts w:ascii="Times New Roman" w:hAnsi="Times New Roman" w:cs="Times New Roman"/>
          <w:sz w:val="24"/>
          <w:szCs w:val="24"/>
        </w:rPr>
        <w:t xml:space="preserve"> It focuses on modifying the audience’s perception of what is right and wrong, which can lead to an acceptance of and even participation in violence against the group targeted by the hate propaganda. </w:t>
      </w:r>
    </w:p>
    <w:p w:rsidR="00BE71E8" w:rsidRDefault="00EA00D5" w:rsidP="00D870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It must be noted that hate propaganda does not necessarily lead to genocide, even if it can lead to harm against a group. This is made clear in the encyclopedia, where it states that “direct incitement to genocide is usually not enough, it generally needs to be based on a pre-established ideology, shared by an indoctrinated population.”</w:t>
      </w:r>
      <w:r>
        <w:rPr>
          <w:rStyle w:val="FootnoteReference"/>
          <w:rFonts w:ascii="Times New Roman" w:hAnsi="Times New Roman" w:cs="Times New Roman"/>
          <w:sz w:val="24"/>
          <w:szCs w:val="24"/>
        </w:rPr>
        <w:footnoteReference w:id="7"/>
      </w:r>
      <w:r w:rsidR="001741B6">
        <w:rPr>
          <w:rFonts w:ascii="Times New Roman" w:hAnsi="Times New Roman" w:cs="Times New Roman"/>
          <w:sz w:val="24"/>
          <w:szCs w:val="24"/>
        </w:rPr>
        <w:t xml:space="preserve"> </w:t>
      </w:r>
      <w:r>
        <w:rPr>
          <w:rFonts w:ascii="Times New Roman" w:hAnsi="Times New Roman" w:cs="Times New Roman"/>
          <w:sz w:val="24"/>
          <w:szCs w:val="24"/>
        </w:rPr>
        <w:t xml:space="preserve">Hate propaganda can incite genocide-level </w:t>
      </w:r>
      <w:r>
        <w:rPr>
          <w:rFonts w:ascii="Times New Roman" w:hAnsi="Times New Roman" w:cs="Times New Roman"/>
          <w:sz w:val="24"/>
          <w:szCs w:val="24"/>
        </w:rPr>
        <w:lastRenderedPageBreak/>
        <w:t xml:space="preserve">violence only when the message of hatred in the propaganda becomes intrinsic to what people believe and feel about the targeted group. Looking at Rwanda as an example, the genocide was only made possible because of the hate propaganda that came before it, which spread the anti-Tutsi message and increased tensions between the Hutu and Tutsi ethnic groups. </w:t>
      </w:r>
      <w:r w:rsidR="008A23B7">
        <w:rPr>
          <w:rFonts w:ascii="Times New Roman" w:hAnsi="Times New Roman" w:cs="Times New Roman"/>
          <w:sz w:val="24"/>
          <w:szCs w:val="24"/>
        </w:rPr>
        <w:t xml:space="preserve">Only when that message got internalized by the population was it possible for the propagandists to incite genocide levels of violence against Tutsis. This will be expanded upon later in the paper with the discussion of how exactly the hate propaganda in Rwanda encouraged that violence. </w:t>
      </w:r>
    </w:p>
    <w:p w:rsidR="008A23B7" w:rsidRDefault="008A23B7" w:rsidP="004C75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Considering the definition of hate propaganda discussed above, we have a guideline as to what aspects are most important and influential in the analysis of hate propaganda in the case of the Rwandan genocide.</w:t>
      </w:r>
      <w:r w:rsidR="004C7555">
        <w:rPr>
          <w:rFonts w:ascii="Times New Roman" w:hAnsi="Times New Roman" w:cs="Times New Roman"/>
          <w:sz w:val="24"/>
          <w:szCs w:val="24"/>
        </w:rPr>
        <w:t xml:space="preserve"> Traditional aspects of propaganda, such as the type of language and media that is used, also be discussed in this analysis. Keeping these general themes of hate propaganda in mind, we can now begin to examine the impact the impact that hate propaganda had in the specific case of the Rwandan genocide. This begins with a look at the origin of Hutu and Tutsi tensions, namely the Hamitic Theory, and how it became a key component of the hate propaganda leading up to the genocide.</w:t>
      </w:r>
    </w:p>
    <w:p w:rsidR="00E33BBF" w:rsidRDefault="00E33BBF" w:rsidP="00E33BBF">
      <w:pPr>
        <w:pStyle w:val="Heading1"/>
        <w:spacing w:before="0"/>
        <w:rPr>
          <w:color w:val="auto"/>
        </w:rPr>
      </w:pPr>
    </w:p>
    <w:p w:rsidR="009F5A4C" w:rsidRDefault="009F5A4C" w:rsidP="00E33BBF">
      <w:pPr>
        <w:pStyle w:val="Heading1"/>
        <w:spacing w:before="0"/>
        <w:rPr>
          <w:color w:val="auto"/>
        </w:rPr>
      </w:pPr>
      <w:r w:rsidRPr="00E33BBF">
        <w:rPr>
          <w:color w:val="auto"/>
        </w:rPr>
        <w:t>Historical Context</w:t>
      </w:r>
    </w:p>
    <w:p w:rsidR="00E33BBF" w:rsidRPr="00E33BBF" w:rsidRDefault="00E33BBF" w:rsidP="00E33BBF"/>
    <w:p w:rsidR="004C7555" w:rsidRDefault="00761D3E" w:rsidP="004C75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the colonial period of Rwanda, Europeans viewed the Tutsis as a superior race to the Hutus. This was in part due to the belief that Tutsis were of Hamitic or Semitic origin. </w:t>
      </w:r>
      <w:r w:rsidR="00811482">
        <w:rPr>
          <w:rFonts w:ascii="Times New Roman" w:hAnsi="Times New Roman" w:cs="Times New Roman"/>
          <w:sz w:val="24"/>
          <w:szCs w:val="24"/>
        </w:rPr>
        <w:t>There are multiple quotes and papers from individuals at the time, all with some version of the idea that “the Tutsi…came from a ‘primordial red race.’</w:t>
      </w:r>
      <w:r w:rsidR="0099405F">
        <w:rPr>
          <w:rFonts w:ascii="Times New Roman" w:hAnsi="Times New Roman" w:cs="Times New Roman"/>
          <w:sz w:val="24"/>
          <w:szCs w:val="24"/>
        </w:rPr>
        <w:t xml:space="preserve"> </w:t>
      </w:r>
      <w:proofErr w:type="gramStart"/>
      <w:r w:rsidR="0099405F">
        <w:rPr>
          <w:rFonts w:ascii="Times New Roman" w:hAnsi="Times New Roman" w:cs="Times New Roman"/>
          <w:sz w:val="24"/>
          <w:szCs w:val="24"/>
        </w:rPr>
        <w:t>They [Tutsis]</w:t>
      </w:r>
      <w:r w:rsidR="00811482">
        <w:rPr>
          <w:rFonts w:ascii="Times New Roman" w:hAnsi="Times New Roman" w:cs="Times New Roman"/>
          <w:sz w:val="24"/>
          <w:szCs w:val="24"/>
        </w:rPr>
        <w:t xml:space="preserve"> had ‘an absolutely distinct origin </w:t>
      </w:r>
      <w:r w:rsidR="00811482">
        <w:rPr>
          <w:rFonts w:ascii="Times New Roman" w:hAnsi="Times New Roman" w:cs="Times New Roman"/>
          <w:sz w:val="24"/>
          <w:szCs w:val="24"/>
        </w:rPr>
        <w:lastRenderedPageBreak/>
        <w:t>from the negroes,</w:t>
      </w:r>
      <w:r w:rsidR="00A66F78">
        <w:rPr>
          <w:rFonts w:ascii="Times New Roman" w:hAnsi="Times New Roman" w:cs="Times New Roman"/>
          <w:sz w:val="24"/>
          <w:szCs w:val="24"/>
        </w:rPr>
        <w:t>’</w:t>
      </w:r>
      <w:r w:rsidR="00811482">
        <w:rPr>
          <w:rFonts w:ascii="Times New Roman" w:hAnsi="Times New Roman" w:cs="Times New Roman"/>
          <w:sz w:val="24"/>
          <w:szCs w:val="24"/>
        </w:rPr>
        <w:t>” which were seen as “belonging to an absolutely inferior order.”</w:t>
      </w:r>
      <w:proofErr w:type="gramEnd"/>
      <w:r w:rsidR="00811482">
        <w:rPr>
          <w:rStyle w:val="FootnoteReference"/>
          <w:rFonts w:ascii="Times New Roman" w:hAnsi="Times New Roman" w:cs="Times New Roman"/>
          <w:sz w:val="24"/>
          <w:szCs w:val="24"/>
        </w:rPr>
        <w:footnoteReference w:id="8"/>
      </w:r>
      <w:r w:rsidR="00811482">
        <w:rPr>
          <w:rFonts w:ascii="Times New Roman" w:hAnsi="Times New Roman" w:cs="Times New Roman"/>
          <w:sz w:val="24"/>
          <w:szCs w:val="24"/>
        </w:rPr>
        <w:t xml:space="preserve"> The Hutu people were seen as inferior to the Tutsis simply because of the belief that Tutsis had some origin outside of Rwanda. German accounts of this idea indicated that “the tall </w:t>
      </w:r>
      <w:proofErr w:type="spellStart"/>
      <w:r w:rsidR="00811482">
        <w:rPr>
          <w:rFonts w:ascii="Times New Roman" w:hAnsi="Times New Roman" w:cs="Times New Roman"/>
          <w:sz w:val="24"/>
          <w:szCs w:val="24"/>
        </w:rPr>
        <w:t>Batutsi</w:t>
      </w:r>
      <w:proofErr w:type="spellEnd"/>
      <w:r w:rsidR="00811482">
        <w:rPr>
          <w:rFonts w:ascii="Times New Roman" w:hAnsi="Times New Roman" w:cs="Times New Roman"/>
          <w:sz w:val="24"/>
          <w:szCs w:val="24"/>
        </w:rPr>
        <w:t xml:space="preserve"> monarchs were supposed to have descended from invaders who came from Ethiopia, or the Middle East, and to have set up relations of dominance over the indigenous (Bantu) </w:t>
      </w:r>
      <w:proofErr w:type="spellStart"/>
      <w:r w:rsidR="00811482">
        <w:rPr>
          <w:rFonts w:ascii="Times New Roman" w:hAnsi="Times New Roman" w:cs="Times New Roman"/>
          <w:sz w:val="24"/>
          <w:szCs w:val="24"/>
        </w:rPr>
        <w:t>Bahutu</w:t>
      </w:r>
      <w:proofErr w:type="spellEnd"/>
      <w:r w:rsidR="00811482">
        <w:rPr>
          <w:rFonts w:ascii="Times New Roman" w:hAnsi="Times New Roman" w:cs="Times New Roman"/>
          <w:sz w:val="24"/>
          <w:szCs w:val="24"/>
        </w:rPr>
        <w:t xml:space="preserve"> farmers and the </w:t>
      </w:r>
      <w:proofErr w:type="spellStart"/>
      <w:r w:rsidR="00811482">
        <w:rPr>
          <w:rFonts w:ascii="Times New Roman" w:hAnsi="Times New Roman" w:cs="Times New Roman"/>
          <w:sz w:val="24"/>
          <w:szCs w:val="24"/>
        </w:rPr>
        <w:t>Batwa</w:t>
      </w:r>
      <w:proofErr w:type="spellEnd"/>
      <w:r w:rsidR="00811482">
        <w:rPr>
          <w:rFonts w:ascii="Times New Roman" w:hAnsi="Times New Roman" w:cs="Times New Roman"/>
          <w:sz w:val="24"/>
          <w:szCs w:val="24"/>
        </w:rPr>
        <w:t xml:space="preserve"> hunter-gatherers.”</w:t>
      </w:r>
      <w:r w:rsidR="00811482">
        <w:rPr>
          <w:rStyle w:val="FootnoteReference"/>
          <w:rFonts w:ascii="Times New Roman" w:hAnsi="Times New Roman" w:cs="Times New Roman"/>
          <w:sz w:val="24"/>
          <w:szCs w:val="24"/>
        </w:rPr>
        <w:footnoteReference w:id="9"/>
      </w:r>
      <w:r w:rsidR="00A66F78">
        <w:rPr>
          <w:rFonts w:ascii="Times New Roman" w:hAnsi="Times New Roman" w:cs="Times New Roman"/>
          <w:sz w:val="24"/>
          <w:szCs w:val="24"/>
        </w:rPr>
        <w:t xml:space="preserve"> For the Europeans, this was a justification for seeing Tutsis as superior to Hutus. There were multiple forms of these sorts of origin theories, but all have the common theme of claiming that because Tutsis had their origin outside of Rwanda, they were therefore superior to the Hutus and deserved to rule over them. This difference is made clear when comparing descriptions of Hutus and Tutsis during the colonial period. </w:t>
      </w:r>
      <w:r w:rsidR="00106759">
        <w:rPr>
          <w:rFonts w:ascii="Times New Roman" w:hAnsi="Times New Roman" w:cs="Times New Roman"/>
          <w:sz w:val="24"/>
          <w:szCs w:val="24"/>
        </w:rPr>
        <w:t>Tutsis were described as having features that are “very fine: a high brow, thin nose and fine lips framing beautiful shining teeth,”</w:t>
      </w:r>
      <w:r w:rsidR="00106759">
        <w:rPr>
          <w:rStyle w:val="FootnoteReference"/>
          <w:rFonts w:ascii="Times New Roman" w:hAnsi="Times New Roman" w:cs="Times New Roman"/>
          <w:sz w:val="24"/>
          <w:szCs w:val="24"/>
        </w:rPr>
        <w:footnoteReference w:id="10"/>
      </w:r>
      <w:r w:rsidR="00106759">
        <w:rPr>
          <w:rFonts w:ascii="Times New Roman" w:hAnsi="Times New Roman" w:cs="Times New Roman"/>
          <w:sz w:val="24"/>
          <w:szCs w:val="24"/>
        </w:rPr>
        <w:t xml:space="preserve"> whereas Hutus were described as being “generally short and thick set with a big head, a jovial expression, a wide nose and enormous lips.”</w:t>
      </w:r>
      <w:r w:rsidR="00106759">
        <w:rPr>
          <w:rStyle w:val="FootnoteReference"/>
          <w:rFonts w:ascii="Times New Roman" w:hAnsi="Times New Roman" w:cs="Times New Roman"/>
          <w:sz w:val="24"/>
          <w:szCs w:val="24"/>
        </w:rPr>
        <w:footnoteReference w:id="11"/>
      </w:r>
      <w:r w:rsidR="00106759">
        <w:rPr>
          <w:rFonts w:ascii="Times New Roman" w:hAnsi="Times New Roman" w:cs="Times New Roman"/>
          <w:sz w:val="24"/>
          <w:szCs w:val="24"/>
        </w:rPr>
        <w:t xml:space="preserve"> Clearly, the Tutsis were superior to the Hutus in the eyes of the Europeans.</w:t>
      </w:r>
    </w:p>
    <w:p w:rsidR="00106759" w:rsidRDefault="00106759" w:rsidP="004C75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might be expected from this situation, tensions between the Hutu and Tutsi ethnic groups started to develop. This Hamitic Theory put into action </w:t>
      </w:r>
      <w:r w:rsidR="0000495C">
        <w:rPr>
          <w:rFonts w:ascii="Times New Roman" w:hAnsi="Times New Roman" w:cs="Times New Roman"/>
          <w:sz w:val="24"/>
          <w:szCs w:val="24"/>
        </w:rPr>
        <w:t xml:space="preserve">by the European colonizers </w:t>
      </w:r>
      <w:r>
        <w:rPr>
          <w:rFonts w:ascii="Times New Roman" w:hAnsi="Times New Roman" w:cs="Times New Roman"/>
          <w:sz w:val="24"/>
          <w:szCs w:val="24"/>
        </w:rPr>
        <w:t>led to “inflating the Tutsi cultural ego inordinately and crushing Hutu feelings until the coalesced into an aggressively resentful inferiority complex.”</w:t>
      </w:r>
      <w:r>
        <w:rPr>
          <w:rStyle w:val="FootnoteReference"/>
          <w:rFonts w:ascii="Times New Roman" w:hAnsi="Times New Roman" w:cs="Times New Roman"/>
          <w:sz w:val="24"/>
          <w:szCs w:val="24"/>
        </w:rPr>
        <w:footnoteReference w:id="12"/>
      </w:r>
      <w:r w:rsidR="0000495C">
        <w:rPr>
          <w:rFonts w:ascii="Times New Roman" w:hAnsi="Times New Roman" w:cs="Times New Roman"/>
          <w:sz w:val="24"/>
          <w:szCs w:val="24"/>
        </w:rPr>
        <w:t xml:space="preserve"> Resentment against Tutsis had developed among the Hutus, which was demonstrated in the </w:t>
      </w:r>
      <w:proofErr w:type="spellStart"/>
      <w:r w:rsidR="0000495C">
        <w:rPr>
          <w:rFonts w:ascii="Times New Roman" w:hAnsi="Times New Roman" w:cs="Times New Roman"/>
          <w:sz w:val="24"/>
          <w:szCs w:val="24"/>
        </w:rPr>
        <w:t>Bahutu</w:t>
      </w:r>
      <w:proofErr w:type="spellEnd"/>
      <w:r w:rsidR="0000495C">
        <w:rPr>
          <w:rFonts w:ascii="Times New Roman" w:hAnsi="Times New Roman" w:cs="Times New Roman"/>
          <w:sz w:val="24"/>
          <w:szCs w:val="24"/>
        </w:rPr>
        <w:t xml:space="preserve"> Manifesto in the years leading up to Rwandan independence in 1962. This manifesto of February 1957 “expressed the Hutu elite’s </w:t>
      </w:r>
      <w:r w:rsidR="0000495C">
        <w:rPr>
          <w:rFonts w:ascii="Times New Roman" w:hAnsi="Times New Roman" w:cs="Times New Roman"/>
          <w:sz w:val="24"/>
          <w:szCs w:val="24"/>
        </w:rPr>
        <w:lastRenderedPageBreak/>
        <w:t xml:space="preserve">desire to end Tutsi dominance once and for all.” </w:t>
      </w:r>
      <w:r w:rsidR="0000495C">
        <w:rPr>
          <w:rStyle w:val="FootnoteReference"/>
          <w:rFonts w:ascii="Times New Roman" w:hAnsi="Times New Roman" w:cs="Times New Roman"/>
          <w:sz w:val="24"/>
          <w:szCs w:val="24"/>
        </w:rPr>
        <w:footnoteReference w:id="13"/>
      </w:r>
      <w:r w:rsidR="0000495C">
        <w:rPr>
          <w:rFonts w:ascii="Times New Roman" w:hAnsi="Times New Roman" w:cs="Times New Roman"/>
          <w:sz w:val="24"/>
          <w:szCs w:val="24"/>
        </w:rPr>
        <w:t xml:space="preserve"> It demonstrates determination on the side of the Hutu, who gained power in the government following independence, to ensure that Tutsis never ruled over them again. These were the beginnings of the ideas that eventually led to genocide in 1994. It is important to keep these historical events and ideas in mind when discussing hate propaganda during the genocide. Especially using the Hamitic Theory and the </w:t>
      </w:r>
      <w:proofErr w:type="spellStart"/>
      <w:r w:rsidR="0000495C">
        <w:rPr>
          <w:rFonts w:ascii="Times New Roman" w:hAnsi="Times New Roman" w:cs="Times New Roman"/>
          <w:sz w:val="24"/>
          <w:szCs w:val="24"/>
        </w:rPr>
        <w:t>Bahutu</w:t>
      </w:r>
      <w:proofErr w:type="spellEnd"/>
      <w:r w:rsidR="0000495C">
        <w:rPr>
          <w:rFonts w:ascii="Times New Roman" w:hAnsi="Times New Roman" w:cs="Times New Roman"/>
          <w:sz w:val="24"/>
          <w:szCs w:val="24"/>
        </w:rPr>
        <w:t xml:space="preserve"> Manifesto, hate propaganda utilized these p</w:t>
      </w:r>
      <w:r w:rsidR="0099405F">
        <w:rPr>
          <w:rFonts w:ascii="Times New Roman" w:hAnsi="Times New Roman" w:cs="Times New Roman"/>
          <w:sz w:val="24"/>
          <w:szCs w:val="24"/>
        </w:rPr>
        <w:t xml:space="preserve">ast ideas in order </w:t>
      </w:r>
      <w:r w:rsidR="0000495C">
        <w:rPr>
          <w:rFonts w:ascii="Times New Roman" w:hAnsi="Times New Roman" w:cs="Times New Roman"/>
          <w:sz w:val="24"/>
          <w:szCs w:val="24"/>
        </w:rPr>
        <w:t xml:space="preserve">to </w:t>
      </w:r>
      <w:r w:rsidR="0099405F">
        <w:rPr>
          <w:rFonts w:ascii="Times New Roman" w:hAnsi="Times New Roman" w:cs="Times New Roman"/>
          <w:sz w:val="24"/>
          <w:szCs w:val="24"/>
        </w:rPr>
        <w:t>provide justification for and persuade civilians to join the genocide against Tutsis in 1994.</w:t>
      </w:r>
    </w:p>
    <w:p w:rsidR="00E33BBF" w:rsidRDefault="00AA0CED" w:rsidP="00E33BB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should also be briefly acknowledged is the situation in Rwanda during the years leading up to the genocide, mainly focusing on the invasion of the Rwandan Patriotic Front (RPF). To understand the RPF, we must go back to the Hutu rebellions of 1959 and 1962. </w:t>
      </w:r>
      <w:r w:rsidR="00C24D0B">
        <w:rPr>
          <w:rFonts w:ascii="Times New Roman" w:hAnsi="Times New Roman" w:cs="Times New Roman"/>
          <w:sz w:val="24"/>
          <w:szCs w:val="24"/>
        </w:rPr>
        <w:t xml:space="preserve">As many as 200,000 people, largely Tutsi, fled to Uganda in an attempt to escape violence against them when they were overthrown from power by the Hutus. </w:t>
      </w:r>
      <w:r w:rsidR="00C24D0B">
        <w:rPr>
          <w:rStyle w:val="FootnoteReference"/>
          <w:rFonts w:ascii="Times New Roman" w:hAnsi="Times New Roman" w:cs="Times New Roman"/>
          <w:sz w:val="24"/>
          <w:szCs w:val="24"/>
        </w:rPr>
        <w:footnoteReference w:id="14"/>
      </w:r>
      <w:r w:rsidR="00C24D0B">
        <w:rPr>
          <w:rFonts w:ascii="Times New Roman" w:hAnsi="Times New Roman" w:cs="Times New Roman"/>
          <w:sz w:val="24"/>
          <w:szCs w:val="24"/>
        </w:rPr>
        <w:t xml:space="preserve"> These Rwandan Tutsis regrouped in the late 1980s to form the RPF and invaded Rwanda from Uganda in an effort to gain some control back of their home country of Rwanda. As will be seen later, this was part of the justification for viewing all Tutsis as the enemy. In fact, almost immediately the invasion became a political tool for the president at the time, President </w:t>
      </w:r>
      <w:proofErr w:type="spellStart"/>
      <w:r w:rsidR="00C24D0B">
        <w:rPr>
          <w:rFonts w:ascii="Times New Roman" w:hAnsi="Times New Roman" w:cs="Times New Roman"/>
          <w:sz w:val="24"/>
          <w:szCs w:val="24"/>
        </w:rPr>
        <w:t>Habyarimana</w:t>
      </w:r>
      <w:proofErr w:type="spellEnd"/>
      <w:r w:rsidR="00C24D0B">
        <w:rPr>
          <w:rFonts w:ascii="Times New Roman" w:hAnsi="Times New Roman" w:cs="Times New Roman"/>
          <w:sz w:val="24"/>
          <w:szCs w:val="24"/>
        </w:rPr>
        <w:t>. He along with others in the governments “saw the chance to stop the erosion of their popularity and to try and craft a new Hutu solidarity by turning against the Tutsi minority inside the country, labelling them traitors and accusing them of supporting the RPF attacks.”</w:t>
      </w:r>
      <w:r w:rsidR="00C24D0B">
        <w:rPr>
          <w:rStyle w:val="FootnoteReference"/>
          <w:rFonts w:ascii="Times New Roman" w:hAnsi="Times New Roman" w:cs="Times New Roman"/>
          <w:sz w:val="24"/>
          <w:szCs w:val="24"/>
        </w:rPr>
        <w:footnoteReference w:id="15"/>
      </w:r>
      <w:r w:rsidR="00E93984">
        <w:rPr>
          <w:rFonts w:ascii="Times New Roman" w:hAnsi="Times New Roman" w:cs="Times New Roman"/>
          <w:sz w:val="24"/>
          <w:szCs w:val="24"/>
        </w:rPr>
        <w:t xml:space="preserve"> This shows the connection between the government and the hate propaganda that begins with </w:t>
      </w:r>
      <w:proofErr w:type="spellStart"/>
      <w:r w:rsidR="00E93984">
        <w:rPr>
          <w:rFonts w:ascii="Times New Roman" w:hAnsi="Times New Roman" w:cs="Times New Roman"/>
          <w:i/>
          <w:sz w:val="24"/>
          <w:szCs w:val="24"/>
        </w:rPr>
        <w:t>Kangura</w:t>
      </w:r>
      <w:proofErr w:type="spellEnd"/>
      <w:r w:rsidR="00E93984">
        <w:rPr>
          <w:rFonts w:ascii="Times New Roman" w:hAnsi="Times New Roman" w:cs="Times New Roman"/>
          <w:i/>
          <w:sz w:val="24"/>
          <w:szCs w:val="24"/>
        </w:rPr>
        <w:t xml:space="preserve">. </w:t>
      </w:r>
      <w:r w:rsidR="00E93984">
        <w:rPr>
          <w:rFonts w:ascii="Times New Roman" w:hAnsi="Times New Roman" w:cs="Times New Roman"/>
          <w:sz w:val="24"/>
          <w:szCs w:val="24"/>
        </w:rPr>
        <w:t>It was never just a private group hoping to eliminate</w:t>
      </w:r>
      <w:r w:rsidR="000176E6">
        <w:rPr>
          <w:rFonts w:ascii="Times New Roman" w:hAnsi="Times New Roman" w:cs="Times New Roman"/>
          <w:sz w:val="24"/>
          <w:szCs w:val="24"/>
        </w:rPr>
        <w:t xml:space="preserve"> the Tutsis: it was an effort undertaken by the entire Hutu Power government </w:t>
      </w:r>
      <w:r w:rsidR="000176E6">
        <w:rPr>
          <w:rFonts w:ascii="Times New Roman" w:hAnsi="Times New Roman" w:cs="Times New Roman"/>
          <w:sz w:val="24"/>
          <w:szCs w:val="24"/>
        </w:rPr>
        <w:lastRenderedPageBreak/>
        <w:t>during the 1990s. With this general understanding of the historical context relevant to the genocide in term of the hate propaganda surrounding it, we can now more directly examine the various forms of media utilized by the propagandists to incite the population to genocide.</w:t>
      </w:r>
    </w:p>
    <w:p w:rsidR="00E33BBF" w:rsidRPr="00E33BBF" w:rsidRDefault="00E33BBF" w:rsidP="00E33BBF">
      <w:pPr>
        <w:spacing w:after="0" w:line="480" w:lineRule="auto"/>
        <w:ind w:firstLine="720"/>
        <w:rPr>
          <w:rFonts w:ascii="Times New Roman" w:hAnsi="Times New Roman" w:cs="Times New Roman"/>
          <w:sz w:val="24"/>
          <w:szCs w:val="24"/>
        </w:rPr>
      </w:pPr>
    </w:p>
    <w:p w:rsidR="00E33BBF" w:rsidRDefault="0001592A" w:rsidP="00E33BBF">
      <w:pPr>
        <w:pStyle w:val="Heading1"/>
        <w:spacing w:before="0"/>
        <w:rPr>
          <w:color w:val="auto"/>
        </w:rPr>
      </w:pPr>
      <w:proofErr w:type="spellStart"/>
      <w:r w:rsidRPr="00E33BBF">
        <w:rPr>
          <w:color w:val="auto"/>
        </w:rPr>
        <w:t>Kangura</w:t>
      </w:r>
      <w:proofErr w:type="spellEnd"/>
    </w:p>
    <w:p w:rsidR="00E33BBF" w:rsidRPr="00E33BBF" w:rsidRDefault="00E33BBF" w:rsidP="00E33BBF"/>
    <w:p w:rsidR="0099405F" w:rsidRDefault="006410CD" w:rsidP="004C75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propaganda method utilized by the Hutu government was print media. The bimonthly newspaper </w:t>
      </w:r>
      <w:proofErr w:type="spellStart"/>
      <w:r>
        <w:rPr>
          <w:rFonts w:ascii="Times New Roman" w:hAnsi="Times New Roman" w:cs="Times New Roman"/>
          <w:i/>
          <w:sz w:val="24"/>
          <w:szCs w:val="24"/>
        </w:rPr>
        <w:t>Kangura</w:t>
      </w:r>
      <w:proofErr w:type="spellEnd"/>
      <w:r>
        <w:rPr>
          <w:rFonts w:ascii="Times New Roman" w:hAnsi="Times New Roman" w:cs="Times New Roman"/>
          <w:sz w:val="24"/>
          <w:szCs w:val="24"/>
        </w:rPr>
        <w:t xml:space="preserve"> </w:t>
      </w:r>
      <w:r w:rsidR="00580C36">
        <w:rPr>
          <w:rFonts w:ascii="Times New Roman" w:hAnsi="Times New Roman" w:cs="Times New Roman"/>
          <w:sz w:val="24"/>
          <w:szCs w:val="24"/>
        </w:rPr>
        <w:t>established in May 1990 “was well known for its hysterical hatred of Tutsi and any Hutu who expressed a desire for change.”</w:t>
      </w:r>
      <w:r w:rsidR="00580C36">
        <w:rPr>
          <w:rStyle w:val="FootnoteReference"/>
          <w:rFonts w:ascii="Times New Roman" w:hAnsi="Times New Roman" w:cs="Times New Roman"/>
          <w:sz w:val="24"/>
          <w:szCs w:val="24"/>
        </w:rPr>
        <w:footnoteReference w:id="16"/>
      </w:r>
      <w:r w:rsidR="00580C36">
        <w:rPr>
          <w:rFonts w:ascii="Times New Roman" w:hAnsi="Times New Roman" w:cs="Times New Roman"/>
          <w:sz w:val="24"/>
          <w:szCs w:val="24"/>
        </w:rPr>
        <w:t xml:space="preserve"> Headed by Mr. Hassan </w:t>
      </w:r>
      <w:proofErr w:type="spellStart"/>
      <w:r w:rsidR="00580C36">
        <w:rPr>
          <w:rFonts w:ascii="Times New Roman" w:hAnsi="Times New Roman" w:cs="Times New Roman"/>
          <w:sz w:val="24"/>
          <w:szCs w:val="24"/>
        </w:rPr>
        <w:t>Ngeze</w:t>
      </w:r>
      <w:proofErr w:type="spellEnd"/>
      <w:r w:rsidR="00794EE3">
        <w:rPr>
          <w:rFonts w:ascii="Times New Roman" w:hAnsi="Times New Roman" w:cs="Times New Roman"/>
          <w:sz w:val="24"/>
          <w:szCs w:val="24"/>
        </w:rPr>
        <w:t xml:space="preserve">, </w:t>
      </w:r>
      <w:proofErr w:type="spellStart"/>
      <w:r w:rsidR="00794EE3">
        <w:rPr>
          <w:rFonts w:ascii="Times New Roman" w:hAnsi="Times New Roman" w:cs="Times New Roman"/>
          <w:i/>
          <w:sz w:val="24"/>
          <w:szCs w:val="24"/>
        </w:rPr>
        <w:t>Kangura’s</w:t>
      </w:r>
      <w:proofErr w:type="spellEnd"/>
      <w:r w:rsidR="00794EE3">
        <w:rPr>
          <w:rFonts w:ascii="Times New Roman" w:hAnsi="Times New Roman" w:cs="Times New Roman"/>
          <w:i/>
          <w:sz w:val="24"/>
          <w:szCs w:val="24"/>
        </w:rPr>
        <w:t xml:space="preserve"> </w:t>
      </w:r>
      <w:r w:rsidR="00794EE3">
        <w:rPr>
          <w:rFonts w:ascii="Times New Roman" w:hAnsi="Times New Roman" w:cs="Times New Roman"/>
          <w:sz w:val="24"/>
          <w:szCs w:val="24"/>
        </w:rPr>
        <w:t xml:space="preserve">purpose was to begin getting the Hutu population into the mindset that the </w:t>
      </w:r>
      <w:proofErr w:type="spellStart"/>
      <w:r w:rsidR="00794EE3">
        <w:rPr>
          <w:rFonts w:ascii="Times New Roman" w:hAnsi="Times New Roman" w:cs="Times New Roman"/>
          <w:sz w:val="24"/>
          <w:szCs w:val="24"/>
        </w:rPr>
        <w:t>Tutsie</w:t>
      </w:r>
      <w:proofErr w:type="spellEnd"/>
      <w:r w:rsidR="00794EE3">
        <w:rPr>
          <w:rFonts w:ascii="Times New Roman" w:hAnsi="Times New Roman" w:cs="Times New Roman"/>
          <w:sz w:val="24"/>
          <w:szCs w:val="24"/>
        </w:rPr>
        <w:t xml:space="preserve"> “were first and foremost an enemy and that [the Hutus] should break all ties with them, whether those links derived from marriage, business or professional relations.”</w:t>
      </w:r>
      <w:r w:rsidR="00794EE3">
        <w:rPr>
          <w:rStyle w:val="FootnoteReference"/>
          <w:rFonts w:ascii="Times New Roman" w:hAnsi="Times New Roman" w:cs="Times New Roman"/>
          <w:sz w:val="24"/>
          <w:szCs w:val="24"/>
        </w:rPr>
        <w:footnoteReference w:id="17"/>
      </w:r>
      <w:r w:rsidR="00794EE3">
        <w:rPr>
          <w:rFonts w:ascii="Times New Roman" w:hAnsi="Times New Roman" w:cs="Times New Roman"/>
          <w:sz w:val="24"/>
          <w:szCs w:val="24"/>
        </w:rPr>
        <w:t xml:space="preserve"> This newspaper was really the concrete beginning of the hate propaganda that started before and lasted through the genocide. As will be seen, a common theme throughout all these propaganda methods is that the Tutsi are portrayed as the scapegoat. Multiple articles were published in </w:t>
      </w:r>
      <w:proofErr w:type="spellStart"/>
      <w:r w:rsidR="00794EE3">
        <w:rPr>
          <w:rFonts w:ascii="Times New Roman" w:hAnsi="Times New Roman" w:cs="Times New Roman"/>
          <w:i/>
          <w:sz w:val="24"/>
          <w:szCs w:val="24"/>
        </w:rPr>
        <w:t>Kangura</w:t>
      </w:r>
      <w:proofErr w:type="spellEnd"/>
      <w:r w:rsidR="00794EE3">
        <w:rPr>
          <w:rFonts w:ascii="Times New Roman" w:hAnsi="Times New Roman" w:cs="Times New Roman"/>
          <w:i/>
          <w:sz w:val="24"/>
          <w:szCs w:val="24"/>
        </w:rPr>
        <w:t xml:space="preserve"> </w:t>
      </w:r>
      <w:r w:rsidR="00794EE3">
        <w:rPr>
          <w:rFonts w:ascii="Times New Roman" w:hAnsi="Times New Roman" w:cs="Times New Roman"/>
          <w:sz w:val="24"/>
          <w:szCs w:val="24"/>
        </w:rPr>
        <w:t>from 1990 to 1994 that painted Tutsis as “those who took everything, who are everywhere, who control the business sector, who govern despite appearances, who constitute the majority of the school system, …in the church and within all spheres that symbolize progress.”</w:t>
      </w:r>
      <w:r w:rsidR="00794EE3">
        <w:rPr>
          <w:rStyle w:val="FootnoteReference"/>
          <w:rFonts w:ascii="Times New Roman" w:hAnsi="Times New Roman" w:cs="Times New Roman"/>
          <w:sz w:val="24"/>
          <w:szCs w:val="24"/>
        </w:rPr>
        <w:footnoteReference w:id="18"/>
      </w:r>
      <w:r w:rsidR="00794EE3">
        <w:rPr>
          <w:rFonts w:ascii="Times New Roman" w:hAnsi="Times New Roman" w:cs="Times New Roman"/>
          <w:sz w:val="24"/>
          <w:szCs w:val="24"/>
        </w:rPr>
        <w:t xml:space="preserve"> The Hutus that read the </w:t>
      </w:r>
      <w:proofErr w:type="spellStart"/>
      <w:r w:rsidR="00794EE3">
        <w:rPr>
          <w:rFonts w:ascii="Times New Roman" w:hAnsi="Times New Roman" w:cs="Times New Roman"/>
          <w:i/>
          <w:sz w:val="24"/>
          <w:szCs w:val="24"/>
        </w:rPr>
        <w:t>Kangura</w:t>
      </w:r>
      <w:proofErr w:type="spellEnd"/>
      <w:r w:rsidR="00794EE3">
        <w:rPr>
          <w:rFonts w:ascii="Times New Roman" w:hAnsi="Times New Roman" w:cs="Times New Roman"/>
          <w:i/>
          <w:sz w:val="24"/>
          <w:szCs w:val="24"/>
        </w:rPr>
        <w:t xml:space="preserve"> </w:t>
      </w:r>
      <w:r w:rsidR="0001592A">
        <w:rPr>
          <w:rFonts w:ascii="Times New Roman" w:hAnsi="Times New Roman" w:cs="Times New Roman"/>
          <w:sz w:val="24"/>
          <w:szCs w:val="24"/>
        </w:rPr>
        <w:t xml:space="preserve">started to view the Tutsis with in a negative light due to </w:t>
      </w:r>
      <w:proofErr w:type="spellStart"/>
      <w:r w:rsidR="0001592A">
        <w:rPr>
          <w:rFonts w:ascii="Times New Roman" w:hAnsi="Times New Roman" w:cs="Times New Roman"/>
          <w:i/>
          <w:sz w:val="24"/>
          <w:szCs w:val="24"/>
        </w:rPr>
        <w:t>Kangura</w:t>
      </w:r>
      <w:proofErr w:type="spellEnd"/>
      <w:r w:rsidR="0001592A">
        <w:rPr>
          <w:rFonts w:ascii="Times New Roman" w:hAnsi="Times New Roman" w:cs="Times New Roman"/>
          <w:i/>
          <w:sz w:val="24"/>
          <w:szCs w:val="24"/>
        </w:rPr>
        <w:t xml:space="preserve">, </w:t>
      </w:r>
      <w:r w:rsidR="0001592A">
        <w:rPr>
          <w:rFonts w:ascii="Times New Roman" w:hAnsi="Times New Roman" w:cs="Times New Roman"/>
          <w:sz w:val="24"/>
          <w:szCs w:val="24"/>
        </w:rPr>
        <w:t>since it gave them a specific group to blame hardships</w:t>
      </w:r>
      <w:r w:rsidR="00231A1D">
        <w:rPr>
          <w:rFonts w:ascii="Times New Roman" w:hAnsi="Times New Roman" w:cs="Times New Roman"/>
          <w:sz w:val="24"/>
          <w:szCs w:val="24"/>
        </w:rPr>
        <w:t xml:space="preserve"> on, such as increased poverty, less access to education, health care, and employment</w:t>
      </w:r>
      <w:r w:rsidR="00AA0CED">
        <w:rPr>
          <w:rFonts w:ascii="Times New Roman" w:hAnsi="Times New Roman" w:cs="Times New Roman"/>
          <w:sz w:val="24"/>
          <w:szCs w:val="24"/>
        </w:rPr>
        <w:t>.</w:t>
      </w:r>
      <w:r w:rsidR="00231A1D">
        <w:rPr>
          <w:rStyle w:val="FootnoteReference"/>
          <w:rFonts w:ascii="Times New Roman" w:hAnsi="Times New Roman" w:cs="Times New Roman"/>
          <w:sz w:val="24"/>
          <w:szCs w:val="24"/>
        </w:rPr>
        <w:footnoteReference w:id="19"/>
      </w:r>
      <w:r w:rsidR="0001592A">
        <w:rPr>
          <w:rFonts w:ascii="Times New Roman" w:hAnsi="Times New Roman" w:cs="Times New Roman"/>
          <w:sz w:val="24"/>
          <w:szCs w:val="24"/>
        </w:rPr>
        <w:t xml:space="preserve"> Already the first </w:t>
      </w:r>
      <w:r w:rsidR="0037106A">
        <w:rPr>
          <w:rFonts w:ascii="Times New Roman" w:hAnsi="Times New Roman" w:cs="Times New Roman"/>
          <w:sz w:val="24"/>
          <w:szCs w:val="24"/>
        </w:rPr>
        <w:t>three</w:t>
      </w:r>
      <w:r w:rsidR="0001592A">
        <w:rPr>
          <w:rFonts w:ascii="Times New Roman" w:hAnsi="Times New Roman" w:cs="Times New Roman"/>
          <w:sz w:val="24"/>
          <w:szCs w:val="24"/>
        </w:rPr>
        <w:t xml:space="preserve"> elements of hate propaganda are seen here, </w:t>
      </w:r>
      <w:r w:rsidR="0001592A">
        <w:rPr>
          <w:rFonts w:ascii="Times New Roman" w:hAnsi="Times New Roman" w:cs="Times New Roman"/>
          <w:sz w:val="24"/>
          <w:szCs w:val="24"/>
        </w:rPr>
        <w:lastRenderedPageBreak/>
        <w:t xml:space="preserve">since </w:t>
      </w:r>
      <w:proofErr w:type="spellStart"/>
      <w:r w:rsidR="0001592A">
        <w:rPr>
          <w:rFonts w:ascii="Times New Roman" w:hAnsi="Times New Roman" w:cs="Times New Roman"/>
          <w:i/>
          <w:sz w:val="24"/>
          <w:szCs w:val="24"/>
        </w:rPr>
        <w:t>Kangura</w:t>
      </w:r>
      <w:proofErr w:type="spellEnd"/>
      <w:r w:rsidR="0001592A">
        <w:rPr>
          <w:rFonts w:ascii="Times New Roman" w:hAnsi="Times New Roman" w:cs="Times New Roman"/>
          <w:i/>
          <w:sz w:val="24"/>
          <w:szCs w:val="24"/>
        </w:rPr>
        <w:t xml:space="preserve"> </w:t>
      </w:r>
      <w:r w:rsidR="0001592A">
        <w:rPr>
          <w:rFonts w:ascii="Times New Roman" w:hAnsi="Times New Roman" w:cs="Times New Roman"/>
          <w:sz w:val="24"/>
          <w:szCs w:val="24"/>
        </w:rPr>
        <w:t>was a public newspaper and targeted the hate and distrust specifically at the Tutsi ethnic group.</w:t>
      </w:r>
    </w:p>
    <w:p w:rsidR="0001592A" w:rsidRDefault="0001592A" w:rsidP="004C75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becomes important to examine exactly how </w:t>
      </w:r>
      <w:proofErr w:type="spellStart"/>
      <w:r>
        <w:rPr>
          <w:rFonts w:ascii="Times New Roman" w:hAnsi="Times New Roman" w:cs="Times New Roman"/>
          <w:i/>
          <w:sz w:val="24"/>
          <w:szCs w:val="24"/>
        </w:rPr>
        <w:t>Kangura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went about this process of painting the Tutsis as the scapegoat for Hutus. Knowing what the purpose and effect of the newspaper, while relevant, does not explain the how behind it all. Analyzing how it was done can therefore help in preventing further instances of this propaganda type from happening in the future. </w:t>
      </w:r>
      <w:proofErr w:type="spellStart"/>
      <w:r>
        <w:rPr>
          <w:rFonts w:ascii="Times New Roman" w:hAnsi="Times New Roman" w:cs="Times New Roman"/>
          <w:i/>
          <w:sz w:val="24"/>
          <w:szCs w:val="24"/>
        </w:rPr>
        <w:t>Kangura</w:t>
      </w:r>
      <w:proofErr w:type="spellEnd"/>
      <w:r>
        <w:rPr>
          <w:rFonts w:ascii="Times New Roman" w:hAnsi="Times New Roman" w:cs="Times New Roman"/>
          <w:i/>
          <w:sz w:val="24"/>
          <w:szCs w:val="24"/>
        </w:rPr>
        <w:t xml:space="preserve"> </w:t>
      </w:r>
      <w:r w:rsidR="00231A1D">
        <w:rPr>
          <w:rFonts w:ascii="Times New Roman" w:hAnsi="Times New Roman" w:cs="Times New Roman"/>
          <w:sz w:val="24"/>
          <w:szCs w:val="24"/>
        </w:rPr>
        <w:t xml:space="preserve">was very much focused on historical arguments that justified blaming Tutsis, most easily seen in the articles reminding readers of the </w:t>
      </w:r>
      <w:proofErr w:type="spellStart"/>
      <w:r w:rsidR="00231A1D">
        <w:rPr>
          <w:rFonts w:ascii="Times New Roman" w:hAnsi="Times New Roman" w:cs="Times New Roman"/>
          <w:sz w:val="24"/>
          <w:szCs w:val="24"/>
        </w:rPr>
        <w:t>Bahutu</w:t>
      </w:r>
      <w:proofErr w:type="spellEnd"/>
      <w:r w:rsidR="00231A1D">
        <w:rPr>
          <w:rFonts w:ascii="Times New Roman" w:hAnsi="Times New Roman" w:cs="Times New Roman"/>
          <w:sz w:val="24"/>
          <w:szCs w:val="24"/>
        </w:rPr>
        <w:t xml:space="preserve"> Manifesto of 1957 and the subsequent revolution. </w:t>
      </w:r>
      <w:r w:rsidR="00AA0CED">
        <w:rPr>
          <w:rFonts w:ascii="Times New Roman" w:hAnsi="Times New Roman" w:cs="Times New Roman"/>
          <w:sz w:val="24"/>
          <w:szCs w:val="24"/>
        </w:rPr>
        <w:t xml:space="preserve">In one issue, an article reads “The fact that the </w:t>
      </w:r>
      <w:proofErr w:type="spellStart"/>
      <w:r w:rsidR="00AA0CED">
        <w:rPr>
          <w:rFonts w:ascii="Times New Roman" w:hAnsi="Times New Roman" w:cs="Times New Roman"/>
          <w:sz w:val="24"/>
          <w:szCs w:val="24"/>
        </w:rPr>
        <w:t>Batutsi</w:t>
      </w:r>
      <w:proofErr w:type="spellEnd"/>
      <w:r w:rsidR="00AA0CED">
        <w:rPr>
          <w:rFonts w:ascii="Times New Roman" w:hAnsi="Times New Roman" w:cs="Times New Roman"/>
          <w:sz w:val="24"/>
          <w:szCs w:val="24"/>
        </w:rPr>
        <w:t xml:space="preserve"> (Tutsis) are fighting to restore monarchy should incite a number of </w:t>
      </w:r>
      <w:proofErr w:type="spellStart"/>
      <w:r w:rsidR="00AA0CED">
        <w:rPr>
          <w:rFonts w:ascii="Times New Roman" w:hAnsi="Times New Roman" w:cs="Times New Roman"/>
          <w:sz w:val="24"/>
          <w:szCs w:val="24"/>
        </w:rPr>
        <w:t>Bahutu</w:t>
      </w:r>
      <w:proofErr w:type="spellEnd"/>
      <w:r w:rsidR="00AA0CED">
        <w:rPr>
          <w:rFonts w:ascii="Times New Roman" w:hAnsi="Times New Roman" w:cs="Times New Roman"/>
          <w:sz w:val="24"/>
          <w:szCs w:val="24"/>
        </w:rPr>
        <w:t xml:space="preserve"> (Hutus) to fight for democracy, to remember the roots of the 1959 revolution.”</w:t>
      </w:r>
      <w:r w:rsidR="00AA0CED">
        <w:rPr>
          <w:rStyle w:val="FootnoteReference"/>
          <w:rFonts w:ascii="Times New Roman" w:hAnsi="Times New Roman" w:cs="Times New Roman"/>
          <w:sz w:val="24"/>
          <w:szCs w:val="24"/>
        </w:rPr>
        <w:footnoteReference w:id="20"/>
      </w:r>
      <w:r w:rsidR="00AA0CED">
        <w:rPr>
          <w:rFonts w:ascii="Times New Roman" w:hAnsi="Times New Roman" w:cs="Times New Roman"/>
          <w:sz w:val="24"/>
          <w:szCs w:val="24"/>
        </w:rPr>
        <w:t xml:space="preserve"> </w:t>
      </w:r>
      <w:r w:rsidR="000176E6">
        <w:rPr>
          <w:rFonts w:ascii="Times New Roman" w:hAnsi="Times New Roman" w:cs="Times New Roman"/>
          <w:sz w:val="24"/>
          <w:szCs w:val="24"/>
        </w:rPr>
        <w:t xml:space="preserve">In this way, </w:t>
      </w:r>
      <w:proofErr w:type="spellStart"/>
      <w:r w:rsidR="000176E6">
        <w:rPr>
          <w:rFonts w:ascii="Times New Roman" w:hAnsi="Times New Roman" w:cs="Times New Roman"/>
          <w:i/>
          <w:sz w:val="24"/>
          <w:szCs w:val="24"/>
        </w:rPr>
        <w:t>Kangura</w:t>
      </w:r>
      <w:proofErr w:type="spellEnd"/>
      <w:r w:rsidR="000176E6">
        <w:rPr>
          <w:rFonts w:ascii="Times New Roman" w:hAnsi="Times New Roman" w:cs="Times New Roman"/>
          <w:i/>
          <w:sz w:val="24"/>
          <w:szCs w:val="24"/>
        </w:rPr>
        <w:t xml:space="preserve"> </w:t>
      </w:r>
      <w:r w:rsidR="000176E6">
        <w:rPr>
          <w:rFonts w:ascii="Times New Roman" w:hAnsi="Times New Roman" w:cs="Times New Roman"/>
          <w:sz w:val="24"/>
          <w:szCs w:val="24"/>
        </w:rPr>
        <w:t xml:space="preserve">is reminding the Hutu population of a time in the past where they were at risk of becoming a monarchy again and had to fight for democracy, portraying the Tutsis as enemies of the freedom of democracy, looking only to reestablish the dominance of a monarchical system. According to </w:t>
      </w:r>
      <w:proofErr w:type="spellStart"/>
      <w:r w:rsidR="000176E6">
        <w:rPr>
          <w:rFonts w:ascii="Times New Roman" w:hAnsi="Times New Roman" w:cs="Times New Roman"/>
          <w:i/>
          <w:sz w:val="24"/>
          <w:szCs w:val="24"/>
        </w:rPr>
        <w:t>Kangura</w:t>
      </w:r>
      <w:proofErr w:type="spellEnd"/>
      <w:r w:rsidR="000176E6">
        <w:rPr>
          <w:rFonts w:ascii="Times New Roman" w:hAnsi="Times New Roman" w:cs="Times New Roman"/>
          <w:i/>
          <w:sz w:val="24"/>
          <w:szCs w:val="24"/>
        </w:rPr>
        <w:t>,</w:t>
      </w:r>
      <w:r w:rsidR="000176E6">
        <w:rPr>
          <w:rFonts w:ascii="Times New Roman" w:hAnsi="Times New Roman" w:cs="Times New Roman"/>
          <w:sz w:val="24"/>
          <w:szCs w:val="24"/>
        </w:rPr>
        <w:t xml:space="preserve"> the Tutsis are the enemy.</w:t>
      </w:r>
    </w:p>
    <w:p w:rsidR="00927EB3" w:rsidRDefault="000176E6" w:rsidP="0091248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Perhaps one of the most notable ways that </w:t>
      </w:r>
      <w:proofErr w:type="spellStart"/>
      <w:r>
        <w:rPr>
          <w:rFonts w:ascii="Times New Roman" w:hAnsi="Times New Roman" w:cs="Times New Roman"/>
          <w:i/>
          <w:sz w:val="24"/>
          <w:szCs w:val="24"/>
        </w:rPr>
        <w:t>Kangura</w:t>
      </w:r>
      <w:proofErr w:type="spellEnd"/>
      <w:r>
        <w:rPr>
          <w:rFonts w:ascii="Times New Roman" w:hAnsi="Times New Roman" w:cs="Times New Roman"/>
          <w:sz w:val="24"/>
          <w:szCs w:val="24"/>
        </w:rPr>
        <w:t xml:space="preserve"> spread hatred against the Tutsis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through the Hutu Ten Commandments</w:t>
      </w:r>
      <w:r w:rsidR="007743AA">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r w:rsidR="007743AA">
        <w:rPr>
          <w:rFonts w:ascii="Times New Roman" w:hAnsi="Times New Roman" w:cs="Times New Roman"/>
          <w:sz w:val="24"/>
          <w:szCs w:val="24"/>
        </w:rPr>
        <w:t xml:space="preserve"> </w:t>
      </w:r>
      <w:r w:rsidR="0037106A">
        <w:rPr>
          <w:rFonts w:ascii="Times New Roman" w:hAnsi="Times New Roman" w:cs="Times New Roman"/>
          <w:sz w:val="24"/>
          <w:szCs w:val="24"/>
        </w:rPr>
        <w:t xml:space="preserve">Bearing resemblance to the Ten Commandments given by God in the Old Testament of the Bible, this publishing was also meant to bring in the notion of religion into hating the Tutsis. The propagandists truly wanted their audience to believe and internalize the argument that Tutsis were inherently the enemy. This repeats the common theme that is seen through the other </w:t>
      </w:r>
      <w:proofErr w:type="spellStart"/>
      <w:r w:rsidR="0037106A">
        <w:rPr>
          <w:rFonts w:ascii="Times New Roman" w:hAnsi="Times New Roman" w:cs="Times New Roman"/>
          <w:i/>
          <w:sz w:val="24"/>
          <w:szCs w:val="24"/>
        </w:rPr>
        <w:t>Kangura</w:t>
      </w:r>
      <w:proofErr w:type="spellEnd"/>
      <w:r w:rsidR="0037106A">
        <w:rPr>
          <w:rFonts w:ascii="Times New Roman" w:hAnsi="Times New Roman" w:cs="Times New Roman"/>
          <w:i/>
          <w:sz w:val="24"/>
          <w:szCs w:val="24"/>
        </w:rPr>
        <w:t xml:space="preserve"> </w:t>
      </w:r>
      <w:r w:rsidR="0037106A">
        <w:rPr>
          <w:rFonts w:ascii="Times New Roman" w:hAnsi="Times New Roman" w:cs="Times New Roman"/>
          <w:sz w:val="24"/>
          <w:szCs w:val="24"/>
        </w:rPr>
        <w:t xml:space="preserve">articles discussed previously. However, the Hutu Ten Commandments also adds an extra element that is most clearly demonstrated in the tenth </w:t>
      </w:r>
      <w:r w:rsidR="0037106A">
        <w:rPr>
          <w:rFonts w:ascii="Times New Roman" w:hAnsi="Times New Roman" w:cs="Times New Roman"/>
          <w:sz w:val="24"/>
          <w:szCs w:val="24"/>
        </w:rPr>
        <w:lastRenderedPageBreak/>
        <w:t>commandment, which states “e</w:t>
      </w:r>
      <w:r w:rsidR="0037106A" w:rsidRPr="0037106A">
        <w:rPr>
          <w:rFonts w:ascii="Times New Roman" w:hAnsi="Times New Roman" w:cs="Times New Roman"/>
          <w:sz w:val="24"/>
          <w:szCs w:val="24"/>
        </w:rPr>
        <w:t xml:space="preserve">very Hutu must propagate the present ideology widely. Any </w:t>
      </w:r>
      <w:proofErr w:type="gramStart"/>
      <w:r w:rsidR="0037106A" w:rsidRPr="0037106A">
        <w:rPr>
          <w:rFonts w:ascii="Times New Roman" w:hAnsi="Times New Roman" w:cs="Times New Roman"/>
          <w:sz w:val="24"/>
          <w:szCs w:val="24"/>
        </w:rPr>
        <w:t>Hutu</w:t>
      </w:r>
      <w:proofErr w:type="gramEnd"/>
      <w:r w:rsidR="0037106A" w:rsidRPr="0037106A">
        <w:rPr>
          <w:rFonts w:ascii="Times New Roman" w:hAnsi="Times New Roman" w:cs="Times New Roman"/>
          <w:sz w:val="24"/>
          <w:szCs w:val="24"/>
        </w:rPr>
        <w:t xml:space="preserve"> who persecutes his brother for having read, disseminated and taught this ideology shall be deemed a traitor.</w:t>
      </w:r>
      <w:r w:rsidR="0037106A">
        <w:rPr>
          <w:rFonts w:ascii="Times New Roman" w:hAnsi="Times New Roman" w:cs="Times New Roman"/>
          <w:sz w:val="24"/>
          <w:szCs w:val="24"/>
        </w:rPr>
        <w:t>”</w:t>
      </w:r>
      <w:r w:rsidR="0037106A">
        <w:rPr>
          <w:rStyle w:val="FootnoteReference"/>
          <w:rFonts w:ascii="Times New Roman" w:hAnsi="Times New Roman" w:cs="Times New Roman"/>
          <w:sz w:val="24"/>
          <w:szCs w:val="24"/>
        </w:rPr>
        <w:footnoteReference w:id="22"/>
      </w:r>
      <w:r w:rsidR="0037106A">
        <w:rPr>
          <w:rFonts w:ascii="Times New Roman" w:hAnsi="Times New Roman" w:cs="Times New Roman"/>
          <w:sz w:val="24"/>
          <w:szCs w:val="24"/>
        </w:rPr>
        <w:t xml:space="preserve"> This says that not only should Hutus follow the other commandments and the Hutu ideology, but they should also spread it to others and not criticize those who subscribe to the ideology. Otherwise, they will be deemed traitors. </w:t>
      </w:r>
      <w:r w:rsidR="00B047C5">
        <w:rPr>
          <w:rFonts w:ascii="Times New Roman" w:hAnsi="Times New Roman" w:cs="Times New Roman"/>
          <w:sz w:val="24"/>
          <w:szCs w:val="24"/>
        </w:rPr>
        <w:t xml:space="preserve">References to Hutus being traitors if they do certain things is present throughout the rest of the Hutu Ten Commandments, which only solidifies the core strength of </w:t>
      </w:r>
      <w:proofErr w:type="spellStart"/>
      <w:r w:rsidR="00B047C5">
        <w:rPr>
          <w:rFonts w:ascii="Times New Roman" w:hAnsi="Times New Roman" w:cs="Times New Roman"/>
          <w:i/>
          <w:sz w:val="24"/>
          <w:szCs w:val="24"/>
        </w:rPr>
        <w:t>Kangura</w:t>
      </w:r>
      <w:proofErr w:type="spellEnd"/>
      <w:r w:rsidR="00B047C5">
        <w:rPr>
          <w:rFonts w:ascii="Times New Roman" w:hAnsi="Times New Roman" w:cs="Times New Roman"/>
          <w:i/>
          <w:sz w:val="24"/>
          <w:szCs w:val="24"/>
        </w:rPr>
        <w:t xml:space="preserve"> </w:t>
      </w:r>
      <w:r w:rsidR="00B047C5">
        <w:rPr>
          <w:rFonts w:ascii="Times New Roman" w:hAnsi="Times New Roman" w:cs="Times New Roman"/>
          <w:sz w:val="24"/>
          <w:szCs w:val="24"/>
        </w:rPr>
        <w:t xml:space="preserve">in creating an environment of hate. The newspaper encouraged their readers to spread the message further and view anyone against their cause as traitorous and part of the enemy. Essentially, </w:t>
      </w:r>
      <w:proofErr w:type="spellStart"/>
      <w:r w:rsidR="00B047C5">
        <w:rPr>
          <w:rFonts w:ascii="Times New Roman" w:hAnsi="Times New Roman" w:cs="Times New Roman"/>
          <w:i/>
          <w:sz w:val="24"/>
          <w:szCs w:val="24"/>
        </w:rPr>
        <w:t>Kangura</w:t>
      </w:r>
      <w:proofErr w:type="spellEnd"/>
      <w:r w:rsidR="00B047C5">
        <w:rPr>
          <w:rFonts w:ascii="Times New Roman" w:hAnsi="Times New Roman" w:cs="Times New Roman"/>
          <w:i/>
          <w:sz w:val="24"/>
          <w:szCs w:val="24"/>
        </w:rPr>
        <w:t xml:space="preserve"> </w:t>
      </w:r>
      <w:r w:rsidR="00B047C5">
        <w:rPr>
          <w:rFonts w:ascii="Times New Roman" w:hAnsi="Times New Roman" w:cs="Times New Roman"/>
          <w:sz w:val="24"/>
          <w:szCs w:val="24"/>
        </w:rPr>
        <w:t xml:space="preserve">turned everyday people into propagandists that would spread the same message of the Tutsi being the sworn enemy of the country. This created </w:t>
      </w:r>
      <w:proofErr w:type="spellStart"/>
      <w:proofErr w:type="gramStart"/>
      <w:r w:rsidR="00B047C5">
        <w:rPr>
          <w:rFonts w:ascii="Times New Roman" w:hAnsi="Times New Roman" w:cs="Times New Roman"/>
          <w:sz w:val="24"/>
          <w:szCs w:val="24"/>
        </w:rPr>
        <w:t>a</w:t>
      </w:r>
      <w:proofErr w:type="spellEnd"/>
      <w:proofErr w:type="gramEnd"/>
      <w:r w:rsidR="00B047C5">
        <w:rPr>
          <w:rFonts w:ascii="Times New Roman" w:hAnsi="Times New Roman" w:cs="Times New Roman"/>
          <w:sz w:val="24"/>
          <w:szCs w:val="24"/>
        </w:rPr>
        <w:t xml:space="preserve"> environment in Rwanda in which it was seen as treasonous to be against the government’s messages of hate that targeted the Tutsis. In this way, </w:t>
      </w:r>
      <w:proofErr w:type="spellStart"/>
      <w:r w:rsidR="00B047C5">
        <w:rPr>
          <w:rFonts w:ascii="Times New Roman" w:hAnsi="Times New Roman" w:cs="Times New Roman"/>
          <w:i/>
          <w:sz w:val="24"/>
          <w:szCs w:val="24"/>
        </w:rPr>
        <w:t>Kangura</w:t>
      </w:r>
      <w:proofErr w:type="spellEnd"/>
      <w:r w:rsidR="00B047C5">
        <w:rPr>
          <w:rFonts w:ascii="Times New Roman" w:hAnsi="Times New Roman" w:cs="Times New Roman"/>
          <w:i/>
          <w:sz w:val="24"/>
          <w:szCs w:val="24"/>
        </w:rPr>
        <w:t xml:space="preserve"> </w:t>
      </w:r>
      <w:r w:rsidR="00B047C5">
        <w:rPr>
          <w:rFonts w:ascii="Times New Roman" w:hAnsi="Times New Roman" w:cs="Times New Roman"/>
          <w:sz w:val="24"/>
          <w:szCs w:val="24"/>
        </w:rPr>
        <w:t xml:space="preserve">set the stage for the genocide in 1994. Though it perhaps did not directly incite violence against Tutsis, it did much to stir up the Hutu population to the point where they were ready to act in 1994 when called upon by </w:t>
      </w:r>
      <w:r w:rsidR="00467954">
        <w:rPr>
          <w:rFonts w:ascii="Times New Roman" w:hAnsi="Times New Roman" w:cs="Times New Roman"/>
          <w:sz w:val="24"/>
          <w:szCs w:val="24"/>
        </w:rPr>
        <w:t>Radio-</w:t>
      </w:r>
      <w:proofErr w:type="spellStart"/>
      <w:r w:rsidR="00467954">
        <w:rPr>
          <w:rFonts w:ascii="Times New Roman" w:hAnsi="Times New Roman" w:cs="Times New Roman"/>
          <w:sz w:val="24"/>
          <w:szCs w:val="24"/>
        </w:rPr>
        <w:t>Télévision</w:t>
      </w:r>
      <w:proofErr w:type="spellEnd"/>
      <w:r w:rsidR="00467954">
        <w:rPr>
          <w:rFonts w:ascii="Times New Roman" w:hAnsi="Times New Roman" w:cs="Times New Roman"/>
          <w:sz w:val="24"/>
          <w:szCs w:val="24"/>
        </w:rPr>
        <w:t xml:space="preserve"> </w:t>
      </w:r>
      <w:proofErr w:type="spellStart"/>
      <w:r w:rsidR="00467954">
        <w:rPr>
          <w:rFonts w:ascii="Times New Roman" w:hAnsi="Times New Roman" w:cs="Times New Roman"/>
          <w:sz w:val="24"/>
          <w:szCs w:val="24"/>
        </w:rPr>
        <w:t>Libre</w:t>
      </w:r>
      <w:proofErr w:type="spellEnd"/>
      <w:r w:rsidR="00467954">
        <w:rPr>
          <w:rFonts w:ascii="Times New Roman" w:hAnsi="Times New Roman" w:cs="Times New Roman"/>
          <w:sz w:val="24"/>
          <w:szCs w:val="24"/>
        </w:rPr>
        <w:t xml:space="preserve"> des Milles </w:t>
      </w:r>
      <w:proofErr w:type="spellStart"/>
      <w:r w:rsidR="00467954">
        <w:rPr>
          <w:rFonts w:ascii="Times New Roman" w:hAnsi="Times New Roman" w:cs="Times New Roman"/>
          <w:sz w:val="24"/>
          <w:szCs w:val="24"/>
        </w:rPr>
        <w:t>Collines</w:t>
      </w:r>
      <w:proofErr w:type="spellEnd"/>
      <w:r w:rsidR="00467954">
        <w:rPr>
          <w:rFonts w:ascii="Times New Roman" w:hAnsi="Times New Roman" w:cs="Times New Roman"/>
          <w:sz w:val="24"/>
          <w:szCs w:val="24"/>
        </w:rPr>
        <w:t xml:space="preserve"> (RTLM), the radio station that played a significant role not only in increasing the hate against Tutsis, but promoting and organizing the violence of the genocide against the Tutsis.</w:t>
      </w:r>
    </w:p>
    <w:p w:rsidR="00E33BBF" w:rsidRDefault="00E33BBF" w:rsidP="00E33BBF">
      <w:pPr>
        <w:pStyle w:val="Heading1"/>
        <w:spacing w:before="0"/>
        <w:rPr>
          <w:color w:val="auto"/>
        </w:rPr>
      </w:pPr>
    </w:p>
    <w:p w:rsidR="0091248D" w:rsidRDefault="0091248D" w:rsidP="00E33BBF">
      <w:pPr>
        <w:pStyle w:val="Heading1"/>
        <w:spacing w:before="0"/>
        <w:rPr>
          <w:color w:val="auto"/>
        </w:rPr>
      </w:pPr>
      <w:r w:rsidRPr="00E33BBF">
        <w:rPr>
          <w:color w:val="auto"/>
        </w:rPr>
        <w:t>Propaganda in the Radio</w:t>
      </w:r>
    </w:p>
    <w:p w:rsidR="00E33BBF" w:rsidRPr="00E33BBF" w:rsidRDefault="00E33BBF" w:rsidP="00E33BBF"/>
    <w:p w:rsidR="0091248D" w:rsidRDefault="0091248D" w:rsidP="0091248D">
      <w:pPr>
        <w:spacing w:after="0" w:line="480" w:lineRule="auto"/>
        <w:rPr>
          <w:rFonts w:ascii="Times New Roman" w:hAnsi="Times New Roman" w:cs="Times New Roman"/>
          <w:sz w:val="24"/>
          <w:szCs w:val="24"/>
        </w:rPr>
      </w:pPr>
      <w:r>
        <w:tab/>
      </w:r>
      <w:r>
        <w:rPr>
          <w:rFonts w:ascii="Times New Roman" w:hAnsi="Times New Roman" w:cs="Times New Roman"/>
          <w:sz w:val="24"/>
          <w:szCs w:val="24"/>
        </w:rPr>
        <w:t xml:space="preserve">Before going into the specific radio stations that spread the hate propaganda, we must consider the importance of radio as a whole in Rwanda, and which subsequently made it as </w:t>
      </w:r>
      <w:r>
        <w:rPr>
          <w:rFonts w:ascii="Times New Roman" w:hAnsi="Times New Roman" w:cs="Times New Roman"/>
          <w:sz w:val="24"/>
          <w:szCs w:val="24"/>
        </w:rPr>
        <w:lastRenderedPageBreak/>
        <w:t>effective as it was. According to Alison Des Forges, “a large number of Rwandans could not read or write and, as a result, radio was an important way for the government to deliver messages to the population.”</w:t>
      </w:r>
      <w:r>
        <w:rPr>
          <w:rStyle w:val="FootnoteReference"/>
          <w:rFonts w:ascii="Times New Roman" w:hAnsi="Times New Roman" w:cs="Times New Roman"/>
          <w:sz w:val="24"/>
          <w:szCs w:val="24"/>
        </w:rPr>
        <w:footnoteReference w:id="23"/>
      </w:r>
      <w:r w:rsidR="00510DE7">
        <w:rPr>
          <w:rFonts w:ascii="Times New Roman" w:hAnsi="Times New Roman" w:cs="Times New Roman"/>
          <w:sz w:val="24"/>
          <w:szCs w:val="24"/>
        </w:rPr>
        <w:t xml:space="preserve"> It was a news source for much of the Rwandan population and was seen as trusted by the people of Rwanda. The national radio station, called Radio Rwanda, would broadcast announcements of government positions, meetings, and deaths.</w:t>
      </w:r>
      <w:r w:rsidR="00510DE7">
        <w:rPr>
          <w:rStyle w:val="FootnoteReference"/>
          <w:rFonts w:ascii="Times New Roman" w:hAnsi="Times New Roman" w:cs="Times New Roman"/>
          <w:sz w:val="24"/>
          <w:szCs w:val="24"/>
        </w:rPr>
        <w:footnoteReference w:id="24"/>
      </w:r>
      <w:r w:rsidR="00510DE7">
        <w:rPr>
          <w:rFonts w:ascii="Times New Roman" w:hAnsi="Times New Roman" w:cs="Times New Roman"/>
          <w:sz w:val="24"/>
          <w:szCs w:val="24"/>
        </w:rPr>
        <w:t xml:space="preserve"> In this way it linked up much of the population under one station, controlled by the government. This is ultimately what made radio in Rwanda so effective in spreading the message of hate against Tutsis, as most of the population tuned in to hear the daily news or about any major events. I</w:t>
      </w:r>
      <w:r w:rsidR="00307DF3">
        <w:rPr>
          <w:rFonts w:ascii="Times New Roman" w:hAnsi="Times New Roman" w:cs="Times New Roman"/>
          <w:sz w:val="24"/>
          <w:szCs w:val="24"/>
        </w:rPr>
        <w:t>t was a trusted source for many, so when it began broadcasting the hate propaganda, most of its listeners naturally followed along.</w:t>
      </w:r>
    </w:p>
    <w:p w:rsidR="00307DF3" w:rsidRDefault="00307DF3" w:rsidP="0091248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were two main radio stations that broadcast hate propaganda against the Tutsi: Radio Rwanda and RTLM. Radio Rwanda was more relevant prior to the genocide in 1994, though it was also involved in disseminating propaganda during the genocide. </w:t>
      </w:r>
      <w:r w:rsidR="009C4330">
        <w:rPr>
          <w:rFonts w:ascii="Times New Roman" w:hAnsi="Times New Roman" w:cs="Times New Roman"/>
          <w:sz w:val="24"/>
          <w:szCs w:val="24"/>
        </w:rPr>
        <w:t>Perhaps</w:t>
      </w:r>
      <w:r>
        <w:rPr>
          <w:rFonts w:ascii="Times New Roman" w:hAnsi="Times New Roman" w:cs="Times New Roman"/>
          <w:sz w:val="24"/>
          <w:szCs w:val="24"/>
        </w:rPr>
        <w:t xml:space="preserve"> the most evident impact of Radio Rwanda before the genocide</w:t>
      </w:r>
      <w:r w:rsidR="009C4330">
        <w:rPr>
          <w:rFonts w:ascii="Times New Roman" w:hAnsi="Times New Roman" w:cs="Times New Roman"/>
          <w:sz w:val="24"/>
          <w:szCs w:val="24"/>
        </w:rPr>
        <w:t xml:space="preserve"> was during March of 1992 when it was used “in directly promoting the killing of Tutsi in a place called </w:t>
      </w:r>
      <w:proofErr w:type="spellStart"/>
      <w:r w:rsidR="009C4330">
        <w:rPr>
          <w:rFonts w:ascii="Times New Roman" w:hAnsi="Times New Roman" w:cs="Times New Roman"/>
          <w:sz w:val="24"/>
          <w:szCs w:val="24"/>
        </w:rPr>
        <w:t>Bugesera</w:t>
      </w:r>
      <w:proofErr w:type="spellEnd"/>
      <w:r w:rsidR="009C4330">
        <w:rPr>
          <w:rFonts w:ascii="Times New Roman" w:hAnsi="Times New Roman" w:cs="Times New Roman"/>
          <w:sz w:val="24"/>
          <w:szCs w:val="24"/>
        </w:rPr>
        <w:t>.”</w:t>
      </w:r>
      <w:r w:rsidR="009C4330">
        <w:rPr>
          <w:rStyle w:val="FootnoteReference"/>
          <w:rFonts w:ascii="Times New Roman" w:hAnsi="Times New Roman" w:cs="Times New Roman"/>
          <w:sz w:val="24"/>
          <w:szCs w:val="24"/>
        </w:rPr>
        <w:footnoteReference w:id="25"/>
      </w:r>
      <w:r w:rsidR="009C4330">
        <w:rPr>
          <w:rFonts w:ascii="Times New Roman" w:hAnsi="Times New Roman" w:cs="Times New Roman"/>
          <w:sz w:val="24"/>
          <w:szCs w:val="24"/>
        </w:rPr>
        <w:t xml:space="preserve"> The radio announced that </w:t>
      </w:r>
      <w:proofErr w:type="spellStart"/>
      <w:r w:rsidR="009C4330">
        <w:rPr>
          <w:rFonts w:ascii="Times New Roman" w:hAnsi="Times New Roman" w:cs="Times New Roman"/>
          <w:sz w:val="24"/>
          <w:szCs w:val="24"/>
        </w:rPr>
        <w:t>Bugesera</w:t>
      </w:r>
      <w:proofErr w:type="spellEnd"/>
      <w:r w:rsidR="009C4330">
        <w:rPr>
          <w:rFonts w:ascii="Times New Roman" w:hAnsi="Times New Roman" w:cs="Times New Roman"/>
          <w:sz w:val="24"/>
          <w:szCs w:val="24"/>
        </w:rPr>
        <w:t xml:space="preserve"> would be attacked by Tutsi, so local officials built on that message to convince local Hutus to protect themselves by attacking the Tutsis first.</w:t>
      </w:r>
      <w:r w:rsidR="009C4330">
        <w:rPr>
          <w:rStyle w:val="FootnoteReference"/>
          <w:rFonts w:ascii="Times New Roman" w:hAnsi="Times New Roman" w:cs="Times New Roman"/>
          <w:sz w:val="24"/>
          <w:szCs w:val="24"/>
        </w:rPr>
        <w:footnoteReference w:id="26"/>
      </w:r>
      <w:r w:rsidR="009C4330">
        <w:rPr>
          <w:rFonts w:ascii="Times New Roman" w:hAnsi="Times New Roman" w:cs="Times New Roman"/>
          <w:sz w:val="24"/>
          <w:szCs w:val="24"/>
        </w:rPr>
        <w:t xml:space="preserve"> Note that this was after the RPF started their invasion into Rwanda and propaganda against the Tutsi population was already present in </w:t>
      </w:r>
      <w:proofErr w:type="spellStart"/>
      <w:r w:rsidR="009C4330">
        <w:rPr>
          <w:rFonts w:ascii="Times New Roman" w:hAnsi="Times New Roman" w:cs="Times New Roman"/>
          <w:i/>
          <w:sz w:val="24"/>
          <w:szCs w:val="24"/>
        </w:rPr>
        <w:t>Kangura</w:t>
      </w:r>
      <w:proofErr w:type="spellEnd"/>
      <w:r w:rsidR="009C4330">
        <w:rPr>
          <w:rFonts w:ascii="Times New Roman" w:hAnsi="Times New Roman" w:cs="Times New Roman"/>
          <w:sz w:val="24"/>
          <w:szCs w:val="24"/>
        </w:rPr>
        <w:t xml:space="preserve"> and Radio Rwanda, since President </w:t>
      </w:r>
      <w:proofErr w:type="spellStart"/>
      <w:r w:rsidR="009C4330">
        <w:rPr>
          <w:rFonts w:ascii="Times New Roman" w:hAnsi="Times New Roman" w:cs="Times New Roman"/>
          <w:sz w:val="24"/>
          <w:szCs w:val="24"/>
        </w:rPr>
        <w:t>Habyarimana</w:t>
      </w:r>
      <w:proofErr w:type="spellEnd"/>
      <w:r w:rsidR="009C4330">
        <w:rPr>
          <w:rFonts w:ascii="Times New Roman" w:hAnsi="Times New Roman" w:cs="Times New Roman"/>
          <w:sz w:val="24"/>
          <w:szCs w:val="24"/>
        </w:rPr>
        <w:t xml:space="preserve"> was using the common Tutsi enemy in an attempt to unify Hutus in Rwanda. This incident demonstrates the fourth aspect of hate </w:t>
      </w:r>
      <w:r w:rsidR="006F49BE">
        <w:rPr>
          <w:rFonts w:ascii="Times New Roman" w:hAnsi="Times New Roman" w:cs="Times New Roman"/>
          <w:sz w:val="24"/>
          <w:szCs w:val="24"/>
        </w:rPr>
        <w:t xml:space="preserve">propaganda: </w:t>
      </w:r>
      <w:r w:rsidR="009C4330">
        <w:rPr>
          <w:rFonts w:ascii="Times New Roman" w:hAnsi="Times New Roman" w:cs="Times New Roman"/>
          <w:sz w:val="24"/>
          <w:szCs w:val="24"/>
        </w:rPr>
        <w:t xml:space="preserve">it leads to harm against the identified group. The broadcast of </w:t>
      </w:r>
      <w:r w:rsidR="009C4330">
        <w:rPr>
          <w:rFonts w:ascii="Times New Roman" w:hAnsi="Times New Roman" w:cs="Times New Roman"/>
          <w:sz w:val="24"/>
          <w:szCs w:val="24"/>
        </w:rPr>
        <w:lastRenderedPageBreak/>
        <w:t xml:space="preserve">Radio Rwanda led intentionally and directly to the killings of Tutsis at </w:t>
      </w:r>
      <w:proofErr w:type="spellStart"/>
      <w:r w:rsidR="009C4330">
        <w:rPr>
          <w:rFonts w:ascii="Times New Roman" w:hAnsi="Times New Roman" w:cs="Times New Roman"/>
          <w:sz w:val="24"/>
          <w:szCs w:val="24"/>
        </w:rPr>
        <w:t>Bugesera</w:t>
      </w:r>
      <w:proofErr w:type="spellEnd"/>
      <w:r w:rsidR="009C4330">
        <w:rPr>
          <w:rFonts w:ascii="Times New Roman" w:hAnsi="Times New Roman" w:cs="Times New Roman"/>
          <w:sz w:val="24"/>
          <w:szCs w:val="24"/>
        </w:rPr>
        <w:t xml:space="preserve">. </w:t>
      </w:r>
      <w:r w:rsidR="006F49BE">
        <w:rPr>
          <w:rFonts w:ascii="Times New Roman" w:hAnsi="Times New Roman" w:cs="Times New Roman"/>
          <w:sz w:val="24"/>
          <w:szCs w:val="24"/>
        </w:rPr>
        <w:t>After this incident, a member of an opposition party to the MRND was appointed to lead the ministry of information, which ended the MRND monopoly on the media and thus limited anti-Tutsi messages being broadcasted.</w:t>
      </w:r>
      <w:r w:rsidR="006F49BE">
        <w:rPr>
          <w:rStyle w:val="FootnoteReference"/>
          <w:rFonts w:ascii="Times New Roman" w:hAnsi="Times New Roman" w:cs="Times New Roman"/>
          <w:sz w:val="24"/>
          <w:szCs w:val="24"/>
        </w:rPr>
        <w:footnoteReference w:id="27"/>
      </w:r>
      <w:r w:rsidR="006F49BE">
        <w:rPr>
          <w:rFonts w:ascii="Times New Roman" w:hAnsi="Times New Roman" w:cs="Times New Roman"/>
          <w:sz w:val="24"/>
          <w:szCs w:val="24"/>
        </w:rPr>
        <w:t xml:space="preserve"> Radio Rwanda’s influence waned since the events in </w:t>
      </w:r>
      <w:proofErr w:type="spellStart"/>
      <w:r w:rsidR="006F49BE">
        <w:rPr>
          <w:rFonts w:ascii="Times New Roman" w:hAnsi="Times New Roman" w:cs="Times New Roman"/>
          <w:sz w:val="24"/>
          <w:szCs w:val="24"/>
        </w:rPr>
        <w:t>Bugesera</w:t>
      </w:r>
      <w:proofErr w:type="spellEnd"/>
      <w:r w:rsidR="006F49BE">
        <w:rPr>
          <w:rFonts w:ascii="Times New Roman" w:hAnsi="Times New Roman" w:cs="Times New Roman"/>
          <w:sz w:val="24"/>
          <w:szCs w:val="24"/>
        </w:rPr>
        <w:t xml:space="preserve">, especially after RTLM was established. Listeners started viewing RTLM as more credible than Radio Rwanda, largely due to the fact that Radio Rwanda “had provided little information on the progress of the ongoing war with the RPF in the </w:t>
      </w:r>
      <w:proofErr w:type="spellStart"/>
      <w:r w:rsidR="006F49BE">
        <w:rPr>
          <w:rFonts w:ascii="Times New Roman" w:hAnsi="Times New Roman" w:cs="Times New Roman"/>
          <w:sz w:val="24"/>
          <w:szCs w:val="24"/>
        </w:rPr>
        <w:t>pregenocide</w:t>
      </w:r>
      <w:proofErr w:type="spellEnd"/>
      <w:r w:rsidR="006F49BE">
        <w:rPr>
          <w:rFonts w:ascii="Times New Roman" w:hAnsi="Times New Roman" w:cs="Times New Roman"/>
          <w:sz w:val="24"/>
          <w:szCs w:val="24"/>
        </w:rPr>
        <w:t xml:space="preserve"> years and was largely inactive in the opening weeks of the genocide,” </w:t>
      </w:r>
      <w:r w:rsidR="006F49BE">
        <w:rPr>
          <w:rStyle w:val="FootnoteReference"/>
          <w:rFonts w:ascii="Times New Roman" w:hAnsi="Times New Roman" w:cs="Times New Roman"/>
          <w:sz w:val="24"/>
          <w:szCs w:val="24"/>
        </w:rPr>
        <w:footnoteReference w:id="28"/>
      </w:r>
      <w:r w:rsidR="002C7477">
        <w:rPr>
          <w:rFonts w:ascii="Times New Roman" w:hAnsi="Times New Roman" w:cs="Times New Roman"/>
          <w:sz w:val="24"/>
          <w:szCs w:val="24"/>
        </w:rPr>
        <w:t xml:space="preserve"> whereas the RTLM was a lot more active in providing updates on the situation. Radio Rwanda also “did not broadcast inflammatory anti-Tutsi propaganda to the same degree as RTLM did,”</w:t>
      </w:r>
      <w:r w:rsidR="002C7477">
        <w:rPr>
          <w:rStyle w:val="FootnoteReference"/>
          <w:rFonts w:ascii="Times New Roman" w:hAnsi="Times New Roman" w:cs="Times New Roman"/>
          <w:sz w:val="24"/>
          <w:szCs w:val="24"/>
        </w:rPr>
        <w:footnoteReference w:id="29"/>
      </w:r>
      <w:r w:rsidR="002C7477">
        <w:rPr>
          <w:rFonts w:ascii="Times New Roman" w:hAnsi="Times New Roman" w:cs="Times New Roman"/>
          <w:sz w:val="24"/>
          <w:szCs w:val="24"/>
        </w:rPr>
        <w:t xml:space="preserve"> meaning it contributed much less to the </w:t>
      </w:r>
      <w:r w:rsidR="00FE14CB">
        <w:rPr>
          <w:rFonts w:ascii="Times New Roman" w:hAnsi="Times New Roman" w:cs="Times New Roman"/>
          <w:sz w:val="24"/>
          <w:szCs w:val="24"/>
        </w:rPr>
        <w:t>violence and hate of the genocide compared to RTLM, on which the focus now shifts</w:t>
      </w:r>
      <w:r w:rsidR="00D129F8">
        <w:rPr>
          <w:rFonts w:ascii="Times New Roman" w:hAnsi="Times New Roman" w:cs="Times New Roman"/>
          <w:sz w:val="24"/>
          <w:szCs w:val="24"/>
        </w:rPr>
        <w:t>.</w:t>
      </w:r>
    </w:p>
    <w:p w:rsidR="00D129F8" w:rsidRDefault="00D129F8" w:rsidP="0091248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When the RTLM started broadcasting in 1993, it was significantly supported by President </w:t>
      </w:r>
      <w:proofErr w:type="spellStart"/>
      <w:r>
        <w:rPr>
          <w:rFonts w:ascii="Times New Roman" w:hAnsi="Times New Roman" w:cs="Times New Roman"/>
          <w:sz w:val="24"/>
          <w:szCs w:val="24"/>
        </w:rPr>
        <w:t>Habyarimana</w:t>
      </w:r>
      <w:proofErr w:type="spellEnd"/>
      <w:r>
        <w:rPr>
          <w:rFonts w:ascii="Times New Roman" w:hAnsi="Times New Roman" w:cs="Times New Roman"/>
          <w:sz w:val="24"/>
          <w:szCs w:val="24"/>
        </w:rPr>
        <w:t xml:space="preserve"> and Ferdinand </w:t>
      </w:r>
      <w:proofErr w:type="spellStart"/>
      <w:r>
        <w:rPr>
          <w:rFonts w:ascii="Times New Roman" w:hAnsi="Times New Roman" w:cs="Times New Roman"/>
          <w:sz w:val="24"/>
          <w:szCs w:val="24"/>
        </w:rPr>
        <w:t>Nahimana</w:t>
      </w:r>
      <w:proofErr w:type="spellEnd"/>
      <w:r>
        <w:rPr>
          <w:rFonts w:ascii="Times New Roman" w:hAnsi="Times New Roman" w:cs="Times New Roman"/>
          <w:sz w:val="24"/>
          <w:szCs w:val="24"/>
        </w:rPr>
        <w:t>, the previous head of the information office in Rwanda. The key difference between Radio Rwanda and RTLM is the style of the broadcasts. While Radio Rwanda tended to be more formal and official, RTLM was “meant to reach out to the ordinary citizen in its programming”</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by playing the latest music, having quick witted and lively announcers, allowing their listeners to request music, and getting passer-by comments on topics of the day.</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In this way, RTLM was able to tap into the heart of the people of Rwanda. It was a delicate balance, since being too informal might undermine</w:t>
      </w:r>
      <w:r w:rsidR="00190D61">
        <w:rPr>
          <w:rFonts w:ascii="Times New Roman" w:hAnsi="Times New Roman" w:cs="Times New Roman"/>
          <w:sz w:val="24"/>
          <w:szCs w:val="24"/>
        </w:rPr>
        <w:t xml:space="preserve"> the authoritativeness of RTLM, so often the announcers would have official voices on the show to legitimize their messages, such </w:t>
      </w:r>
      <w:r w:rsidR="00190D61">
        <w:rPr>
          <w:rFonts w:ascii="Times New Roman" w:hAnsi="Times New Roman" w:cs="Times New Roman"/>
          <w:sz w:val="24"/>
          <w:szCs w:val="24"/>
        </w:rPr>
        <w:lastRenderedPageBreak/>
        <w:t xml:space="preserve">as Prime Minister Jean </w:t>
      </w:r>
      <w:proofErr w:type="spellStart"/>
      <w:r w:rsidR="00190D61">
        <w:rPr>
          <w:rFonts w:ascii="Times New Roman" w:hAnsi="Times New Roman" w:cs="Times New Roman"/>
          <w:sz w:val="24"/>
          <w:szCs w:val="24"/>
        </w:rPr>
        <w:t>Kambanda</w:t>
      </w:r>
      <w:proofErr w:type="spellEnd"/>
      <w:r w:rsidR="00190D61">
        <w:rPr>
          <w:rFonts w:ascii="Times New Roman" w:hAnsi="Times New Roman" w:cs="Times New Roman"/>
          <w:sz w:val="24"/>
          <w:szCs w:val="24"/>
        </w:rPr>
        <w:t>.</w:t>
      </w:r>
      <w:r w:rsidR="00190D61">
        <w:rPr>
          <w:rStyle w:val="FootnoteReference"/>
          <w:rFonts w:ascii="Times New Roman" w:hAnsi="Times New Roman" w:cs="Times New Roman"/>
          <w:sz w:val="24"/>
          <w:szCs w:val="24"/>
        </w:rPr>
        <w:footnoteReference w:id="32"/>
      </w:r>
      <w:r w:rsidR="00190D61">
        <w:rPr>
          <w:rFonts w:ascii="Times New Roman" w:hAnsi="Times New Roman" w:cs="Times New Roman"/>
          <w:sz w:val="24"/>
          <w:szCs w:val="24"/>
        </w:rPr>
        <w:t xml:space="preserve"> This made RTLM more effective at getting ordinary citizens to subscribe to the anti-Tutsi hate messages.</w:t>
      </w:r>
    </w:p>
    <w:p w:rsidR="00190D61" w:rsidRDefault="00190D61" w:rsidP="0091248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F6628">
        <w:rPr>
          <w:rFonts w:ascii="Times New Roman" w:hAnsi="Times New Roman" w:cs="Times New Roman"/>
          <w:sz w:val="24"/>
          <w:szCs w:val="24"/>
        </w:rPr>
        <w:t xml:space="preserve">RTLM broadcasts were also </w:t>
      </w:r>
      <w:r w:rsidR="00EA640A">
        <w:rPr>
          <w:rFonts w:ascii="Times New Roman" w:hAnsi="Times New Roman" w:cs="Times New Roman"/>
          <w:sz w:val="24"/>
          <w:szCs w:val="24"/>
        </w:rPr>
        <w:t>sens</w:t>
      </w:r>
      <w:r w:rsidR="00EE3D1A">
        <w:rPr>
          <w:rFonts w:ascii="Times New Roman" w:hAnsi="Times New Roman" w:cs="Times New Roman"/>
          <w:sz w:val="24"/>
          <w:szCs w:val="24"/>
        </w:rPr>
        <w:t>ationalized for their listeners to exaggerate the brutality of the Tutsis and instill fear in the Hutu of the Tutsi enemy. As an example, we examine the RTLM reports about the assassination of the Burundi president, who was a Hutu. Though the president was killed by a bayonet, “RTLM reported details of supposed torture, including castration of the victim [the president],”</w:t>
      </w:r>
      <w:r w:rsidR="00EE3D1A">
        <w:rPr>
          <w:rStyle w:val="FootnoteReference"/>
          <w:rFonts w:ascii="Times New Roman" w:hAnsi="Times New Roman" w:cs="Times New Roman"/>
          <w:sz w:val="24"/>
          <w:szCs w:val="24"/>
        </w:rPr>
        <w:footnoteReference w:id="33"/>
      </w:r>
      <w:r w:rsidR="00EE3D1A">
        <w:rPr>
          <w:rFonts w:ascii="Times New Roman" w:hAnsi="Times New Roman" w:cs="Times New Roman"/>
          <w:sz w:val="24"/>
          <w:szCs w:val="24"/>
        </w:rPr>
        <w:t xml:space="preserve"> which was meant to remind Hutus of the practice of Tutsi kings in pre-colonial times to castrate defeated enemy rulers. This demon</w:t>
      </w:r>
      <w:r w:rsidR="000F6628">
        <w:rPr>
          <w:rFonts w:ascii="Times New Roman" w:hAnsi="Times New Roman" w:cs="Times New Roman"/>
          <w:sz w:val="24"/>
          <w:szCs w:val="24"/>
        </w:rPr>
        <w:t xml:space="preserve">strates creating a false story purely to </w:t>
      </w:r>
      <w:r w:rsidR="00EE3D1A">
        <w:rPr>
          <w:rFonts w:ascii="Times New Roman" w:hAnsi="Times New Roman" w:cs="Times New Roman"/>
          <w:sz w:val="24"/>
          <w:szCs w:val="24"/>
        </w:rPr>
        <w:t xml:space="preserve">instill fear that was common in RTLM broadcasts. Additionally, it shows the common </w:t>
      </w:r>
      <w:r w:rsidR="00F5672D">
        <w:rPr>
          <w:rFonts w:ascii="Times New Roman" w:hAnsi="Times New Roman" w:cs="Times New Roman"/>
          <w:sz w:val="24"/>
          <w:szCs w:val="24"/>
        </w:rPr>
        <w:t>theme of a reminder to a historical event to increase the effectiveness of the message. S</w:t>
      </w:r>
      <w:r w:rsidR="00EA640A">
        <w:rPr>
          <w:rFonts w:ascii="Times New Roman" w:hAnsi="Times New Roman" w:cs="Times New Roman"/>
          <w:sz w:val="24"/>
          <w:szCs w:val="24"/>
        </w:rPr>
        <w:t xml:space="preserve">ome of the most common statements made on these broadcasts </w:t>
      </w:r>
      <w:r w:rsidR="00F5672D">
        <w:rPr>
          <w:rFonts w:ascii="Times New Roman" w:hAnsi="Times New Roman" w:cs="Times New Roman"/>
          <w:sz w:val="24"/>
          <w:szCs w:val="24"/>
        </w:rPr>
        <w:t>were</w:t>
      </w:r>
      <w:r w:rsidR="00EA640A">
        <w:rPr>
          <w:rFonts w:ascii="Times New Roman" w:hAnsi="Times New Roman" w:cs="Times New Roman"/>
          <w:sz w:val="24"/>
          <w:szCs w:val="24"/>
        </w:rPr>
        <w:t xml:space="preserve"> “reports of Tutsi RPF rebel atrocities, allegations that Tutsis in the region were involved in the war or a conspiracy, and allegations that the RPF wanted power and control over the Hutus,”</w:t>
      </w:r>
      <w:r w:rsidR="00EA640A">
        <w:rPr>
          <w:rStyle w:val="FootnoteReference"/>
          <w:rFonts w:ascii="Times New Roman" w:hAnsi="Times New Roman" w:cs="Times New Roman"/>
          <w:sz w:val="24"/>
          <w:szCs w:val="24"/>
        </w:rPr>
        <w:footnoteReference w:id="34"/>
      </w:r>
      <w:r w:rsidR="00F5672D">
        <w:rPr>
          <w:rFonts w:ascii="Times New Roman" w:hAnsi="Times New Roman" w:cs="Times New Roman"/>
          <w:sz w:val="24"/>
          <w:szCs w:val="24"/>
        </w:rPr>
        <w:t xml:space="preserve"> </w:t>
      </w:r>
      <w:r w:rsidR="000F6628">
        <w:rPr>
          <w:rFonts w:ascii="Times New Roman" w:hAnsi="Times New Roman" w:cs="Times New Roman"/>
          <w:sz w:val="24"/>
          <w:szCs w:val="24"/>
        </w:rPr>
        <w:t>all in order to scare their Hutu listeners of the apparent Tutsi threat. Repeatedly, RTLM accuse specifically Tutsis of the problems that Hutus see in Rwanda. In this way RTLM also fulfills the first three elements of hate propaganda, that is, that it is public, that it incites hatred or mistrust, and that it is targeted at a specific group.</w:t>
      </w:r>
    </w:p>
    <w:p w:rsidR="001D0707" w:rsidRDefault="000F6628" w:rsidP="0091248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final element of hate propaganda, which is resulting in harm against the group, is most evident during the actual genocide itself with RTLM. </w:t>
      </w:r>
      <w:r w:rsidR="00BB086B">
        <w:rPr>
          <w:rFonts w:ascii="Times New Roman" w:hAnsi="Times New Roman" w:cs="Times New Roman"/>
          <w:sz w:val="24"/>
          <w:szCs w:val="24"/>
        </w:rPr>
        <w:t xml:space="preserve">After the death of President </w:t>
      </w:r>
      <w:proofErr w:type="spellStart"/>
      <w:r w:rsidR="00BB086B">
        <w:rPr>
          <w:rFonts w:ascii="Times New Roman" w:hAnsi="Times New Roman" w:cs="Times New Roman"/>
          <w:sz w:val="24"/>
          <w:szCs w:val="24"/>
        </w:rPr>
        <w:t>Habyarimana</w:t>
      </w:r>
      <w:proofErr w:type="spellEnd"/>
      <w:r w:rsidR="00BB086B">
        <w:rPr>
          <w:rFonts w:ascii="Times New Roman" w:hAnsi="Times New Roman" w:cs="Times New Roman"/>
          <w:sz w:val="24"/>
          <w:szCs w:val="24"/>
        </w:rPr>
        <w:t xml:space="preserve"> in a plane crash on April 6, 1994, “RTLM called on all Hutu to ‘rise up as a single man’ to defend their country in what was said to be the ‘final’ war,”</w:t>
      </w:r>
      <w:r w:rsidR="00BB086B">
        <w:rPr>
          <w:rStyle w:val="FootnoteReference"/>
          <w:rFonts w:ascii="Times New Roman" w:hAnsi="Times New Roman" w:cs="Times New Roman"/>
          <w:sz w:val="24"/>
          <w:szCs w:val="24"/>
        </w:rPr>
        <w:footnoteReference w:id="35"/>
      </w:r>
      <w:r w:rsidR="00BB086B">
        <w:rPr>
          <w:rFonts w:ascii="Times New Roman" w:hAnsi="Times New Roman" w:cs="Times New Roman"/>
          <w:sz w:val="24"/>
          <w:szCs w:val="24"/>
        </w:rPr>
        <w:t xml:space="preserve"> and used the term </w:t>
      </w:r>
      <w:proofErr w:type="spellStart"/>
      <w:r w:rsidR="00BB086B">
        <w:rPr>
          <w:rFonts w:ascii="Times New Roman" w:hAnsi="Times New Roman" w:cs="Times New Roman"/>
          <w:sz w:val="24"/>
          <w:szCs w:val="24"/>
        </w:rPr>
        <w:t>inyenzi</w:t>
      </w:r>
      <w:proofErr w:type="spellEnd"/>
      <w:r w:rsidR="00BB086B">
        <w:rPr>
          <w:rFonts w:ascii="Times New Roman" w:hAnsi="Times New Roman" w:cs="Times New Roman"/>
          <w:sz w:val="24"/>
          <w:szCs w:val="24"/>
        </w:rPr>
        <w:t xml:space="preserve">, </w:t>
      </w:r>
      <w:r w:rsidR="00BB086B">
        <w:rPr>
          <w:rFonts w:ascii="Times New Roman" w:hAnsi="Times New Roman" w:cs="Times New Roman"/>
          <w:sz w:val="24"/>
          <w:szCs w:val="24"/>
        </w:rPr>
        <w:lastRenderedPageBreak/>
        <w:t>meaning cockroach</w:t>
      </w:r>
      <w:r w:rsidR="00596767">
        <w:rPr>
          <w:rFonts w:ascii="Times New Roman" w:hAnsi="Times New Roman" w:cs="Times New Roman"/>
          <w:sz w:val="24"/>
          <w:szCs w:val="24"/>
        </w:rPr>
        <w:t xml:space="preserve"> and referring</w:t>
      </w:r>
      <w:r w:rsidR="00BB086B">
        <w:rPr>
          <w:rFonts w:ascii="Times New Roman" w:hAnsi="Times New Roman" w:cs="Times New Roman"/>
          <w:sz w:val="24"/>
          <w:szCs w:val="24"/>
        </w:rPr>
        <w:t xml:space="preserve"> to the RPF and Tutsis, to say that “’the cruelty of the </w:t>
      </w:r>
      <w:proofErr w:type="spellStart"/>
      <w:r w:rsidR="00BB086B">
        <w:rPr>
          <w:rFonts w:ascii="Times New Roman" w:hAnsi="Times New Roman" w:cs="Times New Roman"/>
          <w:sz w:val="24"/>
          <w:szCs w:val="24"/>
        </w:rPr>
        <w:t>inyenzi</w:t>
      </w:r>
      <w:proofErr w:type="spellEnd"/>
      <w:r w:rsidR="00BB086B">
        <w:rPr>
          <w:rFonts w:ascii="Times New Roman" w:hAnsi="Times New Roman" w:cs="Times New Roman"/>
          <w:sz w:val="24"/>
          <w:szCs w:val="24"/>
        </w:rPr>
        <w:t xml:space="preserve"> can be cured only by their total extermination.’”</w:t>
      </w:r>
      <w:r w:rsidR="00BB086B">
        <w:rPr>
          <w:rStyle w:val="FootnoteReference"/>
          <w:rFonts w:ascii="Times New Roman" w:hAnsi="Times New Roman" w:cs="Times New Roman"/>
          <w:sz w:val="24"/>
          <w:szCs w:val="24"/>
        </w:rPr>
        <w:footnoteReference w:id="36"/>
      </w:r>
      <w:r w:rsidR="00BB086B">
        <w:rPr>
          <w:rFonts w:ascii="Times New Roman" w:hAnsi="Times New Roman" w:cs="Times New Roman"/>
          <w:sz w:val="24"/>
          <w:szCs w:val="24"/>
        </w:rPr>
        <w:t xml:space="preserve"> Though RTLM had been previously</w:t>
      </w:r>
      <w:r w:rsidR="00596767">
        <w:rPr>
          <w:rFonts w:ascii="Times New Roman" w:hAnsi="Times New Roman" w:cs="Times New Roman"/>
          <w:sz w:val="24"/>
          <w:szCs w:val="24"/>
        </w:rPr>
        <w:t xml:space="preserve"> broadcasting these types of statements, this was the point at which it turned into widespread violence against Tutsis. Authorities were able to use both RTLM and Radio Rwanda to “incite and mobilize” the listeners, then “give specific directions for carrying out the killings.</w:t>
      </w:r>
      <w:r w:rsidR="000F3E3C">
        <w:rPr>
          <w:rFonts w:ascii="Times New Roman" w:hAnsi="Times New Roman" w:cs="Times New Roman"/>
          <w:sz w:val="24"/>
          <w:szCs w:val="24"/>
        </w:rPr>
        <w:t>”</w:t>
      </w:r>
      <w:r w:rsidR="000F3E3C">
        <w:rPr>
          <w:rStyle w:val="FootnoteReference"/>
          <w:rFonts w:ascii="Times New Roman" w:hAnsi="Times New Roman" w:cs="Times New Roman"/>
          <w:sz w:val="24"/>
          <w:szCs w:val="24"/>
        </w:rPr>
        <w:footnoteReference w:id="37"/>
      </w:r>
      <w:r w:rsidR="000F3E3C">
        <w:rPr>
          <w:rFonts w:ascii="Times New Roman" w:hAnsi="Times New Roman" w:cs="Times New Roman"/>
          <w:sz w:val="24"/>
          <w:szCs w:val="24"/>
        </w:rPr>
        <w:t xml:space="preserve"> Often specific targets to attack were broadcasted, such as the home of Tutsi businessman </w:t>
      </w:r>
      <w:proofErr w:type="spellStart"/>
      <w:r w:rsidR="000F3E3C">
        <w:rPr>
          <w:rFonts w:ascii="Times New Roman" w:hAnsi="Times New Roman" w:cs="Times New Roman"/>
          <w:sz w:val="24"/>
          <w:szCs w:val="24"/>
        </w:rPr>
        <w:t>Antonie</w:t>
      </w:r>
      <w:proofErr w:type="spellEnd"/>
      <w:r w:rsidR="000F3E3C">
        <w:rPr>
          <w:rFonts w:ascii="Times New Roman" w:hAnsi="Times New Roman" w:cs="Times New Roman"/>
          <w:sz w:val="24"/>
          <w:szCs w:val="24"/>
        </w:rPr>
        <w:t xml:space="preserve"> </w:t>
      </w:r>
      <w:proofErr w:type="spellStart"/>
      <w:r w:rsidR="000F3E3C">
        <w:rPr>
          <w:rFonts w:ascii="Times New Roman" w:hAnsi="Times New Roman" w:cs="Times New Roman"/>
          <w:sz w:val="24"/>
          <w:szCs w:val="24"/>
        </w:rPr>
        <w:t>Seberam</w:t>
      </w:r>
      <w:proofErr w:type="spellEnd"/>
      <w:r w:rsidR="000F3E3C">
        <w:rPr>
          <w:rFonts w:ascii="Times New Roman" w:hAnsi="Times New Roman" w:cs="Times New Roman"/>
          <w:sz w:val="24"/>
          <w:szCs w:val="24"/>
        </w:rPr>
        <w:t xml:space="preserve"> or a mosque in Kigali where Tutsis were seeking shelter. There would also be reports of Tutsis in certain locations that RTLM would direct Hutus towards in order to eliminate the Tutsi there.</w:t>
      </w:r>
      <w:r w:rsidR="000F3E3C">
        <w:rPr>
          <w:rStyle w:val="FootnoteReference"/>
          <w:rFonts w:ascii="Times New Roman" w:hAnsi="Times New Roman" w:cs="Times New Roman"/>
          <w:sz w:val="24"/>
          <w:szCs w:val="24"/>
        </w:rPr>
        <w:footnoteReference w:id="38"/>
      </w:r>
      <w:r w:rsidR="000F3E3C">
        <w:rPr>
          <w:rFonts w:ascii="Times New Roman" w:hAnsi="Times New Roman" w:cs="Times New Roman"/>
          <w:sz w:val="24"/>
          <w:szCs w:val="24"/>
        </w:rPr>
        <w:t xml:space="preserve"> Giving their listeners specific directions as to where and who to kill gave the listeners a way to focus the anger stirred up in them against the Tutsi through all the propaganda before the genocide. Those participating in the genocide may not have done so if they did not have a specific target to attack. This is shown in the research done by David </w:t>
      </w:r>
      <w:proofErr w:type="spellStart"/>
      <w:r w:rsidR="000F3E3C">
        <w:rPr>
          <w:rFonts w:ascii="Times New Roman" w:hAnsi="Times New Roman" w:cs="Times New Roman"/>
          <w:sz w:val="24"/>
          <w:szCs w:val="24"/>
        </w:rPr>
        <w:t>Yanagizawa-Drott</w:t>
      </w:r>
      <w:proofErr w:type="spellEnd"/>
      <w:r w:rsidR="00115091">
        <w:rPr>
          <w:rFonts w:ascii="Times New Roman" w:hAnsi="Times New Roman" w:cs="Times New Roman"/>
          <w:sz w:val="24"/>
          <w:szCs w:val="24"/>
        </w:rPr>
        <w:t>, which demonstrated that RTLM, through the broadcasting of anti-Tutsi propaganda during the genocide, “significantly increased participation in the violence against Tutsi,”</w:t>
      </w:r>
      <w:r w:rsidR="00115091">
        <w:rPr>
          <w:rStyle w:val="FootnoteReference"/>
          <w:rFonts w:ascii="Times New Roman" w:hAnsi="Times New Roman" w:cs="Times New Roman"/>
          <w:sz w:val="24"/>
          <w:szCs w:val="24"/>
        </w:rPr>
        <w:footnoteReference w:id="39"/>
      </w:r>
      <w:r w:rsidR="00115091">
        <w:rPr>
          <w:rFonts w:ascii="Times New Roman" w:hAnsi="Times New Roman" w:cs="Times New Roman"/>
          <w:sz w:val="24"/>
          <w:szCs w:val="24"/>
        </w:rPr>
        <w:t xml:space="preserve"> and that about ten percent of the overall participation and one-third of militia and armed group violence can be directly attributed to RTLM broadcasts.</w:t>
      </w:r>
      <w:r w:rsidR="00115091">
        <w:rPr>
          <w:rStyle w:val="FootnoteReference"/>
          <w:rFonts w:ascii="Times New Roman" w:hAnsi="Times New Roman" w:cs="Times New Roman"/>
          <w:sz w:val="24"/>
          <w:szCs w:val="24"/>
        </w:rPr>
        <w:footnoteReference w:id="40"/>
      </w:r>
      <w:r w:rsidR="00115091">
        <w:rPr>
          <w:rFonts w:ascii="Times New Roman" w:hAnsi="Times New Roman" w:cs="Times New Roman"/>
          <w:sz w:val="24"/>
          <w:szCs w:val="24"/>
        </w:rPr>
        <w:t xml:space="preserve"> This last statistic may be a result of the fact that “RTLM persuaded some militia members who listen to the radio to join the genocide.”</w:t>
      </w:r>
      <w:r w:rsidR="00115091">
        <w:rPr>
          <w:rStyle w:val="FootnoteReference"/>
          <w:rFonts w:ascii="Times New Roman" w:hAnsi="Times New Roman" w:cs="Times New Roman"/>
          <w:sz w:val="24"/>
          <w:szCs w:val="24"/>
        </w:rPr>
        <w:footnoteReference w:id="41"/>
      </w:r>
      <w:r w:rsidR="00115091">
        <w:rPr>
          <w:rFonts w:ascii="Times New Roman" w:hAnsi="Times New Roman" w:cs="Times New Roman"/>
          <w:sz w:val="24"/>
          <w:szCs w:val="24"/>
        </w:rPr>
        <w:t xml:space="preserve"> This can have a significant effect on genocide violence, since militia members would be better equipped with armaments compared to the ordinary citizens who generally had simpler tools like the machete that they used to kill Tutsis. Thus, RTLM was able to exacerbate the genocide by </w:t>
      </w:r>
      <w:r w:rsidR="00115091">
        <w:rPr>
          <w:rFonts w:ascii="Times New Roman" w:hAnsi="Times New Roman" w:cs="Times New Roman"/>
          <w:sz w:val="24"/>
          <w:szCs w:val="24"/>
        </w:rPr>
        <w:lastRenderedPageBreak/>
        <w:t>directing the anger of their listeners during the genocide as well as by helping create an environment of hatred against Tutsis prior to the genocide. The genocide was only made possible because the population had</w:t>
      </w:r>
      <w:r w:rsidR="00E718BA">
        <w:rPr>
          <w:rFonts w:ascii="Times New Roman" w:hAnsi="Times New Roman" w:cs="Times New Roman"/>
          <w:sz w:val="24"/>
          <w:szCs w:val="24"/>
        </w:rPr>
        <w:t xml:space="preserve"> truly</w:t>
      </w:r>
      <w:r w:rsidR="00115091">
        <w:rPr>
          <w:rFonts w:ascii="Times New Roman" w:hAnsi="Times New Roman" w:cs="Times New Roman"/>
          <w:sz w:val="24"/>
          <w:szCs w:val="24"/>
        </w:rPr>
        <w:t xml:space="preserve"> internalized the message of hate spread by </w:t>
      </w:r>
      <w:proofErr w:type="spellStart"/>
      <w:r w:rsidR="00115091">
        <w:rPr>
          <w:rFonts w:ascii="Times New Roman" w:hAnsi="Times New Roman" w:cs="Times New Roman"/>
          <w:i/>
          <w:sz w:val="24"/>
          <w:szCs w:val="24"/>
        </w:rPr>
        <w:t>Kangura</w:t>
      </w:r>
      <w:proofErr w:type="spellEnd"/>
      <w:r w:rsidR="00115091">
        <w:rPr>
          <w:rFonts w:ascii="Times New Roman" w:hAnsi="Times New Roman" w:cs="Times New Roman"/>
          <w:i/>
          <w:sz w:val="24"/>
          <w:szCs w:val="24"/>
        </w:rPr>
        <w:t>,</w:t>
      </w:r>
      <w:r w:rsidR="00115091">
        <w:rPr>
          <w:rFonts w:ascii="Times New Roman" w:hAnsi="Times New Roman" w:cs="Times New Roman"/>
          <w:sz w:val="24"/>
          <w:szCs w:val="24"/>
        </w:rPr>
        <w:t xml:space="preserve"> Radio Rwanda, and RTLM.</w:t>
      </w:r>
      <w:r w:rsidR="001D0707">
        <w:rPr>
          <w:rFonts w:ascii="Times New Roman" w:hAnsi="Times New Roman" w:cs="Times New Roman"/>
          <w:sz w:val="24"/>
          <w:szCs w:val="24"/>
        </w:rPr>
        <w:t xml:space="preserve"> This begs the question of what the international media did about this situation, and what could be done to prevent this propaganda from being so effective in the future, in addition to recognizing the signs of hate propaganda early to prevent it sooner.</w:t>
      </w:r>
    </w:p>
    <w:p w:rsidR="00E33BBF" w:rsidRDefault="00E33BBF" w:rsidP="00E33BBF">
      <w:pPr>
        <w:pStyle w:val="Heading1"/>
        <w:spacing w:before="0"/>
        <w:rPr>
          <w:color w:val="auto"/>
        </w:rPr>
      </w:pPr>
    </w:p>
    <w:p w:rsidR="001D0707" w:rsidRDefault="001D0707" w:rsidP="00E33BBF">
      <w:pPr>
        <w:pStyle w:val="Heading1"/>
        <w:spacing w:before="0"/>
        <w:rPr>
          <w:color w:val="auto"/>
        </w:rPr>
      </w:pPr>
      <w:r w:rsidRPr="00E33BBF">
        <w:rPr>
          <w:color w:val="auto"/>
        </w:rPr>
        <w:t>International Media and the Genocide</w:t>
      </w:r>
    </w:p>
    <w:p w:rsidR="00E33BBF" w:rsidRPr="00E33BBF" w:rsidRDefault="00E33BBF" w:rsidP="00E33BBF"/>
    <w:p w:rsidR="001D0707" w:rsidRDefault="001D0707" w:rsidP="001D0707">
      <w:pPr>
        <w:spacing w:after="0" w:line="480" w:lineRule="auto"/>
        <w:rPr>
          <w:rFonts w:ascii="Times New Roman" w:hAnsi="Times New Roman" w:cs="Times New Roman"/>
          <w:sz w:val="24"/>
        </w:rPr>
      </w:pPr>
      <w:r>
        <w:rPr>
          <w:rFonts w:ascii="Times New Roman" w:hAnsi="Times New Roman" w:cs="Times New Roman"/>
          <w:sz w:val="24"/>
        </w:rPr>
        <w:tab/>
        <w:t>Though many different perspectives can be discussed with regard to what could have been done to stop the genocide, this paper will look specifically at what the international media did in terms of reporting the genocide to keep the paper consistently focused around the topic of media and the genocide. Early reports of the genocide spread the idea that “violence in Rwanda was the result of ancient tribal hatreds,”</w:t>
      </w:r>
      <w:r>
        <w:rPr>
          <w:rStyle w:val="FootnoteReference"/>
          <w:rFonts w:ascii="Times New Roman" w:hAnsi="Times New Roman" w:cs="Times New Roman"/>
          <w:sz w:val="24"/>
        </w:rPr>
        <w:footnoteReference w:id="42"/>
      </w:r>
      <w:r w:rsidR="00C47A0F">
        <w:rPr>
          <w:rFonts w:ascii="Times New Roman" w:hAnsi="Times New Roman" w:cs="Times New Roman"/>
          <w:sz w:val="24"/>
        </w:rPr>
        <w:t xml:space="preserve"> which missed the fact that the genocide was a planned and systematic killing of the Tutsi ethnic group. For many, including newspapers, Rwanda was viewed as a failing country that was simply descending into chaos as a result. </w:t>
      </w:r>
      <w:r w:rsidR="00A465B4">
        <w:rPr>
          <w:rFonts w:ascii="Times New Roman" w:hAnsi="Times New Roman" w:cs="Times New Roman"/>
          <w:sz w:val="24"/>
        </w:rPr>
        <w:t xml:space="preserve">The French newspaper </w:t>
      </w:r>
      <w:proofErr w:type="spellStart"/>
      <w:r w:rsidR="00A465B4">
        <w:rPr>
          <w:rFonts w:ascii="Times New Roman" w:hAnsi="Times New Roman" w:cs="Times New Roman"/>
          <w:i/>
          <w:sz w:val="24"/>
        </w:rPr>
        <w:t>Libération</w:t>
      </w:r>
      <w:proofErr w:type="spellEnd"/>
      <w:r w:rsidR="00A465B4">
        <w:rPr>
          <w:rFonts w:ascii="Times New Roman" w:hAnsi="Times New Roman" w:cs="Times New Roman"/>
          <w:i/>
          <w:sz w:val="24"/>
        </w:rPr>
        <w:t xml:space="preserve"> </w:t>
      </w:r>
      <w:r w:rsidR="00A465B4">
        <w:rPr>
          <w:rFonts w:ascii="Times New Roman" w:hAnsi="Times New Roman" w:cs="Times New Roman"/>
          <w:sz w:val="24"/>
        </w:rPr>
        <w:t xml:space="preserve">reported on the attack on the church in </w:t>
      </w:r>
      <w:proofErr w:type="spellStart"/>
      <w:r w:rsidR="00A465B4">
        <w:rPr>
          <w:rFonts w:ascii="Times New Roman" w:hAnsi="Times New Roman" w:cs="Times New Roman"/>
          <w:sz w:val="24"/>
        </w:rPr>
        <w:t>Gikondo</w:t>
      </w:r>
      <w:proofErr w:type="spellEnd"/>
      <w:r w:rsidR="00A465B4">
        <w:rPr>
          <w:rFonts w:ascii="Times New Roman" w:hAnsi="Times New Roman" w:cs="Times New Roman"/>
          <w:sz w:val="24"/>
        </w:rPr>
        <w:t>, where a massacre of Tutsis had taken place, on the 11</w:t>
      </w:r>
      <w:r w:rsidR="00A465B4" w:rsidRPr="00A465B4">
        <w:rPr>
          <w:rFonts w:ascii="Times New Roman" w:hAnsi="Times New Roman" w:cs="Times New Roman"/>
          <w:sz w:val="24"/>
          <w:vertAlign w:val="superscript"/>
        </w:rPr>
        <w:t>th</w:t>
      </w:r>
      <w:r w:rsidR="00A465B4">
        <w:rPr>
          <w:rFonts w:ascii="Times New Roman" w:hAnsi="Times New Roman" w:cs="Times New Roman"/>
          <w:sz w:val="24"/>
        </w:rPr>
        <w:t xml:space="preserve"> of April, and it was the first mention of the word genocide to describe what was happening.</w:t>
      </w:r>
      <w:r w:rsidR="00A465B4">
        <w:rPr>
          <w:rStyle w:val="FootnoteReference"/>
          <w:rFonts w:ascii="Times New Roman" w:hAnsi="Times New Roman" w:cs="Times New Roman"/>
          <w:sz w:val="24"/>
        </w:rPr>
        <w:footnoteReference w:id="43"/>
      </w:r>
      <w:r w:rsidR="00A465B4">
        <w:rPr>
          <w:rFonts w:ascii="Times New Roman" w:hAnsi="Times New Roman" w:cs="Times New Roman"/>
          <w:sz w:val="24"/>
        </w:rPr>
        <w:t xml:space="preserve"> However, after that instance, the word ‘genocide’ was not seen in news reports for a significant amount of time. Much like the United States </w:t>
      </w:r>
      <w:r w:rsidR="00005512">
        <w:rPr>
          <w:rFonts w:ascii="Times New Roman" w:hAnsi="Times New Roman" w:cs="Times New Roman"/>
          <w:sz w:val="24"/>
        </w:rPr>
        <w:t xml:space="preserve">(US) </w:t>
      </w:r>
      <w:r w:rsidR="00A465B4">
        <w:rPr>
          <w:rFonts w:ascii="Times New Roman" w:hAnsi="Times New Roman" w:cs="Times New Roman"/>
          <w:sz w:val="24"/>
        </w:rPr>
        <w:t xml:space="preserve">government at the time, newspapers generally avoided the term to avoid possible complications. They continued to treat it like a problem of Rwanda that Rwanda had to deal with, and that it wasn’t worth </w:t>
      </w:r>
      <w:r w:rsidR="00A465B4">
        <w:rPr>
          <w:rFonts w:ascii="Times New Roman" w:hAnsi="Times New Roman" w:cs="Times New Roman"/>
          <w:sz w:val="24"/>
        </w:rPr>
        <w:lastRenderedPageBreak/>
        <w:t>investing anything more into</w:t>
      </w:r>
      <w:r w:rsidR="00AC3C61">
        <w:rPr>
          <w:rFonts w:ascii="Times New Roman" w:hAnsi="Times New Roman" w:cs="Times New Roman"/>
          <w:sz w:val="24"/>
        </w:rPr>
        <w:t xml:space="preserve">, as is seen in the article by </w:t>
      </w:r>
      <w:r w:rsidR="00AC3C61">
        <w:rPr>
          <w:rFonts w:ascii="Times New Roman" w:hAnsi="Times New Roman" w:cs="Times New Roman"/>
          <w:i/>
          <w:sz w:val="24"/>
        </w:rPr>
        <w:t>The New York Times</w:t>
      </w:r>
      <w:r w:rsidR="00AC3C61">
        <w:rPr>
          <w:rFonts w:ascii="Times New Roman" w:hAnsi="Times New Roman" w:cs="Times New Roman"/>
          <w:sz w:val="24"/>
        </w:rPr>
        <w:t xml:space="preserve"> that described Rwanda as “an uncontrollable spasm of lawlessness and terror” and a “failed central African nation-state with a centuries-old history of tribal </w:t>
      </w:r>
      <w:r w:rsidR="00005512">
        <w:rPr>
          <w:rFonts w:ascii="Times New Roman" w:hAnsi="Times New Roman" w:cs="Times New Roman"/>
          <w:sz w:val="24"/>
        </w:rPr>
        <w:t>warfare</w:t>
      </w:r>
      <w:r w:rsidR="00AC3C61">
        <w:rPr>
          <w:rFonts w:ascii="Times New Roman" w:hAnsi="Times New Roman" w:cs="Times New Roman"/>
          <w:sz w:val="24"/>
        </w:rPr>
        <w:t xml:space="preserve"> and deep distrust of outside intervention,”</w:t>
      </w:r>
      <w:r w:rsidR="00AC3C61">
        <w:rPr>
          <w:rStyle w:val="FootnoteReference"/>
          <w:rFonts w:ascii="Times New Roman" w:hAnsi="Times New Roman" w:cs="Times New Roman"/>
          <w:sz w:val="24"/>
        </w:rPr>
        <w:footnoteReference w:id="44"/>
      </w:r>
      <w:r w:rsidR="00AC3C61">
        <w:rPr>
          <w:rFonts w:ascii="Times New Roman" w:hAnsi="Times New Roman" w:cs="Times New Roman"/>
          <w:sz w:val="24"/>
        </w:rPr>
        <w:t xml:space="preserve"> seemingly justifying the fact that the </w:t>
      </w:r>
      <w:r w:rsidR="00005512">
        <w:rPr>
          <w:rFonts w:ascii="Times New Roman" w:hAnsi="Times New Roman" w:cs="Times New Roman"/>
          <w:sz w:val="24"/>
        </w:rPr>
        <w:t>US</w:t>
      </w:r>
      <w:r w:rsidR="00AC3C61">
        <w:rPr>
          <w:rFonts w:ascii="Times New Roman" w:hAnsi="Times New Roman" w:cs="Times New Roman"/>
          <w:sz w:val="24"/>
        </w:rPr>
        <w:t xml:space="preserve"> did not want to get involved in Rwanda.</w:t>
      </w:r>
    </w:p>
    <w:p w:rsidR="00A465B4" w:rsidRDefault="00A465B4" w:rsidP="001D0707">
      <w:pPr>
        <w:spacing w:after="0" w:line="480" w:lineRule="auto"/>
        <w:rPr>
          <w:rFonts w:ascii="Times New Roman" w:hAnsi="Times New Roman" w:cs="Times New Roman"/>
          <w:sz w:val="24"/>
        </w:rPr>
      </w:pPr>
      <w:r>
        <w:rPr>
          <w:rFonts w:ascii="Times New Roman" w:hAnsi="Times New Roman" w:cs="Times New Roman"/>
          <w:sz w:val="24"/>
        </w:rPr>
        <w:tab/>
        <w:t>Even attempts to explain the genocide were rejected, as was the case with Roger Winter. Winter was the director of the United States Committee for Refugees and wrote an article that described the origins of the violence in Rwanda, how it was politically based, and how ethnicity was being used to achieve the goals of the extremist government.</w:t>
      </w:r>
      <w:r>
        <w:rPr>
          <w:rStyle w:val="FootnoteReference"/>
          <w:rFonts w:ascii="Times New Roman" w:hAnsi="Times New Roman" w:cs="Times New Roman"/>
          <w:sz w:val="24"/>
        </w:rPr>
        <w:footnoteReference w:id="45"/>
      </w:r>
      <w:r>
        <w:rPr>
          <w:rFonts w:ascii="Times New Roman" w:hAnsi="Times New Roman" w:cs="Times New Roman"/>
          <w:sz w:val="24"/>
        </w:rPr>
        <w:t xml:space="preserve"> This article was rejected by a majority of papers in America, among which were the </w:t>
      </w:r>
      <w:r>
        <w:rPr>
          <w:rFonts w:ascii="Times New Roman" w:hAnsi="Times New Roman" w:cs="Times New Roman"/>
          <w:i/>
          <w:sz w:val="24"/>
        </w:rPr>
        <w:t>Washington Post</w:t>
      </w:r>
      <w:r>
        <w:rPr>
          <w:rFonts w:ascii="Times New Roman" w:hAnsi="Times New Roman" w:cs="Times New Roman"/>
          <w:sz w:val="24"/>
        </w:rPr>
        <w:t xml:space="preserve"> and </w:t>
      </w:r>
      <w:r>
        <w:rPr>
          <w:rFonts w:ascii="Times New Roman" w:hAnsi="Times New Roman" w:cs="Times New Roman"/>
          <w:i/>
          <w:sz w:val="24"/>
        </w:rPr>
        <w:t>The New York Times</w:t>
      </w:r>
      <w:r w:rsidR="00AC3C61">
        <w:rPr>
          <w:rFonts w:ascii="Times New Roman" w:hAnsi="Times New Roman" w:cs="Times New Roman"/>
          <w:sz w:val="24"/>
        </w:rPr>
        <w:t xml:space="preserve"> before being accepted and published in Toronto’s </w:t>
      </w:r>
      <w:r w:rsidR="00AC3C61">
        <w:rPr>
          <w:rFonts w:ascii="Times New Roman" w:hAnsi="Times New Roman" w:cs="Times New Roman"/>
          <w:i/>
          <w:sz w:val="24"/>
        </w:rPr>
        <w:t>Globe and Mail</w:t>
      </w:r>
      <w:r w:rsidR="00AC3C61">
        <w:rPr>
          <w:rFonts w:ascii="Times New Roman" w:hAnsi="Times New Roman" w:cs="Times New Roman"/>
          <w:sz w:val="24"/>
        </w:rPr>
        <w:t xml:space="preserve"> on the 14</w:t>
      </w:r>
      <w:r w:rsidR="00AC3C61" w:rsidRPr="00AC3C61">
        <w:rPr>
          <w:rFonts w:ascii="Times New Roman" w:hAnsi="Times New Roman" w:cs="Times New Roman"/>
          <w:sz w:val="24"/>
          <w:vertAlign w:val="superscript"/>
        </w:rPr>
        <w:t>th</w:t>
      </w:r>
      <w:r w:rsidR="00AC3C61">
        <w:rPr>
          <w:rFonts w:ascii="Times New Roman" w:hAnsi="Times New Roman" w:cs="Times New Roman"/>
          <w:sz w:val="24"/>
        </w:rPr>
        <w:t xml:space="preserve"> of April. </w:t>
      </w:r>
      <w:r w:rsidR="00AC3C61">
        <w:rPr>
          <w:rStyle w:val="FootnoteReference"/>
          <w:rFonts w:ascii="Times New Roman" w:hAnsi="Times New Roman" w:cs="Times New Roman"/>
          <w:sz w:val="24"/>
        </w:rPr>
        <w:footnoteReference w:id="46"/>
      </w:r>
      <w:r w:rsidR="00AC3C61">
        <w:rPr>
          <w:rFonts w:ascii="Times New Roman" w:hAnsi="Times New Roman" w:cs="Times New Roman"/>
          <w:sz w:val="24"/>
        </w:rPr>
        <w:t xml:space="preserve"> His article simply did not fit with the narrative at the time, indicating that many newspapers were more concerned with keeping a standard and consistent story about the genocide as opposed to bringing in a different perspective. What’s more is that most of the stories discussed Rwanda as a side story, as something that should not concern their readers, despite the fact that hundreds of thousands of people were being brutally murdered. It was only after the genocide, with the refugees fleeing out of Rwanda after the RPF took control, that the press became more interested. Thousands of reporters flocked to Tanzania, where the refugees were headed, after the South African elections were over, and as a result, the stories were about the refugees, not the genocide itself.</w:t>
      </w:r>
      <w:r w:rsidR="00AC3C61">
        <w:rPr>
          <w:rStyle w:val="FootnoteReference"/>
          <w:rFonts w:ascii="Times New Roman" w:hAnsi="Times New Roman" w:cs="Times New Roman"/>
          <w:sz w:val="24"/>
        </w:rPr>
        <w:footnoteReference w:id="47"/>
      </w:r>
      <w:r w:rsidR="00AC3C61">
        <w:rPr>
          <w:rFonts w:ascii="Times New Roman" w:hAnsi="Times New Roman" w:cs="Times New Roman"/>
          <w:sz w:val="24"/>
        </w:rPr>
        <w:t xml:space="preserve"> One can most clearly see the lack of priority put on the Rwandan genocide by the press in the numbers: during the genocide, the number of reporters present</w:t>
      </w:r>
      <w:r w:rsidR="00266B0C">
        <w:rPr>
          <w:rFonts w:ascii="Times New Roman" w:hAnsi="Times New Roman" w:cs="Times New Roman"/>
          <w:sz w:val="24"/>
        </w:rPr>
        <w:t xml:space="preserve"> in Rwanda</w:t>
      </w:r>
      <w:r w:rsidR="00AC3C61">
        <w:rPr>
          <w:rFonts w:ascii="Times New Roman" w:hAnsi="Times New Roman" w:cs="Times New Roman"/>
          <w:sz w:val="24"/>
        </w:rPr>
        <w:t xml:space="preserve"> was at </w:t>
      </w:r>
      <w:r w:rsidR="00AC3C61">
        <w:rPr>
          <w:rFonts w:ascii="Times New Roman" w:hAnsi="Times New Roman" w:cs="Times New Roman"/>
          <w:sz w:val="24"/>
        </w:rPr>
        <w:lastRenderedPageBreak/>
        <w:t>ma</w:t>
      </w:r>
      <w:r w:rsidR="00266B0C">
        <w:rPr>
          <w:rFonts w:ascii="Times New Roman" w:hAnsi="Times New Roman" w:cs="Times New Roman"/>
          <w:sz w:val="24"/>
        </w:rPr>
        <w:t>ximum fifteen</w:t>
      </w:r>
      <w:r w:rsidR="00AC3C61">
        <w:rPr>
          <w:rFonts w:ascii="Times New Roman" w:hAnsi="Times New Roman" w:cs="Times New Roman"/>
          <w:sz w:val="24"/>
        </w:rPr>
        <w:t xml:space="preserve">, </w:t>
      </w:r>
      <w:r w:rsidR="00266B0C">
        <w:rPr>
          <w:rFonts w:ascii="Times New Roman" w:hAnsi="Times New Roman" w:cs="Times New Roman"/>
          <w:sz w:val="24"/>
        </w:rPr>
        <w:t>whereas in South Africa there were upwards of 2,500.</w:t>
      </w:r>
      <w:r w:rsidR="00266B0C">
        <w:rPr>
          <w:rStyle w:val="FootnoteReference"/>
          <w:rFonts w:ascii="Times New Roman" w:hAnsi="Times New Roman" w:cs="Times New Roman"/>
          <w:sz w:val="24"/>
        </w:rPr>
        <w:footnoteReference w:id="48"/>
      </w:r>
      <w:r w:rsidR="00266B0C">
        <w:rPr>
          <w:rFonts w:ascii="Times New Roman" w:hAnsi="Times New Roman" w:cs="Times New Roman"/>
          <w:sz w:val="24"/>
        </w:rPr>
        <w:t xml:space="preserve"> This displays a complete lack of interest in parts of the world that seem unimportant or can be explained away with stereotypes. In this case, it meant that Rwandan genocide was not being properly reported, so everyday citizens in other countries were not as aware of the events happening. Had the citizens been aware, there may have been more pressure on the US government to intervene and prevent the genocide from getting out of hand. In the future, international media should be quick to recognize human rights violations and to bring them to the forefront of the news so that people can realize what is happening. This indirectly corresponds to an action that could have been taken to take down hate propaganda specifically, but a renewed focus on proper media reporting would help prevent genocide as a whole.</w:t>
      </w:r>
    </w:p>
    <w:p w:rsidR="00E33BBF" w:rsidRDefault="00E33BBF" w:rsidP="00E33BBF">
      <w:pPr>
        <w:pStyle w:val="Heading1"/>
        <w:spacing w:before="0"/>
        <w:rPr>
          <w:color w:val="auto"/>
        </w:rPr>
      </w:pPr>
    </w:p>
    <w:p w:rsidR="00E33BBF" w:rsidRDefault="003C7004" w:rsidP="00E33BBF">
      <w:pPr>
        <w:pStyle w:val="Heading1"/>
        <w:spacing w:before="0"/>
        <w:rPr>
          <w:color w:val="auto"/>
        </w:rPr>
      </w:pPr>
      <w:r>
        <w:rPr>
          <w:color w:val="auto"/>
        </w:rPr>
        <w:t xml:space="preserve">(Not) </w:t>
      </w:r>
      <w:r w:rsidR="00E33BBF" w:rsidRPr="00E33BBF">
        <w:rPr>
          <w:color w:val="auto"/>
        </w:rPr>
        <w:t>Jamming the Rwandan Radio</w:t>
      </w:r>
    </w:p>
    <w:p w:rsidR="00E33BBF" w:rsidRPr="00E33BBF" w:rsidRDefault="00E33BBF" w:rsidP="00E33BBF"/>
    <w:p w:rsidR="00266B0C" w:rsidRDefault="00266B0C" w:rsidP="001D0707">
      <w:pPr>
        <w:spacing w:after="0" w:line="480" w:lineRule="auto"/>
        <w:rPr>
          <w:rFonts w:ascii="Times New Roman" w:hAnsi="Times New Roman" w:cs="Times New Roman"/>
          <w:sz w:val="24"/>
        </w:rPr>
      </w:pPr>
      <w:r>
        <w:rPr>
          <w:rFonts w:ascii="Times New Roman" w:hAnsi="Times New Roman" w:cs="Times New Roman"/>
          <w:sz w:val="24"/>
        </w:rPr>
        <w:tab/>
        <w:t>To target hate propaganda and the RTLM radio station specifically, efforts could have</w:t>
      </w:r>
      <w:r w:rsidR="00005512">
        <w:rPr>
          <w:rFonts w:ascii="Times New Roman" w:hAnsi="Times New Roman" w:cs="Times New Roman"/>
          <w:sz w:val="24"/>
        </w:rPr>
        <w:t xml:space="preserve"> been taken by the US </w:t>
      </w:r>
      <w:r>
        <w:rPr>
          <w:rFonts w:ascii="Times New Roman" w:hAnsi="Times New Roman" w:cs="Times New Roman"/>
          <w:sz w:val="24"/>
        </w:rPr>
        <w:t>to jam the radio signals and prevent the messages from RTLM from being spread. In fact, an argument was put forward by Human Rights Watch that stated that “jamming radio broadcasts would disrupt incitements to genocidal violence and would limit the delivery of genocidal directives,”</w:t>
      </w:r>
      <w:r>
        <w:rPr>
          <w:rStyle w:val="FootnoteReference"/>
          <w:rFonts w:ascii="Times New Roman" w:hAnsi="Times New Roman" w:cs="Times New Roman"/>
          <w:sz w:val="24"/>
        </w:rPr>
        <w:footnoteReference w:id="49"/>
      </w:r>
      <w:r>
        <w:rPr>
          <w:rFonts w:ascii="Times New Roman" w:hAnsi="Times New Roman" w:cs="Times New Roman"/>
          <w:sz w:val="24"/>
        </w:rPr>
        <w:t xml:space="preserve"> and that jamming the radio would also “make clear international condemnation of the genocide, thus weakening the claim of the authorities to legitimacy and perhaps encouraging resistance against the killings.”</w:t>
      </w:r>
      <w:r>
        <w:rPr>
          <w:rStyle w:val="FootnoteReference"/>
          <w:rFonts w:ascii="Times New Roman" w:hAnsi="Times New Roman" w:cs="Times New Roman"/>
          <w:sz w:val="24"/>
        </w:rPr>
        <w:footnoteReference w:id="50"/>
      </w:r>
      <w:r>
        <w:rPr>
          <w:rFonts w:ascii="Times New Roman" w:hAnsi="Times New Roman" w:cs="Times New Roman"/>
          <w:sz w:val="24"/>
        </w:rPr>
        <w:t xml:space="preserve"> </w:t>
      </w:r>
      <w:r w:rsidR="00005512">
        <w:rPr>
          <w:rFonts w:ascii="Times New Roman" w:hAnsi="Times New Roman" w:cs="Times New Roman"/>
          <w:sz w:val="24"/>
        </w:rPr>
        <w:t>From the outset the US was made aware of the problems caused by the radio propaganda and was even given a suggestion as to how to solve it.</w:t>
      </w:r>
      <w:r w:rsidR="00A96739">
        <w:rPr>
          <w:rFonts w:ascii="Times New Roman" w:hAnsi="Times New Roman" w:cs="Times New Roman"/>
          <w:sz w:val="24"/>
        </w:rPr>
        <w:t xml:space="preserve"> However, there were arguments against this idea that stated that “it would violate </w:t>
      </w:r>
      <w:r w:rsidR="00A96739">
        <w:rPr>
          <w:rFonts w:ascii="Times New Roman" w:hAnsi="Times New Roman" w:cs="Times New Roman"/>
          <w:sz w:val="24"/>
        </w:rPr>
        <w:lastRenderedPageBreak/>
        <w:t xml:space="preserve">Rwanda’s state sovereignty and impinge on the fundamental human right to free speech and a free press.” </w:t>
      </w:r>
      <w:r w:rsidR="00A96739">
        <w:rPr>
          <w:rStyle w:val="FootnoteReference"/>
          <w:rFonts w:ascii="Times New Roman" w:hAnsi="Times New Roman" w:cs="Times New Roman"/>
          <w:sz w:val="24"/>
        </w:rPr>
        <w:footnoteReference w:id="51"/>
      </w:r>
      <w:r w:rsidR="00005512">
        <w:rPr>
          <w:rFonts w:ascii="Times New Roman" w:hAnsi="Times New Roman" w:cs="Times New Roman"/>
          <w:sz w:val="24"/>
        </w:rPr>
        <w:t>The argument that jamming the radio would be ineffective and exp</w:t>
      </w:r>
      <w:r w:rsidR="00A96739">
        <w:rPr>
          <w:rFonts w:ascii="Times New Roman" w:hAnsi="Times New Roman" w:cs="Times New Roman"/>
          <w:sz w:val="24"/>
        </w:rPr>
        <w:t xml:space="preserve">ensive was also added on to </w:t>
      </w:r>
      <w:r w:rsidR="00005512">
        <w:rPr>
          <w:rFonts w:ascii="Times New Roman" w:hAnsi="Times New Roman" w:cs="Times New Roman"/>
          <w:sz w:val="24"/>
        </w:rPr>
        <w:t>why the US would not do anything about it. Thus broadcasts by RTLM continued until the end of the genocide, at which point it was too late to jam the broadcasts when the US was finally committed to it. It should be noted that as a result of this issue during the genocide, “President Bill Clinton issued a policy directive in 1999 permitting US interventions in any future cases in which radio stations called for violence,”</w:t>
      </w:r>
      <w:r w:rsidR="00005512">
        <w:rPr>
          <w:rStyle w:val="FootnoteReference"/>
          <w:rFonts w:ascii="Times New Roman" w:hAnsi="Times New Roman" w:cs="Times New Roman"/>
          <w:sz w:val="24"/>
        </w:rPr>
        <w:footnoteReference w:id="52"/>
      </w:r>
      <w:r w:rsidR="00005512">
        <w:rPr>
          <w:rFonts w:ascii="Times New Roman" w:hAnsi="Times New Roman" w:cs="Times New Roman"/>
          <w:sz w:val="24"/>
        </w:rPr>
        <w:t xml:space="preserve"> which is a step in the right direction in terms of developing policy to prevent future problems from happening. In the future, the US needs to ensure that this policy gets implemented properly and effectively in order to prevent </w:t>
      </w:r>
      <w:r w:rsidR="00A96739">
        <w:rPr>
          <w:rFonts w:ascii="Times New Roman" w:hAnsi="Times New Roman" w:cs="Times New Roman"/>
          <w:sz w:val="24"/>
        </w:rPr>
        <w:t>hate propaganda from becoming internalized into the minds of its audience.</w:t>
      </w:r>
    </w:p>
    <w:p w:rsidR="003C7004" w:rsidRDefault="003C7004" w:rsidP="003C7004">
      <w:pPr>
        <w:pStyle w:val="Heading1"/>
        <w:spacing w:before="0"/>
        <w:rPr>
          <w:color w:val="auto"/>
        </w:rPr>
      </w:pPr>
    </w:p>
    <w:p w:rsidR="00E33BBF" w:rsidRDefault="00A96739" w:rsidP="003C7004">
      <w:pPr>
        <w:pStyle w:val="Heading1"/>
        <w:spacing w:before="0"/>
        <w:rPr>
          <w:color w:val="auto"/>
        </w:rPr>
      </w:pPr>
      <w:r w:rsidRPr="00E33BBF">
        <w:rPr>
          <w:color w:val="auto"/>
        </w:rPr>
        <w:t xml:space="preserve">Serbian </w:t>
      </w:r>
      <w:r w:rsidR="003C7004">
        <w:rPr>
          <w:color w:val="auto"/>
        </w:rPr>
        <w:t xml:space="preserve">Nationalist </w:t>
      </w:r>
      <w:r w:rsidRPr="00E33BBF">
        <w:rPr>
          <w:color w:val="auto"/>
        </w:rPr>
        <w:t>Propaganda</w:t>
      </w:r>
    </w:p>
    <w:p w:rsidR="00E33BBF" w:rsidRPr="00E33BBF" w:rsidRDefault="00E33BBF" w:rsidP="00E33BBF"/>
    <w:p w:rsidR="000E2147" w:rsidRDefault="00A96739" w:rsidP="000E2147">
      <w:pPr>
        <w:spacing w:after="0" w:line="480" w:lineRule="auto"/>
        <w:rPr>
          <w:rFonts w:ascii="Times New Roman" w:hAnsi="Times New Roman" w:cs="Times New Roman"/>
          <w:sz w:val="24"/>
          <w:szCs w:val="24"/>
        </w:rPr>
      </w:pPr>
      <w:r>
        <w:rPr>
          <w:rFonts w:ascii="Times New Roman" w:hAnsi="Times New Roman" w:cs="Times New Roman"/>
          <w:sz w:val="24"/>
          <w:szCs w:val="24"/>
        </w:rPr>
        <w:tab/>
        <w:t>Though it did not lead to the same level of violence as in Rwanda, it is worth examining propaganda in the Serb media</w:t>
      </w:r>
      <w:r w:rsidR="00D465F2">
        <w:rPr>
          <w:rFonts w:ascii="Times New Roman" w:hAnsi="Times New Roman" w:cs="Times New Roman"/>
          <w:sz w:val="24"/>
          <w:szCs w:val="24"/>
        </w:rPr>
        <w:t xml:space="preserve"> in the 1990s</w:t>
      </w:r>
      <w:r>
        <w:rPr>
          <w:rFonts w:ascii="Times New Roman" w:hAnsi="Times New Roman" w:cs="Times New Roman"/>
          <w:sz w:val="24"/>
          <w:szCs w:val="24"/>
        </w:rPr>
        <w:t xml:space="preserve"> and the similarities it had </w:t>
      </w:r>
      <w:r w:rsidR="00D465F2">
        <w:rPr>
          <w:rFonts w:ascii="Times New Roman" w:hAnsi="Times New Roman" w:cs="Times New Roman"/>
          <w:sz w:val="24"/>
          <w:szCs w:val="24"/>
        </w:rPr>
        <w:t xml:space="preserve">with hate propaganda in Rwanda. At the time, Yugoslavia, made out of Slovenia, Croatia, Bosnia-Herzegovina, Serbia, Montenegro, and Macedonia was going through a civil war, with Slovenia and Croatia declaring independence. </w:t>
      </w:r>
      <w:proofErr w:type="gramStart"/>
      <w:r w:rsidR="00D465F2">
        <w:rPr>
          <w:rFonts w:ascii="Times New Roman" w:hAnsi="Times New Roman" w:cs="Times New Roman"/>
          <w:sz w:val="24"/>
          <w:szCs w:val="24"/>
        </w:rPr>
        <w:t xml:space="preserve">The Yugoslav army, which was dominated by Serbs, </w:t>
      </w:r>
      <w:r w:rsidR="00141262">
        <w:rPr>
          <w:rFonts w:ascii="Times New Roman" w:hAnsi="Times New Roman" w:cs="Times New Roman"/>
          <w:sz w:val="24"/>
          <w:szCs w:val="24"/>
        </w:rPr>
        <w:t>attacked Slovenia and Croatia in response.</w:t>
      </w:r>
      <w:proofErr w:type="gramEnd"/>
      <w:r w:rsidR="00141262">
        <w:rPr>
          <w:rFonts w:ascii="Times New Roman" w:hAnsi="Times New Roman" w:cs="Times New Roman"/>
          <w:sz w:val="24"/>
          <w:szCs w:val="24"/>
        </w:rPr>
        <w:t xml:space="preserve"> In this case, we will focus on nationalist propaganda specifically in Serbia</w:t>
      </w:r>
      <w:r w:rsidR="000E2147">
        <w:rPr>
          <w:rFonts w:ascii="Times New Roman" w:hAnsi="Times New Roman" w:cs="Times New Roman"/>
          <w:sz w:val="24"/>
          <w:szCs w:val="24"/>
        </w:rPr>
        <w:t>, which was carried out in part through radio broadcasts and the newspaper</w:t>
      </w:r>
      <w:r w:rsidR="00141262">
        <w:rPr>
          <w:rFonts w:ascii="Times New Roman" w:hAnsi="Times New Roman" w:cs="Times New Roman"/>
          <w:sz w:val="24"/>
          <w:szCs w:val="24"/>
        </w:rPr>
        <w:t>.</w:t>
      </w:r>
      <w:r w:rsidR="007B0E81">
        <w:rPr>
          <w:rFonts w:ascii="Times New Roman" w:hAnsi="Times New Roman" w:cs="Times New Roman"/>
          <w:sz w:val="24"/>
          <w:szCs w:val="24"/>
        </w:rPr>
        <w:t xml:space="preserve"> Just like RTLM aimed to make</w:t>
      </w:r>
      <w:r w:rsidR="00141262">
        <w:rPr>
          <w:rFonts w:ascii="Times New Roman" w:hAnsi="Times New Roman" w:cs="Times New Roman"/>
          <w:sz w:val="24"/>
          <w:szCs w:val="24"/>
        </w:rPr>
        <w:t xml:space="preserve"> Hutus fear</w:t>
      </w:r>
      <w:r w:rsidR="007B0E81">
        <w:rPr>
          <w:rFonts w:ascii="Times New Roman" w:hAnsi="Times New Roman" w:cs="Times New Roman"/>
          <w:sz w:val="24"/>
          <w:szCs w:val="24"/>
        </w:rPr>
        <w:t xml:space="preserve"> and mistrust</w:t>
      </w:r>
      <w:r w:rsidR="00141262">
        <w:rPr>
          <w:rFonts w:ascii="Times New Roman" w:hAnsi="Times New Roman" w:cs="Times New Roman"/>
          <w:sz w:val="24"/>
          <w:szCs w:val="24"/>
        </w:rPr>
        <w:t xml:space="preserve"> Tutsis</w:t>
      </w:r>
      <w:r w:rsidR="007B0E81">
        <w:rPr>
          <w:rFonts w:ascii="Times New Roman" w:hAnsi="Times New Roman" w:cs="Times New Roman"/>
          <w:sz w:val="24"/>
          <w:szCs w:val="24"/>
        </w:rPr>
        <w:t xml:space="preserve"> with outlandish allegations</w:t>
      </w:r>
      <w:r w:rsidR="00141262">
        <w:rPr>
          <w:rFonts w:ascii="Times New Roman" w:hAnsi="Times New Roman" w:cs="Times New Roman"/>
          <w:sz w:val="24"/>
          <w:szCs w:val="24"/>
        </w:rPr>
        <w:t xml:space="preserve">, “Serb nationalist propaganda </w:t>
      </w:r>
      <w:r w:rsidR="00141262">
        <w:rPr>
          <w:rFonts w:ascii="Times New Roman" w:hAnsi="Times New Roman" w:cs="Times New Roman"/>
          <w:sz w:val="24"/>
          <w:szCs w:val="24"/>
        </w:rPr>
        <w:lastRenderedPageBreak/>
        <w:t>was filled with exaggerations, fabrications and lies that magnified the threat to Serbs.”</w:t>
      </w:r>
      <w:r w:rsidR="00141262">
        <w:rPr>
          <w:rStyle w:val="FootnoteReference"/>
          <w:rFonts w:ascii="Times New Roman" w:hAnsi="Times New Roman" w:cs="Times New Roman"/>
          <w:sz w:val="24"/>
          <w:szCs w:val="24"/>
        </w:rPr>
        <w:footnoteReference w:id="53"/>
      </w:r>
      <w:r w:rsidR="00141262">
        <w:rPr>
          <w:rFonts w:ascii="Times New Roman" w:hAnsi="Times New Roman" w:cs="Times New Roman"/>
          <w:sz w:val="24"/>
          <w:szCs w:val="24"/>
        </w:rPr>
        <w:t xml:space="preserve"> </w:t>
      </w:r>
      <w:r w:rsidR="007B0E81">
        <w:rPr>
          <w:rFonts w:ascii="Times New Roman" w:hAnsi="Times New Roman" w:cs="Times New Roman"/>
          <w:sz w:val="24"/>
          <w:szCs w:val="24"/>
        </w:rPr>
        <w:t xml:space="preserve">Propaganda seeks to make the audience feel and believe something rather than have a logical explanation for everything, so it isn’t surprising that in both cases, exaggerations of the danger </w:t>
      </w:r>
      <w:r w:rsidR="000E2147">
        <w:rPr>
          <w:rFonts w:ascii="Times New Roman" w:hAnsi="Times New Roman" w:cs="Times New Roman"/>
          <w:sz w:val="24"/>
          <w:szCs w:val="24"/>
        </w:rPr>
        <w:t xml:space="preserve">were present and broadcast. </w:t>
      </w:r>
    </w:p>
    <w:p w:rsidR="00A96739" w:rsidRDefault="007B0E81" w:rsidP="000E214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Serbian propaganda </w:t>
      </w:r>
      <w:r w:rsidR="000E2147">
        <w:rPr>
          <w:rFonts w:ascii="Times New Roman" w:hAnsi="Times New Roman" w:cs="Times New Roman"/>
          <w:sz w:val="24"/>
          <w:szCs w:val="24"/>
        </w:rPr>
        <w:t xml:space="preserve">also </w:t>
      </w:r>
      <w:r>
        <w:rPr>
          <w:rFonts w:ascii="Times New Roman" w:hAnsi="Times New Roman" w:cs="Times New Roman"/>
          <w:sz w:val="24"/>
          <w:szCs w:val="24"/>
        </w:rPr>
        <w:t>“</w:t>
      </w:r>
      <w:proofErr w:type="spellStart"/>
      <w:r>
        <w:rPr>
          <w:rFonts w:ascii="Times New Roman" w:hAnsi="Times New Roman" w:cs="Times New Roman"/>
          <w:sz w:val="24"/>
          <w:szCs w:val="24"/>
        </w:rPr>
        <w:t>reviv</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and amplify[</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the old myths, and link[</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the myths to contemporary ethnic threats and fears, which were magnified out of proportion with reality,”</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 xml:space="preserve"> which has a striking resemblance to the use of old ideas like the Hamitic Theory in Rwanda to argue that the Tutsis are inherently wrong in being in Rwanda and should get driven out as well as the radio calling to mind the </w:t>
      </w:r>
      <w:proofErr w:type="spellStart"/>
      <w:r>
        <w:rPr>
          <w:rFonts w:ascii="Times New Roman" w:hAnsi="Times New Roman" w:cs="Times New Roman"/>
          <w:sz w:val="24"/>
          <w:szCs w:val="24"/>
        </w:rPr>
        <w:t>Bahutu</w:t>
      </w:r>
      <w:proofErr w:type="spellEnd"/>
      <w:r>
        <w:rPr>
          <w:rFonts w:ascii="Times New Roman" w:hAnsi="Times New Roman" w:cs="Times New Roman"/>
          <w:sz w:val="24"/>
          <w:szCs w:val="24"/>
        </w:rPr>
        <w:t xml:space="preserve"> Manifesto and the dangers that invading Tutsis can have on Hutus in Rwanda.</w:t>
      </w:r>
      <w:r w:rsidR="000E2147">
        <w:rPr>
          <w:rFonts w:ascii="Times New Roman" w:hAnsi="Times New Roman" w:cs="Times New Roman"/>
          <w:sz w:val="24"/>
          <w:szCs w:val="24"/>
        </w:rPr>
        <w:t xml:space="preserve"> This idea of linking the past to the present is seen again in the case of Serbian propaganda, where it was found that much of the narrative during this time was “linkage of the past (when Serbs were victims) with the present (when they have to be awakened to the dangers and to resist them) and the future (when Serbs are called to be avengers, heroes, and victors).”</w:t>
      </w:r>
      <w:r w:rsidR="000E2147">
        <w:rPr>
          <w:rStyle w:val="FootnoteReference"/>
          <w:rFonts w:ascii="Times New Roman" w:hAnsi="Times New Roman" w:cs="Times New Roman"/>
          <w:sz w:val="24"/>
          <w:szCs w:val="24"/>
        </w:rPr>
        <w:footnoteReference w:id="55"/>
      </w:r>
      <w:r w:rsidR="000E2147">
        <w:rPr>
          <w:rFonts w:ascii="Times New Roman" w:hAnsi="Times New Roman" w:cs="Times New Roman"/>
          <w:sz w:val="24"/>
          <w:szCs w:val="24"/>
        </w:rPr>
        <w:t xml:space="preserve"> Replace the word “Serbs” with “Hutus” and it is essentially the same narrative propagated by </w:t>
      </w:r>
      <w:proofErr w:type="spellStart"/>
      <w:r w:rsidR="000E2147">
        <w:rPr>
          <w:rFonts w:ascii="Times New Roman" w:hAnsi="Times New Roman" w:cs="Times New Roman"/>
          <w:i/>
          <w:sz w:val="24"/>
          <w:szCs w:val="24"/>
        </w:rPr>
        <w:t>Kangura</w:t>
      </w:r>
      <w:proofErr w:type="spellEnd"/>
      <w:r w:rsidR="000E2147">
        <w:rPr>
          <w:rFonts w:ascii="Times New Roman" w:hAnsi="Times New Roman" w:cs="Times New Roman"/>
          <w:sz w:val="24"/>
          <w:szCs w:val="24"/>
        </w:rPr>
        <w:t xml:space="preserve">, Radio Rwanda, and RTLM. </w:t>
      </w:r>
    </w:p>
    <w:p w:rsidR="00EF46ED" w:rsidRDefault="00EF46ED" w:rsidP="000E214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final connection to be made between Serbian and Rwandan propaganda is support from authority. In both cases, the government and powerful officials either controlled the propaganda stations or significantly supported the messages being spread. It was discussed earlier with Rwanda, but in the case of Serbia, religious leaders, politicians, intellectuals, academics, and public figures all voiced the same nationalist message that gave strength to the </w:t>
      </w:r>
      <w:r>
        <w:rPr>
          <w:rFonts w:ascii="Times New Roman" w:hAnsi="Times New Roman" w:cs="Times New Roman"/>
          <w:sz w:val="24"/>
          <w:szCs w:val="24"/>
        </w:rPr>
        <w:lastRenderedPageBreak/>
        <w:t>overall message of the controlling regime.</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Especially during times of crisis, the people of the nation commonly look towards those in power or public, authoritative officials as a guideline, and this was the case for both Serbia and Rwanda, who were in the middle of wars when the propaganda really took hold.</w:t>
      </w:r>
    </w:p>
    <w:p w:rsidR="00EF46ED" w:rsidRDefault="00EF46ED" w:rsidP="000E214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Serbian nationalis</w:t>
      </w:r>
      <w:r w:rsidR="004E52C2">
        <w:rPr>
          <w:rFonts w:ascii="Times New Roman" w:hAnsi="Times New Roman" w:cs="Times New Roman"/>
          <w:sz w:val="24"/>
          <w:szCs w:val="24"/>
        </w:rPr>
        <w:t>t propaganda was not as focused on inciting violence and ethnic cleansing like the hate propaganda of Rwanda, but it was still used to promote animosity towards the Croatian ethnic group, just like in Rwanda Hutus were encouraged to distrust Tutsis. Comparing the two situations in this manner makes clear that propaganda shares similar themes no matter the geographical location. In both cases, false information was being spread through some form of media to encourage distrust of a specific ethnic group, connections with the past were made in order to reinforce the message, and top officials either in the government or as viewed by the public supported the message and made it more convincing. For Rwanda, this eventually led to the killing of hundreds of thousands of Tutsis, whereas in Serbia, where the propaganda was not as widespread and monopolized as in Rwanda, this led to the regime at the time remaining in power in an effort to maintain power over all of Yugoslavia.</w:t>
      </w:r>
    </w:p>
    <w:p w:rsidR="003C7004" w:rsidRDefault="003C7004" w:rsidP="003C7004">
      <w:pPr>
        <w:pStyle w:val="Heading1"/>
        <w:spacing w:before="0"/>
        <w:rPr>
          <w:color w:val="auto"/>
        </w:rPr>
      </w:pPr>
    </w:p>
    <w:p w:rsidR="004E52C2" w:rsidRDefault="004E52C2" w:rsidP="003C7004">
      <w:pPr>
        <w:pStyle w:val="Heading1"/>
        <w:spacing w:before="0"/>
        <w:rPr>
          <w:color w:val="auto"/>
        </w:rPr>
      </w:pPr>
      <w:r w:rsidRPr="00E33BBF">
        <w:rPr>
          <w:color w:val="auto"/>
        </w:rPr>
        <w:t>Conclusion</w:t>
      </w:r>
    </w:p>
    <w:p w:rsidR="00E33BBF" w:rsidRPr="00E33BBF" w:rsidRDefault="00E33BBF" w:rsidP="00E33BBF"/>
    <w:p w:rsidR="004E52C2" w:rsidRDefault="004E52C2" w:rsidP="004E52C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B4EC2">
        <w:rPr>
          <w:rFonts w:ascii="Times New Roman" w:hAnsi="Times New Roman" w:cs="Times New Roman"/>
          <w:sz w:val="24"/>
          <w:szCs w:val="24"/>
        </w:rPr>
        <w:t xml:space="preserve">Hate propaganda in Rwanda thus utilized methods like appealing to the past, exaggerating fears, authoritative support, specific and directive targeting, and encouraging the audience to spread the word, with some qualities shared with Serbian nationalist propaganda, in order to systematically carry out the genocide against the Tutsi ethnic population. The greatest contribution of the propaganda to the genocide is the creation of an environment of hate in which </w:t>
      </w:r>
      <w:r w:rsidR="00DB4EC2">
        <w:rPr>
          <w:rFonts w:ascii="Times New Roman" w:hAnsi="Times New Roman" w:cs="Times New Roman"/>
          <w:sz w:val="24"/>
          <w:szCs w:val="24"/>
        </w:rPr>
        <w:lastRenderedPageBreak/>
        <w:t>it became acceptable to commit inhumane atrocities, allowing propagandists to easily and effectively steer the minds of ordinary citizens to kill their Tutsi neighbors. It was only through this setup prior to the genocide that the actual genocide was made possible.</w:t>
      </w:r>
    </w:p>
    <w:p w:rsidR="00DB4EC2" w:rsidRDefault="00DB4EC2" w:rsidP="004E52C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international community was slow in recognizing the genocide in Rwanda for what it was, as was seen in the stories by the media on the subject. In the future, a violation of human rights must be recognized sooner, reported accurately, and become a focus of international efforts to restore human rights in the area. </w:t>
      </w:r>
      <w:r w:rsidR="00202EC1">
        <w:rPr>
          <w:rFonts w:ascii="Times New Roman" w:hAnsi="Times New Roman" w:cs="Times New Roman"/>
          <w:sz w:val="24"/>
          <w:szCs w:val="24"/>
        </w:rPr>
        <w:t xml:space="preserve">The international community cannot let stereotypes get in the way of giving such an event the proper attention that it needs and deserves, especially if something can be done about it. The US had an opportunity to make an impact in the genocide by jamming the radio, but the argument of ‘freedom of speech’ prevailed over saving an ethnic group from extermination. The policy instituted by President Bill Clinton must be properly followed through on in the event of future occurrences of a radio station promoting violence. As an international community, we must band together and prevent </w:t>
      </w:r>
      <w:proofErr w:type="gramStart"/>
      <w:r w:rsidR="00202EC1">
        <w:rPr>
          <w:rFonts w:ascii="Times New Roman" w:hAnsi="Times New Roman" w:cs="Times New Roman"/>
          <w:sz w:val="24"/>
          <w:szCs w:val="24"/>
        </w:rPr>
        <w:t>a genocide</w:t>
      </w:r>
      <w:proofErr w:type="gramEnd"/>
      <w:r w:rsidR="00202EC1">
        <w:rPr>
          <w:rFonts w:ascii="Times New Roman" w:hAnsi="Times New Roman" w:cs="Times New Roman"/>
          <w:sz w:val="24"/>
          <w:szCs w:val="24"/>
        </w:rPr>
        <w:t xml:space="preserve"> before it happens by recognizing signs from propaganda sources that suggest singling out a single group as the enemy. Unless we are able to do that, hate propaganda will continue to be a problem in this world, perhaps the beginnings of </w:t>
      </w:r>
      <w:proofErr w:type="gramStart"/>
      <w:r w:rsidR="00202EC1">
        <w:rPr>
          <w:rFonts w:ascii="Times New Roman" w:hAnsi="Times New Roman" w:cs="Times New Roman"/>
          <w:sz w:val="24"/>
          <w:szCs w:val="24"/>
        </w:rPr>
        <w:t>another genocide</w:t>
      </w:r>
      <w:proofErr w:type="gramEnd"/>
      <w:r w:rsidR="00202EC1">
        <w:rPr>
          <w:rFonts w:ascii="Times New Roman" w:hAnsi="Times New Roman" w:cs="Times New Roman"/>
          <w:sz w:val="24"/>
          <w:szCs w:val="24"/>
        </w:rPr>
        <w:t>.</w:t>
      </w:r>
    </w:p>
    <w:p w:rsidR="00202EC1" w:rsidRDefault="00202EC1" w:rsidP="004E52C2">
      <w:pPr>
        <w:spacing w:after="0" w:line="480" w:lineRule="auto"/>
        <w:rPr>
          <w:rFonts w:ascii="Times New Roman" w:hAnsi="Times New Roman" w:cs="Times New Roman"/>
          <w:sz w:val="24"/>
          <w:szCs w:val="24"/>
        </w:rPr>
      </w:pPr>
    </w:p>
    <w:p w:rsidR="00202EC1" w:rsidRDefault="00DB4EC2" w:rsidP="00202EC1">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3C7004" w:rsidRDefault="003C7004" w:rsidP="00202EC1">
      <w:pPr>
        <w:spacing w:after="0" w:line="480" w:lineRule="auto"/>
        <w:rPr>
          <w:rFonts w:ascii="Segoe UI Semilight" w:hAnsi="Segoe UI Semilight" w:cs="Segoe UI Semilight"/>
          <w:b/>
          <w:sz w:val="24"/>
          <w:szCs w:val="24"/>
          <w:u w:val="single"/>
        </w:rPr>
      </w:pPr>
    </w:p>
    <w:p w:rsidR="003C7004" w:rsidRDefault="003C7004" w:rsidP="00202EC1">
      <w:pPr>
        <w:spacing w:after="0" w:line="480" w:lineRule="auto"/>
        <w:rPr>
          <w:rFonts w:ascii="Segoe UI Semilight" w:hAnsi="Segoe UI Semilight" w:cs="Segoe UI Semilight"/>
          <w:b/>
          <w:sz w:val="24"/>
          <w:szCs w:val="24"/>
          <w:u w:val="single"/>
        </w:rPr>
      </w:pPr>
    </w:p>
    <w:p w:rsidR="003C7004" w:rsidRDefault="003C7004" w:rsidP="00202EC1">
      <w:pPr>
        <w:spacing w:after="0" w:line="480" w:lineRule="auto"/>
        <w:rPr>
          <w:rFonts w:ascii="Segoe UI Semilight" w:hAnsi="Segoe UI Semilight" w:cs="Segoe UI Semilight"/>
          <w:b/>
          <w:sz w:val="24"/>
          <w:szCs w:val="24"/>
          <w:u w:val="single"/>
        </w:rPr>
      </w:pPr>
    </w:p>
    <w:p w:rsidR="003C7004" w:rsidRDefault="003C7004" w:rsidP="00202EC1">
      <w:pPr>
        <w:spacing w:after="0" w:line="480" w:lineRule="auto"/>
        <w:rPr>
          <w:rFonts w:ascii="Segoe UI Semilight" w:hAnsi="Segoe UI Semilight" w:cs="Segoe UI Semilight"/>
          <w:b/>
          <w:sz w:val="24"/>
          <w:szCs w:val="24"/>
          <w:u w:val="single"/>
        </w:rPr>
      </w:pPr>
    </w:p>
    <w:p w:rsidR="003C7004" w:rsidRDefault="003C7004" w:rsidP="00202EC1">
      <w:pPr>
        <w:spacing w:after="0" w:line="480" w:lineRule="auto"/>
        <w:rPr>
          <w:rFonts w:ascii="Segoe UI Semilight" w:hAnsi="Segoe UI Semilight" w:cs="Segoe UI Semilight"/>
          <w:b/>
          <w:sz w:val="24"/>
          <w:szCs w:val="24"/>
          <w:u w:val="single"/>
        </w:rPr>
      </w:pPr>
    </w:p>
    <w:p w:rsidR="000176E6" w:rsidRPr="00202EC1" w:rsidRDefault="000176E6" w:rsidP="00202EC1">
      <w:pPr>
        <w:spacing w:after="0" w:line="480" w:lineRule="auto"/>
        <w:rPr>
          <w:rFonts w:ascii="Times New Roman" w:hAnsi="Times New Roman" w:cs="Times New Roman"/>
          <w:b/>
          <w:sz w:val="24"/>
          <w:szCs w:val="24"/>
          <w:u w:val="single"/>
        </w:rPr>
      </w:pPr>
      <w:r w:rsidRPr="00202EC1">
        <w:rPr>
          <w:rFonts w:ascii="Segoe UI Semilight" w:hAnsi="Segoe UI Semilight" w:cs="Segoe UI Semilight"/>
          <w:b/>
          <w:sz w:val="24"/>
          <w:szCs w:val="24"/>
          <w:u w:val="single"/>
        </w:rPr>
        <w:lastRenderedPageBreak/>
        <w:t xml:space="preserve">Appendix A: The Hutu Ten Commandments </w:t>
      </w:r>
    </w:p>
    <w:p w:rsidR="000176E6" w:rsidRPr="00202EC1" w:rsidRDefault="000176E6"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 xml:space="preserve">These were the infamous Hutu Ten Commandments published in </w:t>
      </w:r>
      <w:proofErr w:type="spellStart"/>
      <w:r w:rsidRPr="00202EC1">
        <w:rPr>
          <w:rFonts w:ascii="Segoe UI Semilight" w:hAnsi="Segoe UI Semilight" w:cs="Segoe UI Semilight"/>
          <w:i/>
          <w:sz w:val="24"/>
          <w:szCs w:val="24"/>
        </w:rPr>
        <w:t>Kangura</w:t>
      </w:r>
      <w:proofErr w:type="spellEnd"/>
      <w:r w:rsidRPr="00202EC1">
        <w:rPr>
          <w:rFonts w:ascii="Segoe UI Semilight" w:hAnsi="Segoe UI Semilight" w:cs="Segoe UI Semilight"/>
          <w:sz w:val="24"/>
          <w:szCs w:val="24"/>
        </w:rPr>
        <w:t xml:space="preserve"> in 1990. They have been translated into English.</w:t>
      </w:r>
      <w:r w:rsidR="00696622" w:rsidRPr="00202EC1">
        <w:rPr>
          <w:rStyle w:val="FootnoteReference"/>
          <w:rFonts w:ascii="Segoe UI Semilight" w:hAnsi="Segoe UI Semilight" w:cs="Segoe UI Semilight"/>
          <w:sz w:val="24"/>
          <w:szCs w:val="24"/>
        </w:rPr>
        <w:footnoteReference w:id="57"/>
      </w:r>
    </w:p>
    <w:p w:rsidR="00696622" w:rsidRPr="00202EC1" w:rsidRDefault="00696622" w:rsidP="000176E6">
      <w:pPr>
        <w:spacing w:after="0" w:line="240" w:lineRule="auto"/>
        <w:rPr>
          <w:rFonts w:ascii="Segoe UI Semilight" w:hAnsi="Segoe UI Semilight" w:cs="Segoe UI Semilight"/>
          <w:sz w:val="24"/>
          <w:szCs w:val="24"/>
        </w:rPr>
      </w:pPr>
    </w:p>
    <w:p w:rsidR="000176E6" w:rsidRPr="00202EC1" w:rsidRDefault="000176E6"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 xml:space="preserve">1. Every Hutu male should know that Tutsi woman, wherever they may be, are working in the pay of their Tutsi ethnic group. </w:t>
      </w:r>
      <w:r w:rsidR="00696622" w:rsidRPr="00202EC1">
        <w:rPr>
          <w:rFonts w:ascii="Segoe UI Semilight" w:hAnsi="Segoe UI Semilight" w:cs="Segoe UI Semilight"/>
          <w:sz w:val="24"/>
          <w:szCs w:val="24"/>
        </w:rPr>
        <w:t>Consequently</w:t>
      </w:r>
      <w:r w:rsidRPr="00202EC1">
        <w:rPr>
          <w:rFonts w:ascii="Segoe UI Semilight" w:hAnsi="Segoe UI Semilight" w:cs="Segoe UI Semilight"/>
          <w:sz w:val="24"/>
          <w:szCs w:val="24"/>
        </w:rPr>
        <w:t>, shall be deemed a traitor:</w:t>
      </w:r>
    </w:p>
    <w:p w:rsidR="000176E6" w:rsidRPr="00202EC1" w:rsidRDefault="000176E6"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ab/>
        <w:t>- Any Hutu make who marries a Tutsi woman;</w:t>
      </w:r>
    </w:p>
    <w:p w:rsidR="000176E6" w:rsidRPr="00202EC1" w:rsidRDefault="000176E6"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ab/>
        <w:t>- Any Hutu male who keeps a Tutsi concubine;</w:t>
      </w:r>
    </w:p>
    <w:p w:rsidR="000176E6" w:rsidRPr="00202EC1" w:rsidRDefault="000176E6"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ab/>
        <w:t>- Any Hutu male who makes a Tutsi woman his secretary or protégé.</w:t>
      </w:r>
    </w:p>
    <w:p w:rsidR="00696622" w:rsidRPr="00202EC1" w:rsidRDefault="00696622" w:rsidP="000176E6">
      <w:pPr>
        <w:spacing w:after="0" w:line="240" w:lineRule="auto"/>
        <w:rPr>
          <w:rFonts w:ascii="Segoe UI Semilight" w:hAnsi="Segoe UI Semilight" w:cs="Segoe UI Semilight"/>
          <w:sz w:val="24"/>
          <w:szCs w:val="24"/>
        </w:rPr>
      </w:pPr>
    </w:p>
    <w:p w:rsidR="000176E6" w:rsidRPr="00202EC1" w:rsidRDefault="000176E6"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2. Every Hutu male must know that our Hutu daughters are more dignified and conscientious in their role of woman, wife, and mother. Are they not pretty, good secretaries and more honest!</w:t>
      </w:r>
    </w:p>
    <w:p w:rsidR="00696622" w:rsidRPr="00202EC1" w:rsidRDefault="00696622" w:rsidP="000176E6">
      <w:pPr>
        <w:spacing w:after="0" w:line="240" w:lineRule="auto"/>
        <w:rPr>
          <w:rFonts w:ascii="Segoe UI Semilight" w:hAnsi="Segoe UI Semilight" w:cs="Segoe UI Semilight"/>
          <w:sz w:val="24"/>
          <w:szCs w:val="24"/>
        </w:rPr>
      </w:pPr>
    </w:p>
    <w:p w:rsidR="000176E6" w:rsidRPr="00202EC1" w:rsidRDefault="000176E6"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3. Hutu woman, be vigilant and bring your husbands, brothers and sons back to their senses.</w:t>
      </w:r>
    </w:p>
    <w:p w:rsidR="00696622" w:rsidRPr="00202EC1" w:rsidRDefault="00696622" w:rsidP="000176E6">
      <w:pPr>
        <w:spacing w:after="0" w:line="240" w:lineRule="auto"/>
        <w:rPr>
          <w:rFonts w:ascii="Segoe UI Semilight" w:hAnsi="Segoe UI Semilight" w:cs="Segoe UI Semilight"/>
          <w:sz w:val="24"/>
          <w:szCs w:val="24"/>
        </w:rPr>
      </w:pPr>
    </w:p>
    <w:p w:rsidR="000176E6" w:rsidRPr="00202EC1" w:rsidRDefault="000176E6"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4. Every Hutu male must know that all Tutsis are dishonest in their business dealings. They are only seeking ethnic supremacy.</w:t>
      </w:r>
    </w:p>
    <w:p w:rsidR="000176E6" w:rsidRPr="00202EC1" w:rsidRDefault="000176E6"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ab/>
        <w:t>“RIZABARA UWARIRAYE” (Only he who spent a sleepless night can talk about the night)</w:t>
      </w:r>
    </w:p>
    <w:p w:rsidR="000176E6" w:rsidRPr="00202EC1" w:rsidRDefault="000176E6"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ab/>
        <w:t>Shall be consequently considered a traitor, any Hutu male:</w:t>
      </w:r>
    </w:p>
    <w:p w:rsidR="000176E6" w:rsidRPr="00202EC1" w:rsidRDefault="000176E6"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ab/>
        <w:t xml:space="preserve">- </w:t>
      </w:r>
      <w:proofErr w:type="gramStart"/>
      <w:r w:rsidR="00696622" w:rsidRPr="00202EC1">
        <w:rPr>
          <w:rFonts w:ascii="Segoe UI Semilight" w:hAnsi="Segoe UI Semilight" w:cs="Segoe UI Semilight"/>
          <w:sz w:val="24"/>
          <w:szCs w:val="24"/>
        </w:rPr>
        <w:t>who</w:t>
      </w:r>
      <w:proofErr w:type="gramEnd"/>
      <w:r w:rsidR="00696622" w:rsidRPr="00202EC1">
        <w:rPr>
          <w:rFonts w:ascii="Segoe UI Semilight" w:hAnsi="Segoe UI Semilight" w:cs="Segoe UI Semilight"/>
          <w:sz w:val="24"/>
          <w:szCs w:val="24"/>
        </w:rPr>
        <w:t xml:space="preserve"> enters into a business partnership with Tutsis;</w:t>
      </w:r>
    </w:p>
    <w:p w:rsidR="00696622" w:rsidRPr="00202EC1" w:rsidRDefault="00696622"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ab/>
        <w:t xml:space="preserve">- </w:t>
      </w:r>
      <w:proofErr w:type="gramStart"/>
      <w:r w:rsidRPr="00202EC1">
        <w:rPr>
          <w:rFonts w:ascii="Segoe UI Semilight" w:hAnsi="Segoe UI Semilight" w:cs="Segoe UI Semilight"/>
          <w:sz w:val="24"/>
          <w:szCs w:val="24"/>
        </w:rPr>
        <w:t>who</w:t>
      </w:r>
      <w:proofErr w:type="gramEnd"/>
      <w:r w:rsidRPr="00202EC1">
        <w:rPr>
          <w:rFonts w:ascii="Segoe UI Semilight" w:hAnsi="Segoe UI Semilight" w:cs="Segoe UI Semilight"/>
          <w:sz w:val="24"/>
          <w:szCs w:val="24"/>
        </w:rPr>
        <w:t xml:space="preserve"> invests his money or State money in a Tutsi company;</w:t>
      </w:r>
    </w:p>
    <w:p w:rsidR="00696622" w:rsidRPr="00202EC1" w:rsidRDefault="00696622"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ab/>
        <w:t xml:space="preserve">- </w:t>
      </w:r>
      <w:proofErr w:type="gramStart"/>
      <w:r w:rsidRPr="00202EC1">
        <w:rPr>
          <w:rFonts w:ascii="Segoe UI Semilight" w:hAnsi="Segoe UI Semilight" w:cs="Segoe UI Semilight"/>
          <w:sz w:val="24"/>
          <w:szCs w:val="24"/>
        </w:rPr>
        <w:t>who</w:t>
      </w:r>
      <w:proofErr w:type="gramEnd"/>
      <w:r w:rsidRPr="00202EC1">
        <w:rPr>
          <w:rFonts w:ascii="Segoe UI Semilight" w:hAnsi="Segoe UI Semilight" w:cs="Segoe UI Semilight"/>
          <w:sz w:val="24"/>
          <w:szCs w:val="24"/>
        </w:rPr>
        <w:t xml:space="preserve"> lends to, or borrows from, a Tutsi;</w:t>
      </w:r>
    </w:p>
    <w:p w:rsidR="00696622" w:rsidRPr="00202EC1" w:rsidRDefault="00696622"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ab/>
        <w:t xml:space="preserve">- </w:t>
      </w:r>
      <w:proofErr w:type="gramStart"/>
      <w:r w:rsidRPr="00202EC1">
        <w:rPr>
          <w:rFonts w:ascii="Segoe UI Semilight" w:hAnsi="Segoe UI Semilight" w:cs="Segoe UI Semilight"/>
          <w:sz w:val="24"/>
          <w:szCs w:val="24"/>
        </w:rPr>
        <w:t>who</w:t>
      </w:r>
      <w:proofErr w:type="gramEnd"/>
      <w:r w:rsidRPr="00202EC1">
        <w:rPr>
          <w:rFonts w:ascii="Segoe UI Semilight" w:hAnsi="Segoe UI Semilight" w:cs="Segoe UI Semilight"/>
          <w:sz w:val="24"/>
          <w:szCs w:val="24"/>
        </w:rPr>
        <w:t xml:space="preserve"> grants business favors to Tutsi [granting of import licenses, bank loans, building plots, public tenders…]</w:t>
      </w:r>
    </w:p>
    <w:p w:rsidR="00696622" w:rsidRPr="00202EC1" w:rsidRDefault="00696622" w:rsidP="000176E6">
      <w:pPr>
        <w:spacing w:after="0" w:line="240" w:lineRule="auto"/>
        <w:rPr>
          <w:rFonts w:ascii="Segoe UI Semilight" w:hAnsi="Segoe UI Semilight" w:cs="Segoe UI Semilight"/>
          <w:sz w:val="24"/>
          <w:szCs w:val="24"/>
        </w:rPr>
      </w:pPr>
    </w:p>
    <w:p w:rsidR="00696622" w:rsidRPr="00202EC1" w:rsidRDefault="00696622"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 xml:space="preserve">5. Strategic positions in the political, administrative, economic, </w:t>
      </w:r>
      <w:proofErr w:type="gramStart"/>
      <w:r w:rsidRPr="00202EC1">
        <w:rPr>
          <w:rFonts w:ascii="Segoe UI Semilight" w:hAnsi="Segoe UI Semilight" w:cs="Segoe UI Semilight"/>
          <w:sz w:val="24"/>
          <w:szCs w:val="24"/>
        </w:rPr>
        <w:t>military</w:t>
      </w:r>
      <w:proofErr w:type="gramEnd"/>
      <w:r w:rsidRPr="00202EC1">
        <w:rPr>
          <w:rFonts w:ascii="Segoe UI Semilight" w:hAnsi="Segoe UI Semilight" w:cs="Segoe UI Semilight"/>
          <w:sz w:val="24"/>
          <w:szCs w:val="24"/>
        </w:rPr>
        <w:t xml:space="preserve"> and security domain should, to a large extent, be entrusted to Hutus</w:t>
      </w:r>
    </w:p>
    <w:p w:rsidR="00696622" w:rsidRPr="00202EC1" w:rsidRDefault="00696622" w:rsidP="000176E6">
      <w:pPr>
        <w:spacing w:after="0" w:line="240" w:lineRule="auto"/>
        <w:rPr>
          <w:rFonts w:ascii="Segoe UI Semilight" w:hAnsi="Segoe UI Semilight" w:cs="Segoe UI Semilight"/>
          <w:sz w:val="24"/>
          <w:szCs w:val="24"/>
        </w:rPr>
      </w:pPr>
    </w:p>
    <w:p w:rsidR="00696622" w:rsidRPr="00202EC1" w:rsidRDefault="00696622"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 xml:space="preserve">6. </w:t>
      </w:r>
      <w:proofErr w:type="gramStart"/>
      <w:r w:rsidRPr="00202EC1">
        <w:rPr>
          <w:rFonts w:ascii="Segoe UI Semilight" w:hAnsi="Segoe UI Semilight" w:cs="Segoe UI Semilight"/>
          <w:sz w:val="24"/>
          <w:szCs w:val="24"/>
        </w:rPr>
        <w:t>In</w:t>
      </w:r>
      <w:proofErr w:type="gramEnd"/>
      <w:r w:rsidRPr="00202EC1">
        <w:rPr>
          <w:rFonts w:ascii="Segoe UI Semilight" w:hAnsi="Segoe UI Semilight" w:cs="Segoe UI Semilight"/>
          <w:sz w:val="24"/>
          <w:szCs w:val="24"/>
        </w:rPr>
        <w:t xml:space="preserve"> the education sector, (pupils, students, teachers) must be in the majority Hutu</w:t>
      </w:r>
    </w:p>
    <w:p w:rsidR="00696622" w:rsidRPr="00202EC1" w:rsidRDefault="00696622" w:rsidP="000176E6">
      <w:pPr>
        <w:spacing w:after="0" w:line="240" w:lineRule="auto"/>
        <w:rPr>
          <w:rFonts w:ascii="Segoe UI Semilight" w:hAnsi="Segoe UI Semilight" w:cs="Segoe UI Semilight"/>
          <w:sz w:val="24"/>
          <w:szCs w:val="24"/>
        </w:rPr>
      </w:pPr>
    </w:p>
    <w:p w:rsidR="00696622" w:rsidRPr="00202EC1" w:rsidRDefault="00696622"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7. The Rwandan Armed Forces should be exclusively Hutu. That is the lesson we learned from the October 1990 war. No soldier must marry a Tutsi woman.</w:t>
      </w:r>
    </w:p>
    <w:p w:rsidR="00696622" w:rsidRPr="00202EC1" w:rsidRDefault="00696622" w:rsidP="000176E6">
      <w:pPr>
        <w:spacing w:after="0" w:line="240" w:lineRule="auto"/>
        <w:rPr>
          <w:rFonts w:ascii="Segoe UI Semilight" w:hAnsi="Segoe UI Semilight" w:cs="Segoe UI Semilight"/>
          <w:sz w:val="24"/>
          <w:szCs w:val="24"/>
        </w:rPr>
      </w:pPr>
    </w:p>
    <w:p w:rsidR="00696622" w:rsidRPr="00202EC1" w:rsidRDefault="00696622"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8. Hutus must cease having any pity for the Tutsi.</w:t>
      </w:r>
    </w:p>
    <w:p w:rsidR="00696622" w:rsidRPr="00202EC1" w:rsidRDefault="00696622" w:rsidP="000176E6">
      <w:pPr>
        <w:spacing w:after="0" w:line="240" w:lineRule="auto"/>
        <w:rPr>
          <w:rFonts w:ascii="Segoe UI Semilight" w:hAnsi="Segoe UI Semilight" w:cs="Segoe UI Semilight"/>
          <w:sz w:val="24"/>
          <w:szCs w:val="24"/>
        </w:rPr>
      </w:pPr>
    </w:p>
    <w:p w:rsidR="00696622" w:rsidRPr="00202EC1" w:rsidRDefault="00696622"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9. – The Hutu male, wherever he may be should be united, in solidarity and be concerned about the fate of their Hutu brothers</w:t>
      </w:r>
    </w:p>
    <w:p w:rsidR="00696622" w:rsidRPr="00202EC1" w:rsidRDefault="00696622"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 xml:space="preserve">  - The Hutus at home and abroad must constantly seek friends and allies for the Hutu Cause, beginning with their Bantu brothers.</w:t>
      </w:r>
    </w:p>
    <w:p w:rsidR="00696622" w:rsidRPr="00202EC1" w:rsidRDefault="00696622"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 xml:space="preserve">  - They must constantly counteract Tutsi propaganda.</w:t>
      </w:r>
    </w:p>
    <w:p w:rsidR="00696622" w:rsidRPr="00202EC1" w:rsidRDefault="00696622"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 xml:space="preserve">  - The Hutu must be firm and vigilant towards their common Tutsi enemy.</w:t>
      </w:r>
    </w:p>
    <w:p w:rsidR="00696622" w:rsidRPr="00202EC1" w:rsidRDefault="00696622" w:rsidP="000176E6">
      <w:pPr>
        <w:spacing w:after="0" w:line="240" w:lineRule="auto"/>
        <w:rPr>
          <w:rFonts w:ascii="Segoe UI Semilight" w:hAnsi="Segoe UI Semilight" w:cs="Segoe UI Semilight"/>
          <w:sz w:val="24"/>
          <w:szCs w:val="24"/>
        </w:rPr>
      </w:pPr>
    </w:p>
    <w:p w:rsidR="00696622" w:rsidRPr="00202EC1" w:rsidRDefault="00696622" w:rsidP="000176E6">
      <w:pPr>
        <w:spacing w:after="0" w:line="240" w:lineRule="auto"/>
        <w:rPr>
          <w:rFonts w:ascii="Segoe UI Semilight" w:hAnsi="Segoe UI Semilight" w:cs="Segoe UI Semilight"/>
          <w:sz w:val="24"/>
          <w:szCs w:val="24"/>
        </w:rPr>
      </w:pPr>
      <w:r w:rsidRPr="00202EC1">
        <w:rPr>
          <w:rFonts w:ascii="Segoe UI Semilight" w:hAnsi="Segoe UI Semilight" w:cs="Segoe UI Semilight"/>
          <w:sz w:val="24"/>
          <w:szCs w:val="24"/>
        </w:rPr>
        <w:t xml:space="preserve">10. The 1959 social revolution, the 1961 referendum and the Hutu ideology must be taught to Hutus at all levels. Every Hutu must propagate the present ideology widely. Any </w:t>
      </w:r>
      <w:proofErr w:type="gramStart"/>
      <w:r w:rsidRPr="00202EC1">
        <w:rPr>
          <w:rFonts w:ascii="Segoe UI Semilight" w:hAnsi="Segoe UI Semilight" w:cs="Segoe UI Semilight"/>
          <w:sz w:val="24"/>
          <w:szCs w:val="24"/>
        </w:rPr>
        <w:t>Hutu</w:t>
      </w:r>
      <w:proofErr w:type="gramEnd"/>
      <w:r w:rsidRPr="00202EC1">
        <w:rPr>
          <w:rFonts w:ascii="Segoe UI Semilight" w:hAnsi="Segoe UI Semilight" w:cs="Segoe UI Semilight"/>
          <w:sz w:val="24"/>
          <w:szCs w:val="24"/>
        </w:rPr>
        <w:t xml:space="preserve"> who persecutes his brother for having read, disseminated and taught this ideology shall be deemed a traitor. </w:t>
      </w:r>
    </w:p>
    <w:p w:rsidR="00130D25" w:rsidRPr="00202EC1" w:rsidRDefault="00130D25" w:rsidP="005B5BE4">
      <w:pPr>
        <w:spacing w:after="0" w:line="480" w:lineRule="auto"/>
        <w:rPr>
          <w:rFonts w:ascii="Segoe UI Semilight" w:hAnsi="Segoe UI Semilight" w:cs="Segoe UI Semilight"/>
          <w:sz w:val="24"/>
          <w:szCs w:val="24"/>
        </w:rPr>
      </w:pPr>
    </w:p>
    <w:p w:rsidR="00130D25" w:rsidRDefault="00130D25" w:rsidP="005B5BE4">
      <w:pPr>
        <w:spacing w:after="0" w:line="480" w:lineRule="auto"/>
        <w:rPr>
          <w:rFonts w:ascii="Times New Roman" w:hAnsi="Times New Roman" w:cs="Times New Roman"/>
          <w:sz w:val="24"/>
          <w:szCs w:val="24"/>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Default="00202EC1" w:rsidP="005B5BE4">
      <w:pPr>
        <w:spacing w:after="0" w:line="240" w:lineRule="auto"/>
        <w:rPr>
          <w:rFonts w:ascii="Times New Roman" w:hAnsi="Times New Roman" w:cs="Times New Roman"/>
          <w:color w:val="000000"/>
          <w:sz w:val="24"/>
          <w:szCs w:val="24"/>
          <w:shd w:val="clear" w:color="auto" w:fill="FFFFFF"/>
        </w:rPr>
      </w:pPr>
    </w:p>
    <w:p w:rsidR="00202EC1" w:rsidRPr="00E33BBF" w:rsidRDefault="00202EC1" w:rsidP="00202EC1">
      <w:pPr>
        <w:pStyle w:val="Heading1"/>
        <w:spacing w:before="0" w:line="240" w:lineRule="auto"/>
        <w:jc w:val="center"/>
        <w:rPr>
          <w:color w:val="auto"/>
          <w:shd w:val="clear" w:color="auto" w:fill="FFFFFF"/>
        </w:rPr>
      </w:pPr>
      <w:r w:rsidRPr="00E33BBF">
        <w:rPr>
          <w:color w:val="auto"/>
          <w:shd w:val="clear" w:color="auto" w:fill="FFFFFF"/>
        </w:rPr>
        <w:lastRenderedPageBreak/>
        <w:t>Bibliography</w:t>
      </w:r>
    </w:p>
    <w:p w:rsidR="00202EC1" w:rsidRPr="00202EC1" w:rsidRDefault="00202EC1" w:rsidP="00E33BBF">
      <w:pPr>
        <w:spacing w:after="0"/>
      </w:pPr>
    </w:p>
    <w:p w:rsidR="00202EC1" w:rsidRDefault="00202EC1" w:rsidP="00E33BBF">
      <w:pPr>
        <w:spacing w:after="0" w:line="240" w:lineRule="auto"/>
        <w:rPr>
          <w:rFonts w:ascii="Times New Roman" w:hAnsi="Times New Roman" w:cs="Times New Roman"/>
          <w:color w:val="000000"/>
          <w:sz w:val="24"/>
          <w:szCs w:val="24"/>
          <w:shd w:val="clear" w:color="auto" w:fill="FFFFFF"/>
        </w:rPr>
      </w:pPr>
    </w:p>
    <w:p w:rsidR="00E33BBF" w:rsidRDefault="00E33BBF" w:rsidP="00E33BBF">
      <w:pPr>
        <w:spacing w:after="0" w:line="240" w:lineRule="auto"/>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Des Forges, Alison, </w:t>
      </w:r>
      <w:r w:rsidRPr="00357362">
        <w:rPr>
          <w:rFonts w:ascii="Times New Roman" w:hAnsi="Times New Roman" w:cs="Times New Roman"/>
          <w:color w:val="000000"/>
          <w:sz w:val="24"/>
          <w:szCs w:val="24"/>
          <w:shd w:val="clear" w:color="auto" w:fill="FFFFFF"/>
        </w:rPr>
        <w:t xml:space="preserve">“Call to Genocide: Radio in Rwanda, 1994.” In </w:t>
      </w:r>
      <w:r w:rsidRPr="00357362">
        <w:rPr>
          <w:rFonts w:ascii="Times New Roman" w:hAnsi="Times New Roman" w:cs="Times New Roman"/>
          <w:i/>
          <w:color w:val="000000"/>
          <w:sz w:val="24"/>
          <w:szCs w:val="24"/>
          <w:shd w:val="clear" w:color="auto" w:fill="FFFFFF"/>
        </w:rPr>
        <w:t>The Media and the</w:t>
      </w:r>
      <w:r>
        <w:rPr>
          <w:rFonts w:ascii="Times New Roman" w:hAnsi="Times New Roman" w:cs="Times New Roman"/>
          <w:i/>
          <w:color w:val="000000"/>
          <w:sz w:val="24"/>
          <w:szCs w:val="24"/>
          <w:shd w:val="clear" w:color="auto" w:fill="FFFFFF"/>
        </w:rPr>
        <w:t xml:space="preserve"> Rwanda</w:t>
      </w:r>
    </w:p>
    <w:p w:rsidR="00E33BBF" w:rsidRDefault="00E33BBF" w:rsidP="00E33BBF">
      <w:pPr>
        <w:spacing w:after="0" w:line="240" w:lineRule="auto"/>
        <w:ind w:firstLine="720"/>
        <w:rPr>
          <w:rFonts w:ascii="Times New Roman" w:hAnsi="Times New Roman" w:cs="Times New Roman"/>
          <w:color w:val="000000"/>
          <w:sz w:val="24"/>
          <w:szCs w:val="24"/>
          <w:shd w:val="clear" w:color="auto" w:fill="FFFFFF"/>
        </w:rPr>
      </w:pPr>
      <w:proofErr w:type="gramStart"/>
      <w:r w:rsidRPr="00357362">
        <w:rPr>
          <w:rFonts w:ascii="Times New Roman" w:hAnsi="Times New Roman" w:cs="Times New Roman"/>
          <w:i/>
          <w:color w:val="000000"/>
          <w:sz w:val="24"/>
          <w:szCs w:val="24"/>
          <w:shd w:val="clear" w:color="auto" w:fill="FFFFFF"/>
        </w:rPr>
        <w:t xml:space="preserve">Genocide, </w:t>
      </w:r>
      <w:r w:rsidRPr="00357362">
        <w:rPr>
          <w:rFonts w:ascii="Times New Roman" w:hAnsi="Times New Roman" w:cs="Times New Roman"/>
          <w:color w:val="000000"/>
          <w:sz w:val="24"/>
          <w:szCs w:val="24"/>
          <w:shd w:val="clear" w:color="auto" w:fill="FFFFFF"/>
        </w:rPr>
        <w:t>edited by Allan Thompson, 41-54.</w:t>
      </w:r>
      <w:proofErr w:type="gramEnd"/>
      <w:r w:rsidRPr="00357362">
        <w:rPr>
          <w:rFonts w:ascii="Times New Roman" w:hAnsi="Times New Roman" w:cs="Times New Roman"/>
          <w:color w:val="000000"/>
          <w:sz w:val="24"/>
          <w:szCs w:val="24"/>
          <w:shd w:val="clear" w:color="auto" w:fill="FFFFFF"/>
        </w:rPr>
        <w:t xml:space="preserve"> London: Pluto Press, 2007.</w:t>
      </w:r>
    </w:p>
    <w:p w:rsidR="00E33BBF" w:rsidRPr="00357362" w:rsidRDefault="00E33BBF" w:rsidP="00E33BBF">
      <w:pPr>
        <w:spacing w:after="0" w:line="240" w:lineRule="auto"/>
        <w:ind w:firstLine="720"/>
        <w:rPr>
          <w:rFonts w:ascii="Times New Roman" w:hAnsi="Times New Roman" w:cs="Times New Roman"/>
          <w:i/>
          <w:color w:val="000000"/>
          <w:sz w:val="24"/>
          <w:szCs w:val="24"/>
          <w:shd w:val="clear" w:color="auto" w:fill="FFFFFF"/>
        </w:rPr>
      </w:pPr>
    </w:p>
    <w:p w:rsidR="00E33BBF" w:rsidRDefault="00E33BBF" w:rsidP="00E33BBF">
      <w:pPr>
        <w:spacing w:after="0" w:line="240" w:lineRule="auto"/>
        <w:rPr>
          <w:rFonts w:ascii="Times New Roman" w:hAnsi="Times New Roman" w:cs="Times New Roman"/>
          <w:i/>
          <w:color w:val="000000"/>
          <w:sz w:val="24"/>
          <w:szCs w:val="24"/>
          <w:shd w:val="clear" w:color="auto" w:fill="FFFFFF"/>
        </w:rPr>
      </w:pPr>
      <w:proofErr w:type="spellStart"/>
      <w:r w:rsidRPr="00357362">
        <w:rPr>
          <w:rFonts w:ascii="Times New Roman" w:hAnsi="Times New Roman" w:cs="Times New Roman"/>
          <w:color w:val="000000"/>
          <w:sz w:val="24"/>
          <w:szCs w:val="24"/>
          <w:shd w:val="clear" w:color="auto" w:fill="FFFFFF"/>
        </w:rPr>
        <w:t>Hintjens</w:t>
      </w:r>
      <w:proofErr w:type="spellEnd"/>
      <w:r w:rsidRPr="00357362">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Helen M. “Explaining the 1994 G</w:t>
      </w:r>
      <w:r w:rsidRPr="00357362">
        <w:rPr>
          <w:rFonts w:ascii="Times New Roman" w:hAnsi="Times New Roman" w:cs="Times New Roman"/>
          <w:color w:val="000000"/>
          <w:sz w:val="24"/>
          <w:szCs w:val="24"/>
          <w:shd w:val="clear" w:color="auto" w:fill="FFFFFF"/>
        </w:rPr>
        <w:t xml:space="preserve">enocide in Rwanda.” </w:t>
      </w:r>
      <w:r w:rsidRPr="00357362">
        <w:rPr>
          <w:rFonts w:ascii="Times New Roman" w:hAnsi="Times New Roman" w:cs="Times New Roman"/>
          <w:i/>
          <w:color w:val="000000"/>
          <w:sz w:val="24"/>
          <w:szCs w:val="24"/>
          <w:shd w:val="clear" w:color="auto" w:fill="FFFFFF"/>
        </w:rPr>
        <w:t>The Journal of Modern</w:t>
      </w:r>
      <w:r>
        <w:rPr>
          <w:rFonts w:ascii="Times New Roman" w:hAnsi="Times New Roman" w:cs="Times New Roman"/>
          <w:i/>
          <w:color w:val="000000"/>
          <w:sz w:val="24"/>
          <w:szCs w:val="24"/>
          <w:shd w:val="clear" w:color="auto" w:fill="FFFFFF"/>
        </w:rPr>
        <w:t xml:space="preserve"> African</w:t>
      </w:r>
    </w:p>
    <w:p w:rsidR="00E33BBF" w:rsidRDefault="00E33BBF" w:rsidP="00E33BBF">
      <w:pPr>
        <w:spacing w:after="0" w:line="240" w:lineRule="auto"/>
        <w:ind w:firstLine="720"/>
        <w:rPr>
          <w:rFonts w:ascii="Times New Roman" w:hAnsi="Times New Roman" w:cs="Times New Roman"/>
          <w:color w:val="000000"/>
          <w:sz w:val="24"/>
          <w:szCs w:val="24"/>
          <w:shd w:val="clear" w:color="auto" w:fill="FFFFFF"/>
        </w:rPr>
      </w:pPr>
      <w:r w:rsidRPr="00357362">
        <w:rPr>
          <w:rFonts w:ascii="Times New Roman" w:hAnsi="Times New Roman" w:cs="Times New Roman"/>
          <w:i/>
          <w:color w:val="000000"/>
          <w:sz w:val="24"/>
          <w:szCs w:val="24"/>
          <w:shd w:val="clear" w:color="auto" w:fill="FFFFFF"/>
        </w:rPr>
        <w:t xml:space="preserve">Studies </w:t>
      </w:r>
      <w:r>
        <w:rPr>
          <w:rFonts w:ascii="Times New Roman" w:hAnsi="Times New Roman" w:cs="Times New Roman"/>
          <w:color w:val="000000"/>
          <w:sz w:val="24"/>
          <w:szCs w:val="24"/>
          <w:shd w:val="clear" w:color="auto" w:fill="FFFFFF"/>
        </w:rPr>
        <w:t>37, no. 2</w:t>
      </w:r>
      <w:r w:rsidRPr="00357362">
        <w:rPr>
          <w:rFonts w:ascii="Times New Roman" w:hAnsi="Times New Roman" w:cs="Times New Roman"/>
          <w:color w:val="000000"/>
          <w:sz w:val="24"/>
          <w:szCs w:val="24"/>
          <w:shd w:val="clear" w:color="auto" w:fill="FFFFFF"/>
        </w:rPr>
        <w:t xml:space="preserve"> (1999): 241-86</w:t>
      </w:r>
    </w:p>
    <w:p w:rsidR="00E33BBF" w:rsidRPr="00357362" w:rsidRDefault="00E33BBF" w:rsidP="00E33BBF">
      <w:pPr>
        <w:spacing w:after="0" w:line="240" w:lineRule="auto"/>
        <w:ind w:firstLine="720"/>
        <w:rPr>
          <w:rFonts w:ascii="Times New Roman" w:hAnsi="Times New Roman" w:cs="Times New Roman"/>
          <w:i/>
          <w:color w:val="000000"/>
          <w:sz w:val="24"/>
          <w:szCs w:val="24"/>
          <w:shd w:val="clear" w:color="auto" w:fill="FFFFFF"/>
        </w:rPr>
      </w:pPr>
    </w:p>
    <w:p w:rsidR="005B5BE4" w:rsidRDefault="005B5BE4" w:rsidP="00E33BBF">
      <w:pPr>
        <w:spacing w:after="0" w:line="240" w:lineRule="auto"/>
        <w:rPr>
          <w:rFonts w:ascii="Times New Roman" w:hAnsi="Times New Roman" w:cs="Times New Roman"/>
          <w:i/>
          <w:color w:val="000000"/>
          <w:sz w:val="24"/>
          <w:szCs w:val="24"/>
          <w:shd w:val="clear" w:color="auto" w:fill="FFFFFF"/>
        </w:rPr>
      </w:pPr>
      <w:proofErr w:type="spellStart"/>
      <w:r w:rsidRPr="00357362">
        <w:rPr>
          <w:rFonts w:ascii="Times New Roman" w:hAnsi="Times New Roman" w:cs="Times New Roman"/>
          <w:color w:val="000000"/>
          <w:sz w:val="24"/>
          <w:szCs w:val="24"/>
          <w:shd w:val="clear" w:color="auto" w:fill="FFFFFF"/>
        </w:rPr>
        <w:t>Imbleau</w:t>
      </w:r>
      <w:proofErr w:type="spellEnd"/>
      <w:r w:rsidRPr="00357362">
        <w:rPr>
          <w:rFonts w:ascii="Times New Roman" w:hAnsi="Times New Roman" w:cs="Times New Roman"/>
          <w:color w:val="000000"/>
          <w:sz w:val="24"/>
          <w:szCs w:val="24"/>
          <w:shd w:val="clear" w:color="auto" w:fill="FFFFFF"/>
        </w:rPr>
        <w:t xml:space="preserve">, Martin. </w:t>
      </w:r>
      <w:proofErr w:type="gramStart"/>
      <w:r w:rsidRPr="00357362">
        <w:rPr>
          <w:rFonts w:ascii="Times New Roman" w:hAnsi="Times New Roman" w:cs="Times New Roman"/>
          <w:color w:val="000000"/>
          <w:sz w:val="24"/>
          <w:szCs w:val="24"/>
          <w:shd w:val="clear" w:color="auto" w:fill="FFFFFF"/>
        </w:rPr>
        <w:t>“Propaganda.”</w:t>
      </w:r>
      <w:proofErr w:type="gramEnd"/>
      <w:r w:rsidRPr="00357362">
        <w:rPr>
          <w:rFonts w:ascii="Times New Roman" w:hAnsi="Times New Roman" w:cs="Times New Roman"/>
          <w:color w:val="000000"/>
          <w:sz w:val="24"/>
          <w:szCs w:val="24"/>
          <w:shd w:val="clear" w:color="auto" w:fill="FFFFFF"/>
        </w:rPr>
        <w:t xml:space="preserve"> In </w:t>
      </w:r>
      <w:r w:rsidRPr="00357362">
        <w:rPr>
          <w:rFonts w:ascii="Times New Roman" w:hAnsi="Times New Roman" w:cs="Times New Roman"/>
          <w:i/>
          <w:color w:val="000000"/>
          <w:sz w:val="24"/>
          <w:szCs w:val="24"/>
          <w:shd w:val="clear" w:color="auto" w:fill="FFFFFF"/>
        </w:rPr>
        <w:t xml:space="preserve">Encyclopedia of Genocide and Crimes </w:t>
      </w:r>
      <w:proofErr w:type="gramStart"/>
      <w:r w:rsidRPr="00357362">
        <w:rPr>
          <w:rFonts w:ascii="Times New Roman" w:hAnsi="Times New Roman" w:cs="Times New Roman"/>
          <w:i/>
          <w:color w:val="000000"/>
          <w:sz w:val="24"/>
          <w:szCs w:val="24"/>
          <w:shd w:val="clear" w:color="auto" w:fill="FFFFFF"/>
        </w:rPr>
        <w:t>Against</w:t>
      </w:r>
      <w:proofErr w:type="gramEnd"/>
      <w:r>
        <w:rPr>
          <w:rFonts w:ascii="Times New Roman" w:hAnsi="Times New Roman" w:cs="Times New Roman"/>
          <w:i/>
          <w:color w:val="000000"/>
          <w:sz w:val="24"/>
          <w:szCs w:val="24"/>
          <w:shd w:val="clear" w:color="auto" w:fill="FFFFFF"/>
        </w:rPr>
        <w:t xml:space="preserve"> Humanity,</w:t>
      </w:r>
    </w:p>
    <w:p w:rsidR="005B5BE4" w:rsidRPr="00357362" w:rsidRDefault="005B5BE4" w:rsidP="00E33BBF">
      <w:pPr>
        <w:spacing w:after="0" w:line="240" w:lineRule="auto"/>
        <w:ind w:firstLine="720"/>
        <w:rPr>
          <w:rFonts w:ascii="Times New Roman" w:hAnsi="Times New Roman" w:cs="Times New Roman"/>
          <w:i/>
          <w:color w:val="000000"/>
          <w:sz w:val="24"/>
          <w:szCs w:val="24"/>
          <w:shd w:val="clear" w:color="auto" w:fill="FFFFFF"/>
        </w:rPr>
      </w:pPr>
      <w:proofErr w:type="gramStart"/>
      <w:r w:rsidRPr="00357362">
        <w:rPr>
          <w:rFonts w:ascii="Times New Roman" w:hAnsi="Times New Roman" w:cs="Times New Roman"/>
          <w:color w:val="000000"/>
          <w:sz w:val="24"/>
          <w:szCs w:val="24"/>
          <w:shd w:val="clear" w:color="auto" w:fill="FFFFFF"/>
        </w:rPr>
        <w:t>edited</w:t>
      </w:r>
      <w:proofErr w:type="gramEnd"/>
      <w:r w:rsidRPr="00357362">
        <w:rPr>
          <w:rFonts w:ascii="Times New Roman" w:hAnsi="Times New Roman" w:cs="Times New Roman"/>
          <w:color w:val="000000"/>
          <w:sz w:val="24"/>
          <w:szCs w:val="24"/>
          <w:shd w:val="clear" w:color="auto" w:fill="FFFFFF"/>
        </w:rPr>
        <w:t xml:space="preserve"> by Dinah L. Shelton et al., 825-31. Farmington Hills: Thomson Gale, 2005.</w:t>
      </w:r>
    </w:p>
    <w:p w:rsidR="005B5BE4" w:rsidRDefault="005B5BE4" w:rsidP="00E33BBF">
      <w:pPr>
        <w:spacing w:after="0" w:line="240" w:lineRule="auto"/>
        <w:rPr>
          <w:rFonts w:ascii="Times New Roman" w:hAnsi="Times New Roman" w:cs="Times New Roman"/>
          <w:sz w:val="24"/>
          <w:szCs w:val="24"/>
        </w:rPr>
      </w:pPr>
    </w:p>
    <w:p w:rsidR="00E33BBF" w:rsidRDefault="00E33BBF" w:rsidP="00E33BBF">
      <w:pPr>
        <w:spacing w:after="0" w:line="240" w:lineRule="auto"/>
        <w:rPr>
          <w:rFonts w:ascii="Times New Roman" w:hAnsi="Times New Roman" w:cs="Times New Roman"/>
          <w:i/>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Kabanda</w:t>
      </w:r>
      <w:proofErr w:type="spellEnd"/>
      <w:r>
        <w:rPr>
          <w:rFonts w:ascii="Times New Roman" w:hAnsi="Times New Roman" w:cs="Times New Roman"/>
          <w:color w:val="000000"/>
          <w:sz w:val="24"/>
          <w:szCs w:val="24"/>
          <w:shd w:val="clear" w:color="auto" w:fill="FFFFFF"/>
        </w:rPr>
        <w:t>, Marcel,</w:t>
      </w:r>
      <w:r w:rsidRPr="00357362">
        <w:rPr>
          <w:rFonts w:ascii="Times New Roman" w:hAnsi="Times New Roman" w:cs="Times New Roman"/>
          <w:color w:val="000000"/>
          <w:sz w:val="24"/>
          <w:szCs w:val="24"/>
          <w:shd w:val="clear" w:color="auto" w:fill="FFFFFF"/>
        </w:rPr>
        <w:t xml:space="preserve"> “</w:t>
      </w:r>
      <w:proofErr w:type="spellStart"/>
      <w:r w:rsidRPr="0090790E">
        <w:rPr>
          <w:rFonts w:ascii="Times New Roman" w:hAnsi="Times New Roman" w:cs="Times New Roman"/>
          <w:color w:val="000000"/>
          <w:sz w:val="24"/>
          <w:szCs w:val="24"/>
          <w:shd w:val="clear" w:color="auto" w:fill="FFFFFF"/>
        </w:rPr>
        <w:t>Kangura</w:t>
      </w:r>
      <w:proofErr w:type="spellEnd"/>
      <w:r w:rsidRPr="00580C36">
        <w:rPr>
          <w:rFonts w:ascii="Times New Roman" w:hAnsi="Times New Roman" w:cs="Times New Roman"/>
          <w:color w:val="000000"/>
          <w:sz w:val="24"/>
          <w:szCs w:val="24"/>
          <w:shd w:val="clear" w:color="auto" w:fill="FFFFFF"/>
        </w:rPr>
        <w:t>:</w:t>
      </w:r>
      <w:r w:rsidRPr="00357362">
        <w:rPr>
          <w:rFonts w:ascii="Times New Roman" w:hAnsi="Times New Roman" w:cs="Times New Roman"/>
          <w:i/>
          <w:color w:val="000000"/>
          <w:sz w:val="24"/>
          <w:szCs w:val="24"/>
          <w:shd w:val="clear" w:color="auto" w:fill="FFFFFF"/>
        </w:rPr>
        <w:t xml:space="preserve"> </w:t>
      </w:r>
      <w:r w:rsidRPr="00357362">
        <w:rPr>
          <w:rFonts w:ascii="Times New Roman" w:hAnsi="Times New Roman" w:cs="Times New Roman"/>
          <w:color w:val="000000"/>
          <w:sz w:val="24"/>
          <w:szCs w:val="24"/>
          <w:shd w:val="clear" w:color="auto" w:fill="FFFFFF"/>
        </w:rPr>
        <w:t xml:space="preserve">the Triumph of Propaganda Refined.” In </w:t>
      </w:r>
      <w:r w:rsidRPr="00357362">
        <w:rPr>
          <w:rFonts w:ascii="Times New Roman" w:hAnsi="Times New Roman" w:cs="Times New Roman"/>
          <w:i/>
          <w:color w:val="000000"/>
          <w:sz w:val="24"/>
          <w:szCs w:val="24"/>
          <w:shd w:val="clear" w:color="auto" w:fill="FFFFFF"/>
        </w:rPr>
        <w:t>The Media and the</w:t>
      </w:r>
    </w:p>
    <w:p w:rsidR="00E33BBF" w:rsidRPr="00357362" w:rsidRDefault="00E33BBF" w:rsidP="00E33BBF">
      <w:pPr>
        <w:spacing w:after="0" w:line="240" w:lineRule="auto"/>
        <w:ind w:firstLine="720"/>
        <w:rPr>
          <w:rFonts w:ascii="Times New Roman" w:hAnsi="Times New Roman" w:cs="Times New Roman"/>
          <w:i/>
          <w:color w:val="000000"/>
          <w:sz w:val="24"/>
          <w:szCs w:val="24"/>
          <w:shd w:val="clear" w:color="auto" w:fill="FFFFFF"/>
        </w:rPr>
      </w:pPr>
      <w:r w:rsidRPr="00357362">
        <w:rPr>
          <w:rFonts w:ascii="Times New Roman" w:hAnsi="Times New Roman" w:cs="Times New Roman"/>
          <w:i/>
          <w:color w:val="000000"/>
          <w:sz w:val="24"/>
          <w:szCs w:val="24"/>
          <w:shd w:val="clear" w:color="auto" w:fill="FFFFFF"/>
        </w:rPr>
        <w:t xml:space="preserve">Rwanda Genocide, </w:t>
      </w:r>
      <w:r>
        <w:rPr>
          <w:rFonts w:ascii="Times New Roman" w:hAnsi="Times New Roman" w:cs="Times New Roman"/>
          <w:color w:val="000000"/>
          <w:sz w:val="24"/>
          <w:szCs w:val="24"/>
          <w:shd w:val="clear" w:color="auto" w:fill="FFFFFF"/>
        </w:rPr>
        <w:t>edited by Allan Thompson, 62-72</w:t>
      </w:r>
      <w:r w:rsidRPr="00357362">
        <w:rPr>
          <w:rFonts w:ascii="Times New Roman" w:hAnsi="Times New Roman" w:cs="Times New Roman"/>
          <w:color w:val="000000"/>
          <w:sz w:val="24"/>
          <w:szCs w:val="24"/>
          <w:shd w:val="clear" w:color="auto" w:fill="FFFFFF"/>
        </w:rPr>
        <w:t>. London: Pluto Press, 2007.</w:t>
      </w:r>
    </w:p>
    <w:p w:rsidR="00E33BBF" w:rsidRDefault="00E33BBF" w:rsidP="00E33BBF">
      <w:pPr>
        <w:spacing w:after="0" w:line="240" w:lineRule="auto"/>
        <w:rPr>
          <w:rFonts w:ascii="Times New Roman" w:hAnsi="Times New Roman" w:cs="Times New Roman"/>
          <w:sz w:val="24"/>
          <w:szCs w:val="24"/>
        </w:rPr>
      </w:pPr>
    </w:p>
    <w:p w:rsidR="00E33BBF" w:rsidRDefault="00E33BBF" w:rsidP="00E33BB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Keane, Fergal,</w:t>
      </w:r>
      <w:r w:rsidRPr="00357362">
        <w:rPr>
          <w:rFonts w:ascii="Times New Roman" w:hAnsi="Times New Roman" w:cs="Times New Roman"/>
          <w:color w:val="000000"/>
          <w:sz w:val="24"/>
          <w:szCs w:val="24"/>
          <w:shd w:val="clear" w:color="auto" w:fill="FFFFFF"/>
        </w:rPr>
        <w:t xml:space="preserve"> “President </w:t>
      </w:r>
      <w:proofErr w:type="spellStart"/>
      <w:r w:rsidRPr="00357362">
        <w:rPr>
          <w:rFonts w:ascii="Times New Roman" w:hAnsi="Times New Roman" w:cs="Times New Roman"/>
          <w:color w:val="000000"/>
          <w:sz w:val="24"/>
          <w:szCs w:val="24"/>
          <w:shd w:val="clear" w:color="auto" w:fill="FFFFFF"/>
        </w:rPr>
        <w:t>Habyarimana’s</w:t>
      </w:r>
      <w:proofErr w:type="spellEnd"/>
      <w:r w:rsidRPr="00357362">
        <w:rPr>
          <w:rFonts w:ascii="Times New Roman" w:hAnsi="Times New Roman" w:cs="Times New Roman"/>
          <w:color w:val="000000"/>
          <w:sz w:val="24"/>
          <w:szCs w:val="24"/>
          <w:shd w:val="clear" w:color="auto" w:fill="FFFFFF"/>
        </w:rPr>
        <w:t xml:space="preserve"> Government was Responsible for the Genocide.”</w:t>
      </w:r>
      <w:r>
        <w:rPr>
          <w:rFonts w:ascii="Times New Roman" w:hAnsi="Times New Roman" w:cs="Times New Roman"/>
          <w:color w:val="000000"/>
          <w:sz w:val="24"/>
          <w:szCs w:val="24"/>
          <w:shd w:val="clear" w:color="auto" w:fill="FFFFFF"/>
        </w:rPr>
        <w:t xml:space="preserve"> In </w:t>
      </w:r>
    </w:p>
    <w:p w:rsidR="00E33BBF" w:rsidRDefault="00E33BBF" w:rsidP="00E33BBF">
      <w:pPr>
        <w:spacing w:after="0" w:line="240" w:lineRule="auto"/>
        <w:ind w:left="720"/>
        <w:rPr>
          <w:rFonts w:ascii="Times New Roman" w:hAnsi="Times New Roman" w:cs="Times New Roman"/>
          <w:color w:val="000000"/>
          <w:sz w:val="24"/>
          <w:szCs w:val="24"/>
          <w:shd w:val="clear" w:color="auto" w:fill="FFFFFF"/>
        </w:rPr>
      </w:pPr>
      <w:r w:rsidRPr="00357362">
        <w:rPr>
          <w:rFonts w:ascii="Times New Roman" w:hAnsi="Times New Roman" w:cs="Times New Roman"/>
          <w:i/>
          <w:color w:val="000000"/>
          <w:sz w:val="24"/>
          <w:szCs w:val="24"/>
          <w:shd w:val="clear" w:color="auto" w:fill="FFFFFF"/>
        </w:rPr>
        <w:t xml:space="preserve">The Rwanda Genocide, </w:t>
      </w:r>
      <w:r w:rsidRPr="00357362">
        <w:rPr>
          <w:rFonts w:ascii="Times New Roman" w:hAnsi="Times New Roman" w:cs="Times New Roman"/>
          <w:color w:val="000000"/>
          <w:sz w:val="24"/>
          <w:szCs w:val="24"/>
          <w:shd w:val="clear" w:color="auto" w:fill="FFFFFF"/>
        </w:rPr>
        <w:t>edi</w:t>
      </w:r>
      <w:r>
        <w:rPr>
          <w:rFonts w:ascii="Times New Roman" w:hAnsi="Times New Roman" w:cs="Times New Roman"/>
          <w:color w:val="000000"/>
          <w:sz w:val="24"/>
          <w:szCs w:val="24"/>
          <w:shd w:val="clear" w:color="auto" w:fill="FFFFFF"/>
        </w:rPr>
        <w:t xml:space="preserve">ted by Christina </w:t>
      </w:r>
      <w:proofErr w:type="spellStart"/>
      <w:r>
        <w:rPr>
          <w:rFonts w:ascii="Times New Roman" w:hAnsi="Times New Roman" w:cs="Times New Roman"/>
          <w:color w:val="000000"/>
          <w:sz w:val="24"/>
          <w:szCs w:val="24"/>
          <w:shd w:val="clear" w:color="auto" w:fill="FFFFFF"/>
        </w:rPr>
        <w:t>Fisanick</w:t>
      </w:r>
      <w:proofErr w:type="spellEnd"/>
      <w:r>
        <w:rPr>
          <w:rFonts w:ascii="Times New Roman" w:hAnsi="Times New Roman" w:cs="Times New Roman"/>
          <w:color w:val="000000"/>
          <w:sz w:val="24"/>
          <w:szCs w:val="24"/>
          <w:shd w:val="clear" w:color="auto" w:fill="FFFFFF"/>
        </w:rPr>
        <w:t>, 17-28</w:t>
      </w:r>
      <w:r w:rsidRPr="00357362">
        <w:rPr>
          <w:rFonts w:ascii="Times New Roman" w:hAnsi="Times New Roman" w:cs="Times New Roman"/>
          <w:color w:val="000000"/>
          <w:sz w:val="24"/>
          <w:szCs w:val="24"/>
          <w:shd w:val="clear" w:color="auto" w:fill="FFFFFF"/>
        </w:rPr>
        <w:t>. Farmington Hills, MI: Greenhaven Press, 2004.</w:t>
      </w:r>
    </w:p>
    <w:p w:rsidR="00E33BBF" w:rsidRPr="00357362" w:rsidRDefault="00E33BBF" w:rsidP="00E33BBF">
      <w:pPr>
        <w:spacing w:after="0" w:line="240" w:lineRule="auto"/>
        <w:ind w:left="720"/>
        <w:rPr>
          <w:rFonts w:ascii="Times New Roman" w:hAnsi="Times New Roman" w:cs="Times New Roman"/>
          <w:color w:val="000000"/>
          <w:sz w:val="24"/>
          <w:szCs w:val="24"/>
          <w:shd w:val="clear" w:color="auto" w:fill="FFFFFF"/>
        </w:rPr>
      </w:pPr>
    </w:p>
    <w:p w:rsidR="00E33BBF" w:rsidRDefault="00E33BBF" w:rsidP="00E33BBF">
      <w:pPr>
        <w:spacing w:after="0" w:line="240" w:lineRule="auto"/>
        <w:rPr>
          <w:rFonts w:ascii="Times New Roman" w:hAnsi="Times New Roman" w:cs="Times New Roman"/>
          <w:i/>
          <w:color w:val="000000"/>
          <w:sz w:val="24"/>
          <w:szCs w:val="24"/>
          <w:shd w:val="clear" w:color="auto" w:fill="FFFFFF"/>
        </w:rPr>
      </w:pPr>
      <w:proofErr w:type="spellStart"/>
      <w:r>
        <w:rPr>
          <w:rFonts w:ascii="Times New Roman" w:hAnsi="Times New Roman" w:cs="Times New Roman"/>
          <w:sz w:val="24"/>
          <w:szCs w:val="24"/>
        </w:rPr>
        <w:t>Melvern</w:t>
      </w:r>
      <w:proofErr w:type="spellEnd"/>
      <w:r>
        <w:rPr>
          <w:rFonts w:ascii="Times New Roman" w:hAnsi="Times New Roman" w:cs="Times New Roman"/>
          <w:sz w:val="24"/>
          <w:szCs w:val="24"/>
        </w:rPr>
        <w:t>, Linda, “Missing the Story: the Media and the Rwanda Genocide.”</w:t>
      </w:r>
      <w:r w:rsidRPr="001D0707">
        <w:rPr>
          <w:rFonts w:ascii="Times New Roman" w:hAnsi="Times New Roman" w:cs="Times New Roman"/>
          <w:color w:val="000000"/>
          <w:sz w:val="24"/>
          <w:szCs w:val="24"/>
          <w:shd w:val="clear" w:color="auto" w:fill="FFFFFF"/>
        </w:rPr>
        <w:t xml:space="preserve"> </w:t>
      </w:r>
      <w:r w:rsidRPr="00357362">
        <w:rPr>
          <w:rFonts w:ascii="Times New Roman" w:hAnsi="Times New Roman" w:cs="Times New Roman"/>
          <w:color w:val="000000"/>
          <w:sz w:val="24"/>
          <w:szCs w:val="24"/>
          <w:shd w:val="clear" w:color="auto" w:fill="FFFFFF"/>
        </w:rPr>
        <w:t xml:space="preserve">In </w:t>
      </w:r>
      <w:r>
        <w:rPr>
          <w:rFonts w:ascii="Times New Roman" w:hAnsi="Times New Roman" w:cs="Times New Roman"/>
          <w:i/>
          <w:color w:val="000000"/>
          <w:sz w:val="24"/>
          <w:szCs w:val="24"/>
          <w:shd w:val="clear" w:color="auto" w:fill="FFFFFF"/>
        </w:rPr>
        <w:t>The Media and</w:t>
      </w:r>
    </w:p>
    <w:p w:rsidR="00E33BBF" w:rsidRDefault="00E33BBF" w:rsidP="00E33BBF">
      <w:pPr>
        <w:spacing w:after="0" w:line="240" w:lineRule="auto"/>
        <w:ind w:firstLine="720"/>
        <w:rPr>
          <w:rFonts w:ascii="Times New Roman" w:hAnsi="Times New Roman" w:cs="Times New Roman"/>
          <w:color w:val="000000"/>
          <w:sz w:val="24"/>
          <w:szCs w:val="24"/>
          <w:shd w:val="clear" w:color="auto" w:fill="FFFFFF"/>
        </w:rPr>
      </w:pPr>
      <w:proofErr w:type="gramStart"/>
      <w:r w:rsidRPr="00357362">
        <w:rPr>
          <w:rFonts w:ascii="Times New Roman" w:hAnsi="Times New Roman" w:cs="Times New Roman"/>
          <w:i/>
          <w:color w:val="000000"/>
          <w:sz w:val="24"/>
          <w:szCs w:val="24"/>
          <w:shd w:val="clear" w:color="auto" w:fill="FFFFFF"/>
        </w:rPr>
        <w:t>the</w:t>
      </w:r>
      <w:proofErr w:type="gramEnd"/>
      <w:r>
        <w:rPr>
          <w:rFonts w:ascii="Times New Roman" w:hAnsi="Times New Roman" w:cs="Times New Roman"/>
          <w:i/>
          <w:color w:val="000000"/>
          <w:sz w:val="24"/>
          <w:szCs w:val="24"/>
          <w:shd w:val="clear" w:color="auto" w:fill="FFFFFF"/>
        </w:rPr>
        <w:t xml:space="preserve"> </w:t>
      </w:r>
      <w:r w:rsidRPr="00357362">
        <w:rPr>
          <w:rFonts w:ascii="Times New Roman" w:hAnsi="Times New Roman" w:cs="Times New Roman"/>
          <w:i/>
          <w:color w:val="000000"/>
          <w:sz w:val="24"/>
          <w:szCs w:val="24"/>
          <w:shd w:val="clear" w:color="auto" w:fill="FFFFFF"/>
        </w:rPr>
        <w:t xml:space="preserve">Rwanda Genocide, </w:t>
      </w:r>
      <w:r>
        <w:rPr>
          <w:rFonts w:ascii="Times New Roman" w:hAnsi="Times New Roman" w:cs="Times New Roman"/>
          <w:color w:val="000000"/>
          <w:sz w:val="24"/>
          <w:szCs w:val="24"/>
          <w:shd w:val="clear" w:color="auto" w:fill="FFFFFF"/>
        </w:rPr>
        <w:t>edited by Allan Thompson, 198-210</w:t>
      </w:r>
      <w:r w:rsidRPr="00357362">
        <w:rPr>
          <w:rFonts w:ascii="Times New Roman" w:hAnsi="Times New Roman" w:cs="Times New Roman"/>
          <w:color w:val="000000"/>
          <w:sz w:val="24"/>
          <w:szCs w:val="24"/>
          <w:shd w:val="clear" w:color="auto" w:fill="FFFFFF"/>
        </w:rPr>
        <w:t>. London: Pluto Press, 2007.</w:t>
      </w:r>
    </w:p>
    <w:p w:rsidR="00E33BBF" w:rsidRPr="00357362" w:rsidRDefault="00E33BBF" w:rsidP="00E33BBF">
      <w:pPr>
        <w:spacing w:after="0" w:line="240" w:lineRule="auto"/>
        <w:rPr>
          <w:rFonts w:ascii="Times New Roman" w:hAnsi="Times New Roman" w:cs="Times New Roman"/>
          <w:i/>
          <w:color w:val="000000"/>
          <w:sz w:val="24"/>
          <w:szCs w:val="24"/>
          <w:shd w:val="clear" w:color="auto" w:fill="FFFFFF"/>
        </w:rPr>
      </w:pPr>
    </w:p>
    <w:p w:rsidR="00E33BBF" w:rsidRDefault="00E33BBF" w:rsidP="00E33BBF">
      <w:pPr>
        <w:spacing w:after="0" w:line="240" w:lineRule="auto"/>
        <w:rPr>
          <w:rFonts w:ascii="Times New Roman" w:hAnsi="Times New Roman" w:cs="Times New Roman"/>
          <w:i/>
          <w:sz w:val="24"/>
          <w:szCs w:val="24"/>
        </w:rPr>
      </w:pPr>
      <w:proofErr w:type="spellStart"/>
      <w:r>
        <w:rPr>
          <w:rFonts w:ascii="Times New Roman" w:hAnsi="Times New Roman" w:cs="Times New Roman"/>
          <w:sz w:val="24"/>
          <w:szCs w:val="24"/>
        </w:rPr>
        <w:t>Oberschall</w:t>
      </w:r>
      <w:proofErr w:type="spellEnd"/>
      <w:r>
        <w:rPr>
          <w:rFonts w:ascii="Times New Roman" w:hAnsi="Times New Roman" w:cs="Times New Roman"/>
          <w:sz w:val="24"/>
          <w:szCs w:val="24"/>
        </w:rPr>
        <w:t xml:space="preserve">, Anthony, “Propaganda, hate speech and mass killings.” In </w:t>
      </w:r>
      <w:r>
        <w:rPr>
          <w:rFonts w:ascii="Times New Roman" w:hAnsi="Times New Roman" w:cs="Times New Roman"/>
          <w:i/>
          <w:sz w:val="24"/>
          <w:szCs w:val="24"/>
        </w:rPr>
        <w:t>Propaganda, War Crimes</w:t>
      </w:r>
    </w:p>
    <w:p w:rsidR="00E33BBF" w:rsidRPr="00B2471D" w:rsidRDefault="00E33BBF" w:rsidP="00E33BBF">
      <w:pPr>
        <w:spacing w:after="0" w:line="240" w:lineRule="auto"/>
        <w:ind w:left="720"/>
        <w:rPr>
          <w:rFonts w:ascii="Times New Roman" w:hAnsi="Times New Roman" w:cs="Times New Roman"/>
          <w:sz w:val="24"/>
          <w:szCs w:val="24"/>
        </w:rPr>
      </w:pPr>
      <w:proofErr w:type="gramStart"/>
      <w:r>
        <w:rPr>
          <w:rFonts w:ascii="Times New Roman" w:hAnsi="Times New Roman" w:cs="Times New Roman"/>
          <w:i/>
          <w:sz w:val="24"/>
          <w:szCs w:val="24"/>
        </w:rPr>
        <w:t>Trials, and International Law,</w:t>
      </w:r>
      <w:r>
        <w:rPr>
          <w:rFonts w:ascii="Times New Roman" w:hAnsi="Times New Roman" w:cs="Times New Roman"/>
          <w:sz w:val="24"/>
          <w:szCs w:val="24"/>
        </w:rPr>
        <w:t xml:space="preserve"> edited by </w:t>
      </w:r>
      <w:proofErr w:type="spellStart"/>
      <w:r>
        <w:rPr>
          <w:rFonts w:ascii="Times New Roman" w:hAnsi="Times New Roman" w:cs="Times New Roman"/>
          <w:sz w:val="24"/>
          <w:szCs w:val="24"/>
        </w:rPr>
        <w:t>Predrag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Dojčinović</w:t>
      </w:r>
      <w:proofErr w:type="spellEnd"/>
      <w:r>
        <w:rPr>
          <w:rFonts w:ascii="Times New Roman" w:hAnsi="Times New Roman" w:cs="Times New Roman"/>
          <w:sz w:val="24"/>
          <w:szCs w:val="24"/>
        </w:rPr>
        <w:t>, 171-199.</w:t>
      </w:r>
      <w:proofErr w:type="gramEnd"/>
      <w:r>
        <w:rPr>
          <w:rFonts w:ascii="Times New Roman" w:hAnsi="Times New Roman" w:cs="Times New Roman"/>
          <w:sz w:val="24"/>
          <w:szCs w:val="24"/>
        </w:rPr>
        <w:t xml:space="preserve"> New York: Routledge, 2012. </w:t>
      </w:r>
    </w:p>
    <w:p w:rsidR="00E33BBF" w:rsidRDefault="00E33BBF" w:rsidP="00E33BBF">
      <w:pPr>
        <w:spacing w:after="0" w:line="240" w:lineRule="auto"/>
        <w:rPr>
          <w:rFonts w:ascii="Times New Roman" w:hAnsi="Times New Roman" w:cs="Times New Roman"/>
          <w:sz w:val="24"/>
          <w:szCs w:val="24"/>
        </w:rPr>
      </w:pPr>
    </w:p>
    <w:p w:rsidR="00E33BBF" w:rsidRDefault="00761D3E" w:rsidP="00E33BBF">
      <w:pPr>
        <w:spacing w:after="0" w:line="240" w:lineRule="auto"/>
        <w:rPr>
          <w:rFonts w:ascii="Times New Roman" w:hAnsi="Times New Roman" w:cs="Times New Roman"/>
          <w:sz w:val="24"/>
          <w:szCs w:val="24"/>
        </w:rPr>
      </w:pPr>
      <w:proofErr w:type="spellStart"/>
      <w:proofErr w:type="gramStart"/>
      <w:r w:rsidRPr="00761D3E">
        <w:rPr>
          <w:rFonts w:ascii="Times New Roman" w:hAnsi="Times New Roman" w:cs="Times New Roman"/>
          <w:sz w:val="24"/>
          <w:szCs w:val="24"/>
        </w:rPr>
        <w:t>Prunier</w:t>
      </w:r>
      <w:proofErr w:type="spellEnd"/>
      <w:r w:rsidRPr="00761D3E">
        <w:rPr>
          <w:rFonts w:ascii="Times New Roman" w:hAnsi="Times New Roman" w:cs="Times New Roman"/>
          <w:sz w:val="24"/>
          <w:szCs w:val="24"/>
        </w:rPr>
        <w:t>, Gérard</w:t>
      </w:r>
      <w:r>
        <w:rPr>
          <w:rFonts w:ascii="Times New Roman" w:hAnsi="Times New Roman" w:cs="Times New Roman"/>
          <w:sz w:val="24"/>
          <w:szCs w:val="24"/>
        </w:rPr>
        <w:t>.</w:t>
      </w:r>
      <w:proofErr w:type="gramEnd"/>
      <w:r>
        <w:rPr>
          <w:rFonts w:ascii="Times New Roman" w:hAnsi="Times New Roman" w:cs="Times New Roman"/>
          <w:sz w:val="24"/>
          <w:szCs w:val="24"/>
        </w:rPr>
        <w:t xml:space="preserve"> “Rwandese Society and the Colonial Impact: The</w:t>
      </w:r>
      <w:r w:rsidR="00811482">
        <w:rPr>
          <w:rFonts w:ascii="Times New Roman" w:hAnsi="Times New Roman" w:cs="Times New Roman"/>
          <w:sz w:val="24"/>
          <w:szCs w:val="24"/>
        </w:rPr>
        <w:t xml:space="preserve"> M</w:t>
      </w:r>
      <w:r w:rsidR="00E33BBF">
        <w:rPr>
          <w:rFonts w:ascii="Times New Roman" w:hAnsi="Times New Roman" w:cs="Times New Roman"/>
          <w:sz w:val="24"/>
          <w:szCs w:val="24"/>
        </w:rPr>
        <w:t>aking of a Cultural</w:t>
      </w:r>
    </w:p>
    <w:p w:rsidR="00761D3E" w:rsidRDefault="00761D3E" w:rsidP="00E33BBF">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Mythology.”</w:t>
      </w:r>
      <w:proofErr w:type="gramEnd"/>
      <w:r>
        <w:rPr>
          <w:rFonts w:ascii="Times New Roman" w:hAnsi="Times New Roman" w:cs="Times New Roman"/>
          <w:sz w:val="24"/>
          <w:szCs w:val="24"/>
        </w:rPr>
        <w:t xml:space="preserve"> In </w:t>
      </w:r>
      <w:r>
        <w:rPr>
          <w:rFonts w:ascii="Times New Roman" w:hAnsi="Times New Roman" w:cs="Times New Roman"/>
          <w:i/>
          <w:sz w:val="24"/>
          <w:szCs w:val="24"/>
        </w:rPr>
        <w:t xml:space="preserve">The Rwanda Crisis: History of </w:t>
      </w:r>
      <w:proofErr w:type="gramStart"/>
      <w:r>
        <w:rPr>
          <w:rFonts w:ascii="Times New Roman" w:hAnsi="Times New Roman" w:cs="Times New Roman"/>
          <w:i/>
          <w:sz w:val="24"/>
          <w:szCs w:val="24"/>
        </w:rPr>
        <w:t>a Genocide</w:t>
      </w:r>
      <w:proofErr w:type="gramEnd"/>
      <w:r>
        <w:rPr>
          <w:rFonts w:ascii="Times New Roman" w:hAnsi="Times New Roman" w:cs="Times New Roman"/>
          <w:i/>
          <w:sz w:val="24"/>
          <w:szCs w:val="24"/>
        </w:rPr>
        <w:t xml:space="preserve">. </w:t>
      </w:r>
      <w:r>
        <w:rPr>
          <w:rFonts w:ascii="Times New Roman" w:hAnsi="Times New Roman" w:cs="Times New Roman"/>
          <w:sz w:val="24"/>
          <w:szCs w:val="24"/>
        </w:rPr>
        <w:t>Kampala, Uganda: Fountain Publishers Ltd, 1995.</w:t>
      </w:r>
    </w:p>
    <w:p w:rsidR="00811482" w:rsidRDefault="00811482" w:rsidP="00E33BBF">
      <w:pPr>
        <w:spacing w:after="0" w:line="240" w:lineRule="auto"/>
        <w:rPr>
          <w:rFonts w:ascii="Times New Roman" w:hAnsi="Times New Roman" w:cs="Times New Roman"/>
          <w:sz w:val="24"/>
          <w:szCs w:val="24"/>
        </w:rPr>
      </w:pPr>
    </w:p>
    <w:p w:rsidR="00E33BBF" w:rsidRDefault="00696622" w:rsidP="00E33BBF">
      <w:pPr>
        <w:spacing w:after="0" w:line="240" w:lineRule="auto"/>
        <w:rPr>
          <w:rFonts w:ascii="Times New Roman" w:hAnsi="Times New Roman" w:cs="Times New Roman"/>
          <w:sz w:val="24"/>
          <w:szCs w:val="24"/>
        </w:rPr>
      </w:pPr>
      <w:r>
        <w:rPr>
          <w:rFonts w:ascii="Times New Roman" w:hAnsi="Times New Roman" w:cs="Times New Roman"/>
          <w:sz w:val="24"/>
          <w:szCs w:val="24"/>
        </w:rPr>
        <w:t>Saxon, Dan, “Propaganda as a crime under international</w:t>
      </w:r>
      <w:r w:rsidR="00E33BBF">
        <w:rPr>
          <w:rFonts w:ascii="Times New Roman" w:hAnsi="Times New Roman" w:cs="Times New Roman"/>
          <w:sz w:val="24"/>
          <w:szCs w:val="24"/>
        </w:rPr>
        <w:t xml:space="preserve"> humanitarian law: theories and</w:t>
      </w:r>
    </w:p>
    <w:p w:rsidR="00696622" w:rsidRPr="007743AA" w:rsidRDefault="00696622" w:rsidP="00E33BBF">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strategies</w:t>
      </w:r>
      <w:proofErr w:type="gramEnd"/>
      <w:r>
        <w:rPr>
          <w:rFonts w:ascii="Times New Roman" w:hAnsi="Times New Roman" w:cs="Times New Roman"/>
          <w:sz w:val="24"/>
          <w:szCs w:val="24"/>
        </w:rPr>
        <w:t xml:space="preserve"> for prosecutors.” </w:t>
      </w:r>
      <w:proofErr w:type="gramStart"/>
      <w:r>
        <w:rPr>
          <w:rFonts w:ascii="Times New Roman" w:hAnsi="Times New Roman" w:cs="Times New Roman"/>
          <w:sz w:val="24"/>
          <w:szCs w:val="24"/>
        </w:rPr>
        <w:t xml:space="preserve">In </w:t>
      </w:r>
      <w:r w:rsidR="007743AA">
        <w:rPr>
          <w:rFonts w:ascii="Times New Roman" w:hAnsi="Times New Roman" w:cs="Times New Roman"/>
          <w:i/>
          <w:sz w:val="24"/>
          <w:szCs w:val="24"/>
        </w:rPr>
        <w:t>Pr</w:t>
      </w:r>
      <w:r>
        <w:rPr>
          <w:rFonts w:ascii="Times New Roman" w:hAnsi="Times New Roman" w:cs="Times New Roman"/>
          <w:i/>
          <w:sz w:val="24"/>
          <w:szCs w:val="24"/>
        </w:rPr>
        <w:t>opaganda, War Crimes Trials, and International Law</w:t>
      </w:r>
      <w:r w:rsidR="007743AA">
        <w:rPr>
          <w:rFonts w:ascii="Times New Roman" w:hAnsi="Times New Roman" w:cs="Times New Roman"/>
          <w:i/>
          <w:sz w:val="24"/>
          <w:szCs w:val="24"/>
        </w:rPr>
        <w:t>,</w:t>
      </w:r>
      <w:r w:rsidR="007743AA">
        <w:rPr>
          <w:rFonts w:ascii="Times New Roman" w:hAnsi="Times New Roman" w:cs="Times New Roman"/>
          <w:sz w:val="24"/>
          <w:szCs w:val="24"/>
        </w:rPr>
        <w:t xml:space="preserve"> edited by </w:t>
      </w:r>
      <w:proofErr w:type="spellStart"/>
      <w:r w:rsidR="007743AA">
        <w:rPr>
          <w:rFonts w:ascii="Times New Roman" w:hAnsi="Times New Roman" w:cs="Times New Roman"/>
          <w:sz w:val="24"/>
          <w:szCs w:val="24"/>
        </w:rPr>
        <w:t>Predrag</w:t>
      </w:r>
      <w:proofErr w:type="spellEnd"/>
      <w:r w:rsidR="007743AA">
        <w:rPr>
          <w:rFonts w:ascii="Times New Roman" w:hAnsi="Times New Roman" w:cs="Times New Roman"/>
          <w:sz w:val="24"/>
          <w:szCs w:val="24"/>
        </w:rPr>
        <w:t xml:space="preserve"> </w:t>
      </w:r>
      <w:proofErr w:type="spellStart"/>
      <w:r w:rsidR="007743AA">
        <w:rPr>
          <w:rFonts w:ascii="Times New Roman" w:hAnsi="Times New Roman" w:cs="Times New Roman"/>
          <w:sz w:val="24"/>
          <w:szCs w:val="24"/>
        </w:rPr>
        <w:t>Dojčinović</w:t>
      </w:r>
      <w:proofErr w:type="spellEnd"/>
      <w:r w:rsidR="007743AA">
        <w:rPr>
          <w:rFonts w:ascii="Times New Roman" w:hAnsi="Times New Roman" w:cs="Times New Roman"/>
          <w:sz w:val="24"/>
          <w:szCs w:val="24"/>
        </w:rPr>
        <w:t>, 118-41.</w:t>
      </w:r>
      <w:proofErr w:type="gramEnd"/>
      <w:r w:rsidR="007743AA">
        <w:rPr>
          <w:rFonts w:ascii="Times New Roman" w:hAnsi="Times New Roman" w:cs="Times New Roman"/>
          <w:sz w:val="24"/>
          <w:szCs w:val="24"/>
        </w:rPr>
        <w:t xml:space="preserve"> New York: Routledge, 2012.</w:t>
      </w:r>
    </w:p>
    <w:p w:rsidR="0091248D" w:rsidRDefault="0091248D" w:rsidP="00E33BBF">
      <w:pPr>
        <w:spacing w:after="0" w:line="240" w:lineRule="auto"/>
        <w:rPr>
          <w:rFonts w:ascii="Times New Roman" w:hAnsi="Times New Roman" w:cs="Times New Roman"/>
          <w:sz w:val="24"/>
          <w:szCs w:val="24"/>
        </w:rPr>
      </w:pPr>
    </w:p>
    <w:p w:rsidR="002C7477" w:rsidRDefault="002C7477" w:rsidP="00E33BBF">
      <w:pPr>
        <w:spacing w:after="0" w:line="240" w:lineRule="auto"/>
        <w:rPr>
          <w:rFonts w:ascii="Times New Roman" w:hAnsi="Times New Roman" w:cs="Times New Roman"/>
          <w:color w:val="000000"/>
          <w:sz w:val="24"/>
          <w:szCs w:val="24"/>
          <w:shd w:val="clear" w:color="auto" w:fill="FFFFFF"/>
        </w:rPr>
      </w:pPr>
      <w:proofErr w:type="spellStart"/>
      <w:r w:rsidRPr="00357362">
        <w:rPr>
          <w:rFonts w:ascii="Times New Roman" w:hAnsi="Times New Roman" w:cs="Times New Roman"/>
          <w:color w:val="000000"/>
          <w:sz w:val="24"/>
          <w:szCs w:val="24"/>
          <w:shd w:val="clear" w:color="auto" w:fill="FFFFFF"/>
        </w:rPr>
        <w:t>Yanagizawa-Drott</w:t>
      </w:r>
      <w:proofErr w:type="spellEnd"/>
      <w:r w:rsidRPr="00357362">
        <w:rPr>
          <w:rFonts w:ascii="Times New Roman" w:hAnsi="Times New Roman" w:cs="Times New Roman"/>
          <w:color w:val="000000"/>
          <w:sz w:val="24"/>
          <w:szCs w:val="24"/>
          <w:shd w:val="clear" w:color="auto" w:fill="FFFFFF"/>
        </w:rPr>
        <w:t>, David. “Propaganda and Conflict: Evidence from the Rwandan</w:t>
      </w:r>
      <w:r>
        <w:rPr>
          <w:rFonts w:ascii="Times New Roman" w:hAnsi="Times New Roman" w:cs="Times New Roman"/>
          <w:color w:val="000000"/>
          <w:sz w:val="24"/>
          <w:szCs w:val="24"/>
          <w:shd w:val="clear" w:color="auto" w:fill="FFFFFF"/>
        </w:rPr>
        <w:t xml:space="preserve"> Genocide.” </w:t>
      </w:r>
    </w:p>
    <w:p w:rsidR="002C7477" w:rsidRPr="00357362" w:rsidRDefault="002C7477" w:rsidP="00E33BBF">
      <w:pPr>
        <w:spacing w:after="0" w:line="240" w:lineRule="auto"/>
        <w:ind w:firstLine="720"/>
        <w:rPr>
          <w:rFonts w:ascii="Times New Roman" w:hAnsi="Times New Roman" w:cs="Times New Roman"/>
          <w:color w:val="000000"/>
          <w:sz w:val="24"/>
          <w:szCs w:val="24"/>
          <w:shd w:val="clear" w:color="auto" w:fill="FFFFFF"/>
        </w:rPr>
      </w:pPr>
      <w:r w:rsidRPr="00357362">
        <w:rPr>
          <w:rFonts w:ascii="Times New Roman" w:hAnsi="Times New Roman" w:cs="Times New Roman"/>
          <w:i/>
          <w:color w:val="000000"/>
          <w:sz w:val="24"/>
          <w:szCs w:val="24"/>
          <w:shd w:val="clear" w:color="auto" w:fill="FFFFFF"/>
        </w:rPr>
        <w:t xml:space="preserve">The Quarterly Journal of Economics </w:t>
      </w:r>
      <w:r w:rsidRPr="00357362">
        <w:rPr>
          <w:rFonts w:ascii="Times New Roman" w:hAnsi="Times New Roman" w:cs="Times New Roman"/>
          <w:color w:val="000000"/>
          <w:sz w:val="24"/>
          <w:szCs w:val="24"/>
          <w:shd w:val="clear" w:color="auto" w:fill="FFFFFF"/>
        </w:rPr>
        <w:t>129, no. 4 (2014): 1947-94.</w:t>
      </w:r>
    </w:p>
    <w:p w:rsidR="002C7477" w:rsidRDefault="002C7477" w:rsidP="00E33BBF">
      <w:pPr>
        <w:spacing w:after="0" w:line="240" w:lineRule="auto"/>
        <w:rPr>
          <w:rFonts w:ascii="Times New Roman" w:hAnsi="Times New Roman" w:cs="Times New Roman"/>
          <w:sz w:val="24"/>
          <w:szCs w:val="24"/>
        </w:rPr>
      </w:pPr>
    </w:p>
    <w:p w:rsidR="001D0707" w:rsidRDefault="001D0707" w:rsidP="00E33BBF">
      <w:pPr>
        <w:spacing w:after="0" w:line="240" w:lineRule="auto"/>
        <w:rPr>
          <w:rFonts w:ascii="Times New Roman" w:hAnsi="Times New Roman" w:cs="Times New Roman"/>
          <w:sz w:val="24"/>
          <w:szCs w:val="24"/>
        </w:rPr>
      </w:pPr>
    </w:p>
    <w:p w:rsidR="00E33BBF" w:rsidRPr="00B2471D" w:rsidRDefault="00E33BBF">
      <w:pPr>
        <w:spacing w:line="240" w:lineRule="auto"/>
        <w:rPr>
          <w:rFonts w:ascii="Times New Roman" w:hAnsi="Times New Roman" w:cs="Times New Roman"/>
          <w:sz w:val="24"/>
          <w:szCs w:val="24"/>
        </w:rPr>
      </w:pPr>
    </w:p>
    <w:sectPr w:rsidR="00E33BBF" w:rsidRPr="00B247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195" w:rsidRDefault="00E91195" w:rsidP="00B2471D">
      <w:pPr>
        <w:spacing w:after="0" w:line="240" w:lineRule="auto"/>
      </w:pPr>
      <w:r>
        <w:separator/>
      </w:r>
    </w:p>
  </w:endnote>
  <w:endnote w:type="continuationSeparator" w:id="0">
    <w:p w:rsidR="00E91195" w:rsidRDefault="00E91195" w:rsidP="00B24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195" w:rsidRDefault="00E91195" w:rsidP="00B2471D">
      <w:pPr>
        <w:spacing w:after="0" w:line="240" w:lineRule="auto"/>
      </w:pPr>
      <w:r>
        <w:separator/>
      </w:r>
    </w:p>
  </w:footnote>
  <w:footnote w:type="continuationSeparator" w:id="0">
    <w:p w:rsidR="00E91195" w:rsidRDefault="00E91195" w:rsidP="00B2471D">
      <w:pPr>
        <w:spacing w:after="0" w:line="240" w:lineRule="auto"/>
      </w:pPr>
      <w:r>
        <w:continuationSeparator/>
      </w:r>
    </w:p>
  </w:footnote>
  <w:footnote w:id="1">
    <w:p w:rsidR="007B0E81" w:rsidRPr="005B5BE4" w:rsidRDefault="007B0E81">
      <w:pPr>
        <w:pStyle w:val="FootnoteText"/>
      </w:pPr>
      <w:r>
        <w:rPr>
          <w:rStyle w:val="FootnoteReference"/>
        </w:rPr>
        <w:footnoteRef/>
      </w:r>
      <w:r>
        <w:t xml:space="preserve"> Martin </w:t>
      </w:r>
      <w:proofErr w:type="spellStart"/>
      <w:r>
        <w:t>Imbleau</w:t>
      </w:r>
      <w:proofErr w:type="spellEnd"/>
      <w:r>
        <w:t xml:space="preserve">, “Propaganda,” in </w:t>
      </w:r>
      <w:r>
        <w:rPr>
          <w:i/>
        </w:rPr>
        <w:t xml:space="preserve">Encyclopedia of Genocide and Crimes Against Humanity, </w:t>
      </w:r>
      <w:r>
        <w:t>ed. Dinah L. Shelton et al., (Farmington Hills: Thomson Gale, 2005), 825</w:t>
      </w:r>
    </w:p>
  </w:footnote>
  <w:footnote w:id="2">
    <w:p w:rsidR="007B0E81" w:rsidRDefault="007B0E81">
      <w:pPr>
        <w:pStyle w:val="FootnoteText"/>
      </w:pPr>
      <w:r>
        <w:rPr>
          <w:rStyle w:val="FootnoteReference"/>
        </w:rPr>
        <w:footnoteRef/>
      </w:r>
      <w:r>
        <w:t xml:space="preserve"> </w:t>
      </w:r>
      <w:proofErr w:type="spellStart"/>
      <w:r>
        <w:t>Imbleau</w:t>
      </w:r>
      <w:proofErr w:type="spellEnd"/>
      <w:r>
        <w:t>, “Propaganda” (825)</w:t>
      </w:r>
    </w:p>
  </w:footnote>
  <w:footnote w:id="3">
    <w:p w:rsidR="007B0E81" w:rsidRDefault="007B0E81">
      <w:pPr>
        <w:pStyle w:val="FootnoteText"/>
      </w:pPr>
      <w:r>
        <w:rPr>
          <w:rStyle w:val="FootnoteReference"/>
        </w:rPr>
        <w:footnoteRef/>
      </w:r>
      <w:r>
        <w:t xml:space="preserve"> </w:t>
      </w:r>
      <w:proofErr w:type="gramStart"/>
      <w:r>
        <w:t>Ibid (827).</w:t>
      </w:r>
      <w:proofErr w:type="gramEnd"/>
    </w:p>
  </w:footnote>
  <w:footnote w:id="4">
    <w:p w:rsidR="007B0E81" w:rsidRDefault="007B0E81">
      <w:pPr>
        <w:pStyle w:val="FootnoteText"/>
      </w:pPr>
      <w:r>
        <w:rPr>
          <w:rStyle w:val="FootnoteReference"/>
        </w:rPr>
        <w:footnoteRef/>
      </w:r>
      <w:r>
        <w:t xml:space="preserve"> </w:t>
      </w:r>
      <w:proofErr w:type="spellStart"/>
      <w:r>
        <w:t>Imbleau</w:t>
      </w:r>
      <w:proofErr w:type="spellEnd"/>
      <w:r>
        <w:t>, “Propaganda” (825)</w:t>
      </w:r>
    </w:p>
  </w:footnote>
  <w:footnote w:id="5">
    <w:p w:rsidR="007B0E81" w:rsidRDefault="007B0E81">
      <w:pPr>
        <w:pStyle w:val="FootnoteText"/>
      </w:pPr>
      <w:r>
        <w:rPr>
          <w:rStyle w:val="FootnoteReference"/>
        </w:rPr>
        <w:footnoteRef/>
      </w:r>
      <w:r>
        <w:t xml:space="preserve"> </w:t>
      </w:r>
      <w:proofErr w:type="gramStart"/>
      <w:r>
        <w:t>Ibid (825).</w:t>
      </w:r>
      <w:proofErr w:type="gramEnd"/>
    </w:p>
  </w:footnote>
  <w:footnote w:id="6">
    <w:p w:rsidR="007B0E81" w:rsidRDefault="007B0E81">
      <w:pPr>
        <w:pStyle w:val="FootnoteText"/>
      </w:pPr>
      <w:r>
        <w:rPr>
          <w:rStyle w:val="FootnoteReference"/>
        </w:rPr>
        <w:footnoteRef/>
      </w:r>
      <w:r>
        <w:t xml:space="preserve"> </w:t>
      </w:r>
      <w:proofErr w:type="gramStart"/>
      <w:r>
        <w:t>Ibid (825).</w:t>
      </w:r>
      <w:proofErr w:type="gramEnd"/>
    </w:p>
  </w:footnote>
  <w:footnote w:id="7">
    <w:p w:rsidR="007B0E81" w:rsidRDefault="007B0E81">
      <w:pPr>
        <w:pStyle w:val="FootnoteText"/>
      </w:pPr>
      <w:r>
        <w:rPr>
          <w:rStyle w:val="FootnoteReference"/>
        </w:rPr>
        <w:footnoteRef/>
      </w:r>
      <w:r>
        <w:t xml:space="preserve"> </w:t>
      </w:r>
      <w:proofErr w:type="gramStart"/>
      <w:r>
        <w:t>Ibid (826).</w:t>
      </w:r>
      <w:proofErr w:type="gramEnd"/>
    </w:p>
  </w:footnote>
  <w:footnote w:id="8">
    <w:p w:rsidR="007B0E81" w:rsidRPr="00811482" w:rsidRDefault="007B0E81">
      <w:pPr>
        <w:pStyle w:val="FootnoteText"/>
      </w:pPr>
      <w:r>
        <w:rPr>
          <w:rStyle w:val="FootnoteReference"/>
        </w:rPr>
        <w:footnoteRef/>
      </w:r>
      <w:r>
        <w:t xml:space="preserve"> Gérard </w:t>
      </w:r>
      <w:proofErr w:type="spellStart"/>
      <w:r>
        <w:t>Prunier</w:t>
      </w:r>
      <w:proofErr w:type="spellEnd"/>
      <w:r>
        <w:t xml:space="preserve">, “Rwandese Society and the Colonial Impact: The Making of a Cultural Mythology,” in </w:t>
      </w:r>
      <w:r>
        <w:rPr>
          <w:i/>
        </w:rPr>
        <w:t xml:space="preserve">The Rwanda Crisis: History of a Genocide, </w:t>
      </w:r>
      <w:r>
        <w:t>(Kampala, Uganda: Fountain Publishers Ltd, 1995): 8</w:t>
      </w:r>
    </w:p>
  </w:footnote>
  <w:footnote w:id="9">
    <w:p w:rsidR="007B0E81" w:rsidRPr="00A66F78" w:rsidRDefault="007B0E81">
      <w:pPr>
        <w:pStyle w:val="FootnoteText"/>
      </w:pPr>
      <w:r>
        <w:rPr>
          <w:rStyle w:val="FootnoteReference"/>
        </w:rPr>
        <w:footnoteRef/>
      </w:r>
      <w:r>
        <w:t xml:space="preserve"> Helen M. </w:t>
      </w:r>
      <w:proofErr w:type="spellStart"/>
      <w:r>
        <w:t>Hintjens</w:t>
      </w:r>
      <w:proofErr w:type="spellEnd"/>
      <w:r>
        <w:t xml:space="preserve">, “Explaining the 1994 Genocide in Rwanda,” </w:t>
      </w:r>
      <w:r>
        <w:rPr>
          <w:i/>
        </w:rPr>
        <w:t xml:space="preserve">The Journal of Modern African Studies </w:t>
      </w:r>
      <w:r>
        <w:t>37, no. 2 (1999): 252.</w:t>
      </w:r>
    </w:p>
  </w:footnote>
  <w:footnote w:id="10">
    <w:p w:rsidR="007B0E81" w:rsidRDefault="007B0E81">
      <w:pPr>
        <w:pStyle w:val="FootnoteText"/>
      </w:pPr>
      <w:r>
        <w:rPr>
          <w:rStyle w:val="FootnoteReference"/>
        </w:rPr>
        <w:footnoteRef/>
      </w:r>
      <w:r>
        <w:t xml:space="preserve"> Gérard </w:t>
      </w:r>
      <w:proofErr w:type="spellStart"/>
      <w:r>
        <w:t>Prunier</w:t>
      </w:r>
      <w:proofErr w:type="spellEnd"/>
      <w:r>
        <w:t>, “Rwandese Society and the Colonial Impact” 6</w:t>
      </w:r>
    </w:p>
  </w:footnote>
  <w:footnote w:id="11">
    <w:p w:rsidR="007B0E81" w:rsidRDefault="007B0E81">
      <w:pPr>
        <w:pStyle w:val="FootnoteText"/>
      </w:pPr>
      <w:r>
        <w:rPr>
          <w:rStyle w:val="FootnoteReference"/>
        </w:rPr>
        <w:footnoteRef/>
      </w:r>
      <w:r>
        <w:t xml:space="preserve"> </w:t>
      </w:r>
      <w:proofErr w:type="gramStart"/>
      <w:r>
        <w:t>Ibid (6).</w:t>
      </w:r>
      <w:proofErr w:type="gramEnd"/>
    </w:p>
  </w:footnote>
  <w:footnote w:id="12">
    <w:p w:rsidR="007B0E81" w:rsidRDefault="007B0E81">
      <w:pPr>
        <w:pStyle w:val="FootnoteText"/>
      </w:pPr>
      <w:r>
        <w:rPr>
          <w:rStyle w:val="FootnoteReference"/>
        </w:rPr>
        <w:footnoteRef/>
      </w:r>
      <w:r>
        <w:t xml:space="preserve"> Ibid (9)</w:t>
      </w:r>
    </w:p>
  </w:footnote>
  <w:footnote w:id="13">
    <w:p w:rsidR="007B0E81" w:rsidRDefault="007B0E81">
      <w:pPr>
        <w:pStyle w:val="FootnoteText"/>
      </w:pPr>
      <w:r>
        <w:rPr>
          <w:rStyle w:val="FootnoteReference"/>
        </w:rPr>
        <w:footnoteRef/>
      </w:r>
      <w:r>
        <w:t xml:space="preserve"> Helen M. </w:t>
      </w:r>
      <w:proofErr w:type="spellStart"/>
      <w:r>
        <w:t>Hintjens</w:t>
      </w:r>
      <w:proofErr w:type="spellEnd"/>
      <w:r>
        <w:t>, “Explaining the 1994 Genocide in Rwanda” 255</w:t>
      </w:r>
    </w:p>
  </w:footnote>
  <w:footnote w:id="14">
    <w:p w:rsidR="007B0E81" w:rsidRPr="00C24D0B" w:rsidRDefault="007B0E81">
      <w:pPr>
        <w:pStyle w:val="FootnoteText"/>
      </w:pPr>
      <w:r>
        <w:rPr>
          <w:rStyle w:val="FootnoteReference"/>
        </w:rPr>
        <w:footnoteRef/>
      </w:r>
      <w:r>
        <w:t xml:space="preserve"> Fergal Keane “President </w:t>
      </w:r>
      <w:proofErr w:type="spellStart"/>
      <w:r>
        <w:t>Habyarimana’s</w:t>
      </w:r>
      <w:proofErr w:type="spellEnd"/>
      <w:r>
        <w:t xml:space="preserve"> Government Was Responsible for the Genocide,” in </w:t>
      </w:r>
      <w:r>
        <w:rPr>
          <w:i/>
        </w:rPr>
        <w:t xml:space="preserve">The Rwanda Genocide, </w:t>
      </w:r>
      <w:r>
        <w:t xml:space="preserve">ed. Christina </w:t>
      </w:r>
      <w:proofErr w:type="spellStart"/>
      <w:r>
        <w:t>Fisanick</w:t>
      </w:r>
      <w:proofErr w:type="spellEnd"/>
      <w:r>
        <w:t xml:space="preserve"> (</w:t>
      </w:r>
      <w:r w:rsidRPr="00C24D0B">
        <w:rPr>
          <w:rFonts w:cs="Times New Roman"/>
          <w:color w:val="000000"/>
          <w:szCs w:val="24"/>
          <w:shd w:val="clear" w:color="auto" w:fill="FFFFFF"/>
        </w:rPr>
        <w:t>Farmington Hills, MI: Greenhaven Press, 2004</w:t>
      </w:r>
      <w:r>
        <w:rPr>
          <w:rFonts w:cs="Times New Roman"/>
          <w:color w:val="000000"/>
          <w:szCs w:val="24"/>
          <w:shd w:val="clear" w:color="auto" w:fill="FFFFFF"/>
        </w:rPr>
        <w:t>), 22</w:t>
      </w:r>
    </w:p>
  </w:footnote>
  <w:footnote w:id="15">
    <w:p w:rsidR="007B0E81" w:rsidRPr="00E93984" w:rsidRDefault="007B0E81">
      <w:pPr>
        <w:pStyle w:val="FootnoteText"/>
      </w:pPr>
      <w:r>
        <w:rPr>
          <w:rStyle w:val="FootnoteReference"/>
        </w:rPr>
        <w:footnoteRef/>
      </w:r>
      <w:r>
        <w:t xml:space="preserve"> Alison Des Forges, “Call to Genocide: Radio in Rwanda, 1994,” in </w:t>
      </w:r>
      <w:r>
        <w:rPr>
          <w:i/>
        </w:rPr>
        <w:t>The Media and the Rwanda Genocide,</w:t>
      </w:r>
      <w:r>
        <w:t xml:space="preserve"> ed. Allan Thompson (London: Pluto Press, 2007), 41</w:t>
      </w:r>
    </w:p>
  </w:footnote>
  <w:footnote w:id="16">
    <w:p w:rsidR="007B0E81" w:rsidRPr="00580C36" w:rsidRDefault="007B0E81">
      <w:pPr>
        <w:pStyle w:val="FootnoteText"/>
      </w:pPr>
      <w:r>
        <w:rPr>
          <w:rStyle w:val="FootnoteReference"/>
        </w:rPr>
        <w:footnoteRef/>
      </w:r>
      <w:r>
        <w:t xml:space="preserve"> Marcel </w:t>
      </w:r>
      <w:proofErr w:type="spellStart"/>
      <w:r>
        <w:t>Kabanda</w:t>
      </w:r>
      <w:proofErr w:type="spellEnd"/>
      <w:r>
        <w:t>, “</w:t>
      </w:r>
      <w:proofErr w:type="spellStart"/>
      <w:r>
        <w:t>Kangura</w:t>
      </w:r>
      <w:proofErr w:type="spellEnd"/>
      <w:r>
        <w:t xml:space="preserve">: the Triumph of Propaganda Refined,” in </w:t>
      </w:r>
      <w:proofErr w:type="gramStart"/>
      <w:r>
        <w:rPr>
          <w:i/>
        </w:rPr>
        <w:t>The</w:t>
      </w:r>
      <w:proofErr w:type="gramEnd"/>
      <w:r>
        <w:rPr>
          <w:i/>
        </w:rPr>
        <w:t xml:space="preserve"> Media and the Rwanda Genocide</w:t>
      </w:r>
      <w:r>
        <w:t>, ed. Allan Thompson (London: Pluto Press, 2007), 62.</w:t>
      </w:r>
    </w:p>
  </w:footnote>
  <w:footnote w:id="17">
    <w:p w:rsidR="007B0E81" w:rsidRDefault="007B0E81">
      <w:pPr>
        <w:pStyle w:val="FootnoteText"/>
      </w:pPr>
      <w:r>
        <w:rPr>
          <w:rStyle w:val="FootnoteReference"/>
        </w:rPr>
        <w:footnoteRef/>
      </w:r>
      <w:r>
        <w:t xml:space="preserve"> </w:t>
      </w:r>
      <w:proofErr w:type="gramStart"/>
      <w:r>
        <w:t>Ibid (62).</w:t>
      </w:r>
      <w:proofErr w:type="gramEnd"/>
    </w:p>
  </w:footnote>
  <w:footnote w:id="18">
    <w:p w:rsidR="007B0E81" w:rsidRDefault="007B0E81">
      <w:pPr>
        <w:pStyle w:val="FootnoteText"/>
      </w:pPr>
      <w:r>
        <w:rPr>
          <w:rStyle w:val="FootnoteReference"/>
        </w:rPr>
        <w:footnoteRef/>
      </w:r>
      <w:r>
        <w:t xml:space="preserve"> Ibid (63)</w:t>
      </w:r>
    </w:p>
  </w:footnote>
  <w:footnote w:id="19">
    <w:p w:rsidR="007B0E81" w:rsidRDefault="007B0E81">
      <w:pPr>
        <w:pStyle w:val="FootnoteText"/>
      </w:pPr>
      <w:r>
        <w:rPr>
          <w:rStyle w:val="FootnoteReference"/>
        </w:rPr>
        <w:footnoteRef/>
      </w:r>
      <w:r>
        <w:t xml:space="preserve"> Ibid (63)</w:t>
      </w:r>
    </w:p>
  </w:footnote>
  <w:footnote w:id="20">
    <w:p w:rsidR="007B0E81" w:rsidRDefault="007B0E81">
      <w:pPr>
        <w:pStyle w:val="FootnoteText"/>
      </w:pPr>
      <w:r>
        <w:rPr>
          <w:rStyle w:val="FootnoteReference"/>
        </w:rPr>
        <w:footnoteRef/>
      </w:r>
      <w:r>
        <w:t xml:space="preserve"> Marcel </w:t>
      </w:r>
      <w:proofErr w:type="spellStart"/>
      <w:r>
        <w:t>Kabanda</w:t>
      </w:r>
      <w:proofErr w:type="spellEnd"/>
      <w:r>
        <w:t>, “</w:t>
      </w:r>
      <w:proofErr w:type="spellStart"/>
      <w:r>
        <w:t>Kangura</w:t>
      </w:r>
      <w:proofErr w:type="spellEnd"/>
      <w:r>
        <w:t>: the Triumph of Propaganda Refined,” 64</w:t>
      </w:r>
    </w:p>
  </w:footnote>
  <w:footnote w:id="21">
    <w:p w:rsidR="007B0E81" w:rsidRDefault="007B0E81">
      <w:pPr>
        <w:pStyle w:val="FootnoteText"/>
      </w:pPr>
      <w:r>
        <w:rPr>
          <w:rStyle w:val="FootnoteReference"/>
        </w:rPr>
        <w:footnoteRef/>
      </w:r>
      <w:r>
        <w:t xml:space="preserve"> See Appendix A for the full list.</w:t>
      </w:r>
    </w:p>
  </w:footnote>
  <w:footnote w:id="22">
    <w:p w:rsidR="007B0E81" w:rsidRDefault="007B0E81">
      <w:pPr>
        <w:pStyle w:val="FootnoteText"/>
      </w:pPr>
      <w:r>
        <w:rPr>
          <w:rStyle w:val="FootnoteReference"/>
        </w:rPr>
        <w:footnoteRef/>
      </w:r>
      <w:r>
        <w:t xml:space="preserve"> Dan Saxon, “Propaganda as a crime under international humanitarian law: Theories and strategies for prosecutors,” in </w:t>
      </w:r>
      <w:r>
        <w:rPr>
          <w:i/>
        </w:rPr>
        <w:t xml:space="preserve">Propaganda, War Crimes Trials, and International Law, </w:t>
      </w:r>
      <w:r>
        <w:t xml:space="preserve">ed. </w:t>
      </w:r>
      <w:proofErr w:type="spellStart"/>
      <w:r w:rsidRPr="007743AA">
        <w:rPr>
          <w:rFonts w:cs="Times New Roman"/>
          <w:szCs w:val="24"/>
        </w:rPr>
        <w:t>Predrag</w:t>
      </w:r>
      <w:proofErr w:type="spellEnd"/>
      <w:r w:rsidRPr="007743AA">
        <w:rPr>
          <w:rFonts w:cs="Times New Roman"/>
          <w:szCs w:val="24"/>
        </w:rPr>
        <w:t xml:space="preserve"> </w:t>
      </w:r>
      <w:proofErr w:type="spellStart"/>
      <w:r w:rsidRPr="007743AA">
        <w:rPr>
          <w:rFonts w:cs="Times New Roman"/>
          <w:szCs w:val="24"/>
        </w:rPr>
        <w:t>Dojčinović</w:t>
      </w:r>
      <w:proofErr w:type="spellEnd"/>
      <w:r>
        <w:rPr>
          <w:rFonts w:cs="Times New Roman"/>
          <w:szCs w:val="24"/>
        </w:rPr>
        <w:t xml:space="preserve"> (New York: Routledge, 2012),  135</w:t>
      </w:r>
    </w:p>
  </w:footnote>
  <w:footnote w:id="23">
    <w:p w:rsidR="007B0E81" w:rsidRDefault="007B0E81">
      <w:pPr>
        <w:pStyle w:val="FootnoteText"/>
      </w:pPr>
      <w:r>
        <w:rPr>
          <w:rStyle w:val="FootnoteReference"/>
        </w:rPr>
        <w:footnoteRef/>
      </w:r>
      <w:r>
        <w:t xml:space="preserve"> Alison Des Forges, “Call to Genocide: Radio in Rwanda, 1994,”</w:t>
      </w:r>
      <w:r w:rsidRPr="0091248D">
        <w:t xml:space="preserve"> </w:t>
      </w:r>
      <w:r>
        <w:t xml:space="preserve">in </w:t>
      </w:r>
      <w:r>
        <w:rPr>
          <w:i/>
        </w:rPr>
        <w:t>The Media and the Rwanda Genocide</w:t>
      </w:r>
      <w:r>
        <w:t>, ed. Allan Thompson (London: Pluto Press, 2007), 42</w:t>
      </w:r>
    </w:p>
  </w:footnote>
  <w:footnote w:id="24">
    <w:p w:rsidR="007B0E81" w:rsidRDefault="007B0E81">
      <w:pPr>
        <w:pStyle w:val="FootnoteText"/>
      </w:pPr>
      <w:r>
        <w:rPr>
          <w:rStyle w:val="FootnoteReference"/>
        </w:rPr>
        <w:footnoteRef/>
      </w:r>
      <w:r>
        <w:t xml:space="preserve"> </w:t>
      </w:r>
      <w:proofErr w:type="gramStart"/>
      <w:r>
        <w:t>Ibid (42).</w:t>
      </w:r>
      <w:proofErr w:type="gramEnd"/>
    </w:p>
  </w:footnote>
  <w:footnote w:id="25">
    <w:p w:rsidR="007B0E81" w:rsidRDefault="007B0E81">
      <w:pPr>
        <w:pStyle w:val="FootnoteText"/>
      </w:pPr>
      <w:r>
        <w:rPr>
          <w:rStyle w:val="FootnoteReference"/>
        </w:rPr>
        <w:footnoteRef/>
      </w:r>
      <w:r>
        <w:t xml:space="preserve"> Alison Des Forges, “Call to Genocide: Radio in Rwanda, 1994,” 42</w:t>
      </w:r>
    </w:p>
  </w:footnote>
  <w:footnote w:id="26">
    <w:p w:rsidR="007B0E81" w:rsidRDefault="007B0E81">
      <w:pPr>
        <w:pStyle w:val="FootnoteText"/>
      </w:pPr>
      <w:r>
        <w:rPr>
          <w:rStyle w:val="FootnoteReference"/>
        </w:rPr>
        <w:footnoteRef/>
      </w:r>
      <w:r>
        <w:t xml:space="preserve"> </w:t>
      </w:r>
      <w:proofErr w:type="gramStart"/>
      <w:r>
        <w:t>Ibid (42).</w:t>
      </w:r>
      <w:proofErr w:type="gramEnd"/>
    </w:p>
  </w:footnote>
  <w:footnote w:id="27">
    <w:p w:rsidR="007B0E81" w:rsidRDefault="007B0E81">
      <w:pPr>
        <w:pStyle w:val="FootnoteText"/>
      </w:pPr>
      <w:r>
        <w:rPr>
          <w:rStyle w:val="FootnoteReference"/>
        </w:rPr>
        <w:footnoteRef/>
      </w:r>
      <w:r>
        <w:t xml:space="preserve"> Ibid (42)</w:t>
      </w:r>
    </w:p>
  </w:footnote>
  <w:footnote w:id="28">
    <w:p w:rsidR="007B0E81" w:rsidRPr="002C7477" w:rsidRDefault="007B0E81" w:rsidP="002C7477">
      <w:pPr>
        <w:spacing w:after="0" w:line="240" w:lineRule="auto"/>
        <w:rPr>
          <w:rFonts w:cs="Times New Roman"/>
          <w:color w:val="000000"/>
          <w:sz w:val="20"/>
          <w:szCs w:val="20"/>
          <w:shd w:val="clear" w:color="auto" w:fill="FFFFFF"/>
        </w:rPr>
      </w:pPr>
      <w:r>
        <w:rPr>
          <w:rStyle w:val="FootnoteReference"/>
        </w:rPr>
        <w:footnoteRef/>
      </w:r>
      <w:r w:rsidRPr="002C7477">
        <w:rPr>
          <w:rFonts w:cs="Times New Roman"/>
          <w:color w:val="000000"/>
          <w:sz w:val="20"/>
          <w:szCs w:val="20"/>
          <w:shd w:val="clear" w:color="auto" w:fill="FFFFFF"/>
        </w:rPr>
        <w:t xml:space="preserve">David </w:t>
      </w:r>
      <w:proofErr w:type="spellStart"/>
      <w:r w:rsidRPr="002C7477">
        <w:rPr>
          <w:rFonts w:cs="Times New Roman"/>
          <w:color w:val="000000"/>
          <w:sz w:val="20"/>
          <w:szCs w:val="20"/>
          <w:shd w:val="clear" w:color="auto" w:fill="FFFFFF"/>
        </w:rPr>
        <w:t>Yanagizawa-Drott</w:t>
      </w:r>
      <w:proofErr w:type="spellEnd"/>
      <w:r w:rsidRPr="002C7477">
        <w:rPr>
          <w:rFonts w:cs="Times New Roman"/>
          <w:color w:val="000000"/>
          <w:sz w:val="20"/>
          <w:szCs w:val="20"/>
          <w:shd w:val="clear" w:color="auto" w:fill="FFFFFF"/>
        </w:rPr>
        <w:t xml:space="preserve">, “Propaganda and Conflict: Evidence from the Rwandan Genocide,” </w:t>
      </w:r>
      <w:r>
        <w:rPr>
          <w:rFonts w:cs="Times New Roman"/>
          <w:color w:val="000000"/>
          <w:sz w:val="20"/>
          <w:szCs w:val="20"/>
          <w:shd w:val="clear" w:color="auto" w:fill="FFFFFF"/>
        </w:rPr>
        <w:t xml:space="preserve"> </w:t>
      </w:r>
      <w:r>
        <w:rPr>
          <w:rFonts w:cs="Times New Roman"/>
          <w:i/>
          <w:color w:val="000000"/>
          <w:sz w:val="20"/>
          <w:szCs w:val="20"/>
          <w:shd w:val="clear" w:color="auto" w:fill="FFFFFF"/>
        </w:rPr>
        <w:t xml:space="preserve">The Quarterly </w:t>
      </w:r>
      <w:r w:rsidRPr="002C7477">
        <w:rPr>
          <w:rFonts w:cs="Times New Roman"/>
          <w:i/>
          <w:color w:val="000000"/>
          <w:sz w:val="20"/>
          <w:szCs w:val="20"/>
          <w:shd w:val="clear" w:color="auto" w:fill="FFFFFF"/>
        </w:rPr>
        <w:t xml:space="preserve">Journal of Economics </w:t>
      </w:r>
      <w:r w:rsidRPr="002C7477">
        <w:rPr>
          <w:rFonts w:cs="Times New Roman"/>
          <w:color w:val="000000"/>
          <w:sz w:val="20"/>
          <w:szCs w:val="20"/>
          <w:shd w:val="clear" w:color="auto" w:fill="FFFFFF"/>
        </w:rPr>
        <w:t xml:space="preserve">129, no. 4 (2014): </w:t>
      </w:r>
      <w:r w:rsidRPr="002C7477">
        <w:rPr>
          <w:sz w:val="20"/>
          <w:szCs w:val="20"/>
        </w:rPr>
        <w:t xml:space="preserve"> 1954</w:t>
      </w:r>
    </w:p>
  </w:footnote>
  <w:footnote w:id="29">
    <w:p w:rsidR="007B0E81" w:rsidRDefault="007B0E81">
      <w:pPr>
        <w:pStyle w:val="FootnoteText"/>
      </w:pPr>
      <w:r>
        <w:rPr>
          <w:rStyle w:val="FootnoteReference"/>
        </w:rPr>
        <w:footnoteRef/>
      </w:r>
      <w:r>
        <w:t xml:space="preserve"> Ibid (1976)</w:t>
      </w:r>
    </w:p>
  </w:footnote>
  <w:footnote w:id="30">
    <w:p w:rsidR="007B0E81" w:rsidRDefault="007B0E81">
      <w:pPr>
        <w:pStyle w:val="FootnoteText"/>
      </w:pPr>
      <w:r>
        <w:rPr>
          <w:rStyle w:val="FootnoteReference"/>
        </w:rPr>
        <w:footnoteRef/>
      </w:r>
      <w:r>
        <w:t xml:space="preserve"> Alison Des Forges,</w:t>
      </w:r>
      <w:r w:rsidRPr="00D129F8">
        <w:t xml:space="preserve"> </w:t>
      </w:r>
      <w:r>
        <w:t>“Call to Genocide: Radio in Rwanda, 1994,” 44</w:t>
      </w:r>
    </w:p>
  </w:footnote>
  <w:footnote w:id="31">
    <w:p w:rsidR="007B0E81" w:rsidRDefault="007B0E81">
      <w:pPr>
        <w:pStyle w:val="FootnoteText"/>
      </w:pPr>
      <w:r>
        <w:rPr>
          <w:rStyle w:val="FootnoteReference"/>
        </w:rPr>
        <w:footnoteRef/>
      </w:r>
      <w:r>
        <w:t xml:space="preserve"> Ibid (44)</w:t>
      </w:r>
    </w:p>
  </w:footnote>
  <w:footnote w:id="32">
    <w:p w:rsidR="007B0E81" w:rsidRDefault="007B0E81">
      <w:pPr>
        <w:pStyle w:val="FootnoteText"/>
      </w:pPr>
      <w:r>
        <w:rPr>
          <w:rStyle w:val="FootnoteReference"/>
        </w:rPr>
        <w:footnoteRef/>
      </w:r>
      <w:r>
        <w:t xml:space="preserve"> </w:t>
      </w:r>
      <w:r w:rsidRPr="002C7477">
        <w:rPr>
          <w:rFonts w:cs="Times New Roman"/>
          <w:color w:val="000000"/>
          <w:shd w:val="clear" w:color="auto" w:fill="FFFFFF"/>
        </w:rPr>
        <w:t xml:space="preserve">David </w:t>
      </w:r>
      <w:proofErr w:type="spellStart"/>
      <w:r w:rsidRPr="002C7477">
        <w:rPr>
          <w:rFonts w:cs="Times New Roman"/>
          <w:color w:val="000000"/>
          <w:shd w:val="clear" w:color="auto" w:fill="FFFFFF"/>
        </w:rPr>
        <w:t>Yanagizawa-Drott</w:t>
      </w:r>
      <w:proofErr w:type="spellEnd"/>
      <w:r w:rsidRPr="002C7477">
        <w:rPr>
          <w:rFonts w:cs="Times New Roman"/>
          <w:color w:val="000000"/>
          <w:shd w:val="clear" w:color="auto" w:fill="FFFFFF"/>
        </w:rPr>
        <w:t>, “Propaganda and Conflict: Evidence from the Rwandan Genocide,”</w:t>
      </w:r>
      <w:r>
        <w:rPr>
          <w:rFonts w:cs="Times New Roman"/>
          <w:color w:val="000000"/>
          <w:shd w:val="clear" w:color="auto" w:fill="FFFFFF"/>
        </w:rPr>
        <w:t xml:space="preserve"> 1954</w:t>
      </w:r>
    </w:p>
  </w:footnote>
  <w:footnote w:id="33">
    <w:p w:rsidR="007B0E81" w:rsidRDefault="007B0E81">
      <w:pPr>
        <w:pStyle w:val="FootnoteText"/>
      </w:pPr>
      <w:r>
        <w:rPr>
          <w:rStyle w:val="FootnoteReference"/>
        </w:rPr>
        <w:footnoteRef/>
      </w:r>
      <w:r>
        <w:t xml:space="preserve"> Alison Des Forges,</w:t>
      </w:r>
      <w:r w:rsidRPr="00D129F8">
        <w:t xml:space="preserve"> </w:t>
      </w:r>
      <w:r>
        <w:t>“Call to Genocide: Radio in Rwanda, 1994,” 45</w:t>
      </w:r>
    </w:p>
  </w:footnote>
  <w:footnote w:id="34">
    <w:p w:rsidR="007B0E81" w:rsidRDefault="007B0E81">
      <w:pPr>
        <w:pStyle w:val="FootnoteText"/>
      </w:pPr>
      <w:r>
        <w:rPr>
          <w:rStyle w:val="FootnoteReference"/>
        </w:rPr>
        <w:footnoteRef/>
      </w:r>
      <w:r>
        <w:t xml:space="preserve"> </w:t>
      </w:r>
      <w:r w:rsidRPr="002C7477">
        <w:rPr>
          <w:rFonts w:cs="Times New Roman"/>
          <w:color w:val="000000"/>
          <w:shd w:val="clear" w:color="auto" w:fill="FFFFFF"/>
        </w:rPr>
        <w:t xml:space="preserve">David </w:t>
      </w:r>
      <w:proofErr w:type="spellStart"/>
      <w:r w:rsidRPr="002C7477">
        <w:rPr>
          <w:rFonts w:cs="Times New Roman"/>
          <w:color w:val="000000"/>
          <w:shd w:val="clear" w:color="auto" w:fill="FFFFFF"/>
        </w:rPr>
        <w:t>Yanagizawa-Drott</w:t>
      </w:r>
      <w:proofErr w:type="spellEnd"/>
      <w:r w:rsidRPr="002C7477">
        <w:rPr>
          <w:rFonts w:cs="Times New Roman"/>
          <w:color w:val="000000"/>
          <w:shd w:val="clear" w:color="auto" w:fill="FFFFFF"/>
        </w:rPr>
        <w:t>, “Propaganda and Conflict: Evidence from the Rwandan Genocide,”</w:t>
      </w:r>
      <w:r>
        <w:rPr>
          <w:rFonts w:cs="Times New Roman"/>
          <w:color w:val="000000"/>
          <w:shd w:val="clear" w:color="auto" w:fill="FFFFFF"/>
        </w:rPr>
        <w:t xml:space="preserve"> 1954</w:t>
      </w:r>
    </w:p>
  </w:footnote>
  <w:footnote w:id="35">
    <w:p w:rsidR="007B0E81" w:rsidRDefault="007B0E81">
      <w:pPr>
        <w:pStyle w:val="FootnoteText"/>
      </w:pPr>
      <w:r>
        <w:rPr>
          <w:rStyle w:val="FootnoteReference"/>
        </w:rPr>
        <w:footnoteRef/>
      </w:r>
      <w:r>
        <w:t xml:space="preserve"> Alison Des Forges, “Call to Genocide: Radio in Rwanda, 1994,” 48</w:t>
      </w:r>
    </w:p>
  </w:footnote>
  <w:footnote w:id="36">
    <w:p w:rsidR="007B0E81" w:rsidRDefault="007B0E81">
      <w:pPr>
        <w:pStyle w:val="FootnoteText"/>
      </w:pPr>
      <w:r>
        <w:rPr>
          <w:rStyle w:val="FootnoteReference"/>
        </w:rPr>
        <w:footnoteRef/>
      </w:r>
      <w:r>
        <w:t xml:space="preserve"> </w:t>
      </w:r>
      <w:proofErr w:type="gramStart"/>
      <w:r>
        <w:t>Ibid (48).</w:t>
      </w:r>
      <w:proofErr w:type="gramEnd"/>
    </w:p>
  </w:footnote>
  <w:footnote w:id="37">
    <w:p w:rsidR="007B0E81" w:rsidRDefault="007B0E81">
      <w:pPr>
        <w:pStyle w:val="FootnoteText"/>
      </w:pPr>
      <w:r>
        <w:rPr>
          <w:rStyle w:val="FootnoteReference"/>
        </w:rPr>
        <w:footnoteRef/>
      </w:r>
      <w:r>
        <w:t xml:space="preserve"> </w:t>
      </w:r>
      <w:proofErr w:type="gramStart"/>
      <w:r>
        <w:t>Ibid (48-9).</w:t>
      </w:r>
      <w:proofErr w:type="gramEnd"/>
    </w:p>
  </w:footnote>
  <w:footnote w:id="38">
    <w:p w:rsidR="007B0E81" w:rsidRDefault="007B0E81">
      <w:pPr>
        <w:pStyle w:val="FootnoteText"/>
      </w:pPr>
      <w:r>
        <w:rPr>
          <w:rStyle w:val="FootnoteReference"/>
        </w:rPr>
        <w:footnoteRef/>
      </w:r>
      <w:r>
        <w:t xml:space="preserve"> Alison Des Forges, “Call to Genocide: Radio in Rwanda, 1994,” 49</w:t>
      </w:r>
    </w:p>
  </w:footnote>
  <w:footnote w:id="39">
    <w:p w:rsidR="007B0E81" w:rsidRDefault="007B0E81">
      <w:pPr>
        <w:pStyle w:val="FootnoteText"/>
      </w:pPr>
      <w:r>
        <w:rPr>
          <w:rStyle w:val="FootnoteReference"/>
        </w:rPr>
        <w:footnoteRef/>
      </w:r>
      <w:r>
        <w:t xml:space="preserve"> </w:t>
      </w:r>
      <w:r w:rsidRPr="002C7477">
        <w:rPr>
          <w:rFonts w:cs="Times New Roman"/>
          <w:color w:val="000000"/>
          <w:shd w:val="clear" w:color="auto" w:fill="FFFFFF"/>
        </w:rPr>
        <w:t xml:space="preserve">David </w:t>
      </w:r>
      <w:proofErr w:type="spellStart"/>
      <w:r w:rsidRPr="002C7477">
        <w:rPr>
          <w:rFonts w:cs="Times New Roman"/>
          <w:color w:val="000000"/>
          <w:shd w:val="clear" w:color="auto" w:fill="FFFFFF"/>
        </w:rPr>
        <w:t>Yanagizawa-Drott</w:t>
      </w:r>
      <w:proofErr w:type="spellEnd"/>
      <w:r w:rsidRPr="002C7477">
        <w:rPr>
          <w:rFonts w:cs="Times New Roman"/>
          <w:color w:val="000000"/>
          <w:shd w:val="clear" w:color="auto" w:fill="FFFFFF"/>
        </w:rPr>
        <w:t>, “Propaganda and Conflict: Evidence from the Rwandan Genocide,”</w:t>
      </w:r>
      <w:r>
        <w:rPr>
          <w:rFonts w:cs="Times New Roman"/>
          <w:color w:val="000000"/>
          <w:shd w:val="clear" w:color="auto" w:fill="FFFFFF"/>
        </w:rPr>
        <w:t xml:space="preserve"> 1989</w:t>
      </w:r>
    </w:p>
  </w:footnote>
  <w:footnote w:id="40">
    <w:p w:rsidR="007B0E81" w:rsidRDefault="007B0E81">
      <w:pPr>
        <w:pStyle w:val="FootnoteText"/>
      </w:pPr>
      <w:r>
        <w:rPr>
          <w:rStyle w:val="FootnoteReference"/>
        </w:rPr>
        <w:footnoteRef/>
      </w:r>
      <w:r>
        <w:t xml:space="preserve"> Ibid (1989)</w:t>
      </w:r>
    </w:p>
  </w:footnote>
  <w:footnote w:id="41">
    <w:p w:rsidR="007B0E81" w:rsidRDefault="007B0E81">
      <w:pPr>
        <w:pStyle w:val="FootnoteText"/>
      </w:pPr>
      <w:r>
        <w:rPr>
          <w:rStyle w:val="FootnoteReference"/>
        </w:rPr>
        <w:footnoteRef/>
      </w:r>
      <w:r>
        <w:t xml:space="preserve"> Ibid (1982)</w:t>
      </w:r>
    </w:p>
  </w:footnote>
  <w:footnote w:id="42">
    <w:p w:rsidR="007B0E81" w:rsidRPr="00A465B4" w:rsidRDefault="007B0E81" w:rsidP="001D0707">
      <w:pPr>
        <w:spacing w:after="0" w:line="240" w:lineRule="auto"/>
        <w:rPr>
          <w:rFonts w:cs="Times New Roman"/>
          <w:i/>
          <w:color w:val="000000"/>
          <w:sz w:val="20"/>
          <w:szCs w:val="20"/>
          <w:shd w:val="clear" w:color="auto" w:fill="FFFFFF"/>
        </w:rPr>
      </w:pPr>
      <w:r w:rsidRPr="00A465B4">
        <w:rPr>
          <w:rStyle w:val="FootnoteReference"/>
          <w:sz w:val="20"/>
          <w:szCs w:val="20"/>
        </w:rPr>
        <w:footnoteRef/>
      </w:r>
      <w:r w:rsidRPr="00A465B4">
        <w:rPr>
          <w:sz w:val="20"/>
          <w:szCs w:val="20"/>
        </w:rPr>
        <w:t xml:space="preserve"> Linda </w:t>
      </w:r>
      <w:proofErr w:type="spellStart"/>
      <w:r w:rsidRPr="00A465B4">
        <w:rPr>
          <w:sz w:val="20"/>
          <w:szCs w:val="20"/>
        </w:rPr>
        <w:t>Melvern</w:t>
      </w:r>
      <w:proofErr w:type="spellEnd"/>
      <w:r w:rsidRPr="00A465B4">
        <w:rPr>
          <w:sz w:val="20"/>
          <w:szCs w:val="20"/>
        </w:rPr>
        <w:t xml:space="preserve">, </w:t>
      </w:r>
      <w:r w:rsidRPr="00A465B4">
        <w:rPr>
          <w:rFonts w:cs="Times New Roman"/>
          <w:sz w:val="20"/>
          <w:szCs w:val="20"/>
        </w:rPr>
        <w:t>“Missing the Story: th</w:t>
      </w:r>
      <w:r>
        <w:rPr>
          <w:rFonts w:cs="Times New Roman"/>
          <w:sz w:val="20"/>
          <w:szCs w:val="20"/>
        </w:rPr>
        <w:t>e Media and the Rwanda Genocide,</w:t>
      </w:r>
      <w:r w:rsidRPr="00A465B4">
        <w:rPr>
          <w:rFonts w:cs="Times New Roman"/>
          <w:sz w:val="20"/>
          <w:szCs w:val="20"/>
        </w:rPr>
        <w:t>”</w:t>
      </w:r>
      <w:r w:rsidRPr="00A465B4">
        <w:rPr>
          <w:rFonts w:cs="Times New Roman"/>
          <w:color w:val="000000"/>
          <w:sz w:val="20"/>
          <w:szCs w:val="20"/>
          <w:shd w:val="clear" w:color="auto" w:fill="FFFFFF"/>
        </w:rPr>
        <w:t xml:space="preserve"> </w:t>
      </w:r>
      <w:r>
        <w:rPr>
          <w:rFonts w:cs="Times New Roman"/>
          <w:color w:val="000000"/>
          <w:sz w:val="20"/>
          <w:szCs w:val="20"/>
          <w:shd w:val="clear" w:color="auto" w:fill="FFFFFF"/>
        </w:rPr>
        <w:t>i</w:t>
      </w:r>
      <w:r w:rsidRPr="00A465B4">
        <w:rPr>
          <w:rFonts w:cs="Times New Roman"/>
          <w:color w:val="000000"/>
          <w:sz w:val="20"/>
          <w:szCs w:val="20"/>
          <w:shd w:val="clear" w:color="auto" w:fill="FFFFFF"/>
        </w:rPr>
        <w:t xml:space="preserve">n </w:t>
      </w:r>
      <w:proofErr w:type="gramStart"/>
      <w:r w:rsidRPr="00A465B4">
        <w:rPr>
          <w:rFonts w:cs="Times New Roman"/>
          <w:i/>
          <w:color w:val="000000"/>
          <w:sz w:val="20"/>
          <w:szCs w:val="20"/>
          <w:shd w:val="clear" w:color="auto" w:fill="FFFFFF"/>
        </w:rPr>
        <w:t>The</w:t>
      </w:r>
      <w:proofErr w:type="gramEnd"/>
      <w:r w:rsidRPr="00A465B4">
        <w:rPr>
          <w:rFonts w:cs="Times New Roman"/>
          <w:i/>
          <w:color w:val="000000"/>
          <w:sz w:val="20"/>
          <w:szCs w:val="20"/>
          <w:shd w:val="clear" w:color="auto" w:fill="FFFFFF"/>
        </w:rPr>
        <w:t xml:space="preserve"> Media and the Rwanda Genocide, </w:t>
      </w:r>
      <w:r w:rsidRPr="00A465B4">
        <w:rPr>
          <w:rFonts w:cs="Times New Roman"/>
          <w:color w:val="000000"/>
          <w:sz w:val="20"/>
          <w:szCs w:val="20"/>
          <w:shd w:val="clear" w:color="auto" w:fill="FFFFFF"/>
        </w:rPr>
        <w:t>ed. Allan Thompson (London: Pluto Press, 2007), 198.</w:t>
      </w:r>
    </w:p>
  </w:footnote>
  <w:footnote w:id="43">
    <w:p w:rsidR="007B0E81" w:rsidRDefault="007B0E81">
      <w:pPr>
        <w:pStyle w:val="FootnoteText"/>
      </w:pPr>
      <w:r>
        <w:rPr>
          <w:rStyle w:val="FootnoteReference"/>
        </w:rPr>
        <w:footnoteRef/>
      </w:r>
      <w:r>
        <w:t xml:space="preserve"> </w:t>
      </w:r>
      <w:proofErr w:type="gramStart"/>
      <w:r>
        <w:t>Ibid (201).</w:t>
      </w:r>
      <w:proofErr w:type="gramEnd"/>
    </w:p>
  </w:footnote>
  <w:footnote w:id="44">
    <w:p w:rsidR="007B0E81" w:rsidRDefault="007B0E81">
      <w:pPr>
        <w:pStyle w:val="FootnoteText"/>
      </w:pPr>
      <w:r>
        <w:rPr>
          <w:rStyle w:val="FootnoteReference"/>
        </w:rPr>
        <w:footnoteRef/>
      </w:r>
      <w:r>
        <w:t xml:space="preserve"> Ibid (202)</w:t>
      </w:r>
    </w:p>
  </w:footnote>
  <w:footnote w:id="45">
    <w:p w:rsidR="007B0E81" w:rsidRDefault="007B0E81">
      <w:pPr>
        <w:pStyle w:val="FootnoteText"/>
      </w:pPr>
      <w:r>
        <w:rPr>
          <w:rStyle w:val="FootnoteReference"/>
        </w:rPr>
        <w:footnoteRef/>
      </w:r>
      <w:r>
        <w:t xml:space="preserve"> </w:t>
      </w:r>
      <w:r w:rsidRPr="00A465B4">
        <w:t xml:space="preserve">Linda </w:t>
      </w:r>
      <w:proofErr w:type="spellStart"/>
      <w:r w:rsidRPr="00A465B4">
        <w:t>Melvern</w:t>
      </w:r>
      <w:proofErr w:type="spellEnd"/>
      <w:r w:rsidRPr="00A465B4">
        <w:t xml:space="preserve">, </w:t>
      </w:r>
      <w:r w:rsidRPr="00A465B4">
        <w:rPr>
          <w:rFonts w:cs="Times New Roman"/>
        </w:rPr>
        <w:t>“Missing the Story: th</w:t>
      </w:r>
      <w:r>
        <w:rPr>
          <w:rFonts w:cs="Times New Roman"/>
        </w:rPr>
        <w:t>e Media and the Rwanda Genocide,</w:t>
      </w:r>
      <w:proofErr w:type="gramStart"/>
      <w:r w:rsidRPr="00A465B4">
        <w:rPr>
          <w:rFonts w:cs="Times New Roman"/>
        </w:rPr>
        <w:t>”</w:t>
      </w:r>
      <w:r w:rsidRPr="00A465B4">
        <w:rPr>
          <w:rFonts w:cs="Times New Roman"/>
          <w:color w:val="000000"/>
          <w:shd w:val="clear" w:color="auto" w:fill="FFFFFF"/>
        </w:rPr>
        <w:t xml:space="preserve"> </w:t>
      </w:r>
      <w:r>
        <w:t xml:space="preserve"> 201</w:t>
      </w:r>
      <w:proofErr w:type="gramEnd"/>
      <w:r>
        <w:t>.</w:t>
      </w:r>
    </w:p>
  </w:footnote>
  <w:footnote w:id="46">
    <w:p w:rsidR="007B0E81" w:rsidRDefault="007B0E81">
      <w:pPr>
        <w:pStyle w:val="FootnoteText"/>
      </w:pPr>
      <w:r>
        <w:rPr>
          <w:rStyle w:val="FootnoteReference"/>
        </w:rPr>
        <w:footnoteRef/>
      </w:r>
      <w:r>
        <w:t xml:space="preserve"> </w:t>
      </w:r>
      <w:proofErr w:type="gramStart"/>
      <w:r>
        <w:t>Ibid (201-2).</w:t>
      </w:r>
      <w:proofErr w:type="gramEnd"/>
    </w:p>
  </w:footnote>
  <w:footnote w:id="47">
    <w:p w:rsidR="007B0E81" w:rsidRDefault="007B0E81">
      <w:pPr>
        <w:pStyle w:val="FootnoteText"/>
      </w:pPr>
      <w:r>
        <w:rPr>
          <w:rStyle w:val="FootnoteReference"/>
        </w:rPr>
        <w:footnoteRef/>
      </w:r>
      <w:r>
        <w:t xml:space="preserve"> </w:t>
      </w:r>
      <w:proofErr w:type="gramStart"/>
      <w:r>
        <w:t>Ibid (204).</w:t>
      </w:r>
      <w:proofErr w:type="gramEnd"/>
    </w:p>
  </w:footnote>
  <w:footnote w:id="48">
    <w:p w:rsidR="007B0E81" w:rsidRDefault="007B0E81">
      <w:pPr>
        <w:pStyle w:val="FootnoteText"/>
      </w:pPr>
      <w:r>
        <w:rPr>
          <w:rStyle w:val="FootnoteReference"/>
        </w:rPr>
        <w:footnoteRef/>
      </w:r>
      <w:r>
        <w:t xml:space="preserve"> </w:t>
      </w:r>
      <w:proofErr w:type="gramStart"/>
      <w:r>
        <w:t>Ibid (204).</w:t>
      </w:r>
      <w:proofErr w:type="gramEnd"/>
    </w:p>
  </w:footnote>
  <w:footnote w:id="49">
    <w:p w:rsidR="007B0E81" w:rsidRDefault="007B0E81">
      <w:pPr>
        <w:pStyle w:val="FootnoteText"/>
      </w:pPr>
      <w:r>
        <w:rPr>
          <w:rStyle w:val="FootnoteReference"/>
        </w:rPr>
        <w:footnoteRef/>
      </w:r>
      <w:r>
        <w:t xml:space="preserve"> Alison Des Forges, “Call to Genocide: Radio in Rwanda, 1994,” 51</w:t>
      </w:r>
    </w:p>
  </w:footnote>
  <w:footnote w:id="50">
    <w:p w:rsidR="007B0E81" w:rsidRDefault="007B0E81">
      <w:pPr>
        <w:pStyle w:val="FootnoteText"/>
      </w:pPr>
      <w:r>
        <w:rPr>
          <w:rStyle w:val="FootnoteReference"/>
        </w:rPr>
        <w:footnoteRef/>
      </w:r>
      <w:r>
        <w:t xml:space="preserve"> </w:t>
      </w:r>
      <w:proofErr w:type="gramStart"/>
      <w:r>
        <w:t>Ibid (51).</w:t>
      </w:r>
      <w:proofErr w:type="gramEnd"/>
    </w:p>
  </w:footnote>
  <w:footnote w:id="51">
    <w:p w:rsidR="007B0E81" w:rsidRDefault="007B0E81">
      <w:pPr>
        <w:pStyle w:val="FootnoteText"/>
      </w:pPr>
      <w:r>
        <w:rPr>
          <w:rStyle w:val="FootnoteReference"/>
        </w:rPr>
        <w:footnoteRef/>
      </w:r>
      <w:r>
        <w:t xml:space="preserve"> </w:t>
      </w:r>
      <w:r w:rsidRPr="002C7477">
        <w:rPr>
          <w:rFonts w:cs="Times New Roman"/>
          <w:color w:val="000000"/>
          <w:shd w:val="clear" w:color="auto" w:fill="FFFFFF"/>
        </w:rPr>
        <w:t xml:space="preserve">David </w:t>
      </w:r>
      <w:proofErr w:type="spellStart"/>
      <w:r w:rsidRPr="002C7477">
        <w:rPr>
          <w:rFonts w:cs="Times New Roman"/>
          <w:color w:val="000000"/>
          <w:shd w:val="clear" w:color="auto" w:fill="FFFFFF"/>
        </w:rPr>
        <w:t>Yanagizawa-Drott</w:t>
      </w:r>
      <w:proofErr w:type="spellEnd"/>
      <w:r w:rsidRPr="002C7477">
        <w:rPr>
          <w:rFonts w:cs="Times New Roman"/>
          <w:color w:val="000000"/>
          <w:shd w:val="clear" w:color="auto" w:fill="FFFFFF"/>
        </w:rPr>
        <w:t>, “Propaganda and Conflict: Evidence from the Rwandan Genocide,”</w:t>
      </w:r>
      <w:r>
        <w:rPr>
          <w:rFonts w:cs="Times New Roman"/>
          <w:color w:val="000000"/>
          <w:shd w:val="clear" w:color="auto" w:fill="FFFFFF"/>
        </w:rPr>
        <w:t xml:space="preserve"> 1990</w:t>
      </w:r>
    </w:p>
  </w:footnote>
  <w:footnote w:id="52">
    <w:p w:rsidR="007B0E81" w:rsidRDefault="007B0E81">
      <w:pPr>
        <w:pStyle w:val="FootnoteText"/>
      </w:pPr>
      <w:r>
        <w:rPr>
          <w:rStyle w:val="FootnoteReference"/>
        </w:rPr>
        <w:footnoteRef/>
      </w:r>
      <w:r>
        <w:t xml:space="preserve"> Alison Des Forges, “Call to Genocide: Radio in Rwanda, 1994,” 53</w:t>
      </w:r>
    </w:p>
  </w:footnote>
  <w:footnote w:id="53">
    <w:p w:rsidR="007B0E81" w:rsidRPr="007B0E81" w:rsidRDefault="007B0E81" w:rsidP="007B0E81">
      <w:pPr>
        <w:spacing w:after="0"/>
        <w:rPr>
          <w:rFonts w:cs="Times New Roman"/>
          <w:sz w:val="20"/>
          <w:szCs w:val="20"/>
        </w:rPr>
      </w:pPr>
      <w:r>
        <w:rPr>
          <w:rStyle w:val="FootnoteReference"/>
        </w:rPr>
        <w:footnoteRef/>
      </w:r>
      <w:r>
        <w:t xml:space="preserve"> </w:t>
      </w:r>
      <w:r>
        <w:rPr>
          <w:rFonts w:cs="Times New Roman"/>
          <w:sz w:val="20"/>
          <w:szCs w:val="20"/>
        </w:rPr>
        <w:t xml:space="preserve">Anthony </w:t>
      </w:r>
      <w:proofErr w:type="spellStart"/>
      <w:r w:rsidRPr="007B0E81">
        <w:rPr>
          <w:rFonts w:cs="Times New Roman"/>
          <w:sz w:val="20"/>
          <w:szCs w:val="20"/>
        </w:rPr>
        <w:t>Oberschall</w:t>
      </w:r>
      <w:proofErr w:type="spellEnd"/>
      <w:r w:rsidRPr="007B0E81">
        <w:rPr>
          <w:rFonts w:cs="Times New Roman"/>
          <w:sz w:val="20"/>
          <w:szCs w:val="20"/>
        </w:rPr>
        <w:t>, “Propaganda</w:t>
      </w:r>
      <w:r>
        <w:rPr>
          <w:rFonts w:cs="Times New Roman"/>
          <w:sz w:val="20"/>
          <w:szCs w:val="20"/>
        </w:rPr>
        <w:t>, hate speech and mass killings,</w:t>
      </w:r>
      <w:r w:rsidRPr="007B0E81">
        <w:rPr>
          <w:rFonts w:cs="Times New Roman"/>
          <w:sz w:val="20"/>
          <w:szCs w:val="20"/>
        </w:rPr>
        <w:t xml:space="preserve">” </w:t>
      </w:r>
      <w:r>
        <w:rPr>
          <w:rFonts w:cs="Times New Roman"/>
          <w:sz w:val="20"/>
          <w:szCs w:val="20"/>
        </w:rPr>
        <w:t>i</w:t>
      </w:r>
      <w:r w:rsidRPr="007B0E81">
        <w:rPr>
          <w:rFonts w:cs="Times New Roman"/>
          <w:sz w:val="20"/>
          <w:szCs w:val="20"/>
        </w:rPr>
        <w:t xml:space="preserve">n </w:t>
      </w:r>
      <w:r w:rsidRPr="007B0E81">
        <w:rPr>
          <w:rFonts w:cs="Times New Roman"/>
          <w:i/>
          <w:sz w:val="20"/>
          <w:szCs w:val="20"/>
        </w:rPr>
        <w:t>Propaganda, War Crimes Trials, and International Law,</w:t>
      </w:r>
      <w:r>
        <w:rPr>
          <w:rFonts w:cs="Times New Roman"/>
          <w:sz w:val="20"/>
          <w:szCs w:val="20"/>
        </w:rPr>
        <w:t xml:space="preserve"> ed.</w:t>
      </w:r>
      <w:r w:rsidRPr="007B0E81">
        <w:rPr>
          <w:rFonts w:cs="Times New Roman"/>
          <w:sz w:val="20"/>
          <w:szCs w:val="20"/>
        </w:rPr>
        <w:t xml:space="preserve"> by </w:t>
      </w:r>
      <w:proofErr w:type="spellStart"/>
      <w:r w:rsidRPr="007B0E81">
        <w:rPr>
          <w:rFonts w:cs="Times New Roman"/>
          <w:sz w:val="20"/>
          <w:szCs w:val="20"/>
        </w:rPr>
        <w:t>Pre</w:t>
      </w:r>
      <w:r>
        <w:rPr>
          <w:rFonts w:cs="Times New Roman"/>
          <w:sz w:val="20"/>
          <w:szCs w:val="20"/>
        </w:rPr>
        <w:t>drag</w:t>
      </w:r>
      <w:proofErr w:type="spellEnd"/>
      <w:r>
        <w:rPr>
          <w:rFonts w:cs="Times New Roman"/>
          <w:sz w:val="20"/>
          <w:szCs w:val="20"/>
        </w:rPr>
        <w:t xml:space="preserve"> </w:t>
      </w:r>
      <w:proofErr w:type="spellStart"/>
      <w:r>
        <w:rPr>
          <w:rFonts w:cs="Times New Roman"/>
          <w:sz w:val="20"/>
          <w:szCs w:val="20"/>
        </w:rPr>
        <w:t>Dojčinović</w:t>
      </w:r>
      <w:proofErr w:type="spellEnd"/>
      <w:r>
        <w:rPr>
          <w:rFonts w:cs="Times New Roman"/>
          <w:sz w:val="20"/>
          <w:szCs w:val="20"/>
        </w:rPr>
        <w:t>.</w:t>
      </w:r>
      <w:r w:rsidRPr="007B0E81">
        <w:rPr>
          <w:rFonts w:cs="Times New Roman"/>
          <w:sz w:val="20"/>
          <w:szCs w:val="20"/>
        </w:rPr>
        <w:t xml:space="preserve"> </w:t>
      </w:r>
      <w:proofErr w:type="gramStart"/>
      <w:r>
        <w:rPr>
          <w:rFonts w:cs="Times New Roman"/>
          <w:sz w:val="20"/>
          <w:szCs w:val="20"/>
        </w:rPr>
        <w:t>(</w:t>
      </w:r>
      <w:r w:rsidRPr="007B0E81">
        <w:rPr>
          <w:rFonts w:cs="Times New Roman"/>
          <w:sz w:val="20"/>
          <w:szCs w:val="20"/>
        </w:rPr>
        <w:t>New York: Routledge, 2012</w:t>
      </w:r>
      <w:r>
        <w:rPr>
          <w:rFonts w:cs="Times New Roman"/>
          <w:sz w:val="20"/>
          <w:szCs w:val="20"/>
        </w:rPr>
        <w:t>), 186</w:t>
      </w:r>
      <w:r w:rsidRPr="007B0E81">
        <w:rPr>
          <w:rFonts w:cs="Times New Roman"/>
          <w:sz w:val="20"/>
          <w:szCs w:val="20"/>
        </w:rPr>
        <w:t>.</w:t>
      </w:r>
      <w:proofErr w:type="gramEnd"/>
    </w:p>
  </w:footnote>
  <w:footnote w:id="54">
    <w:p w:rsidR="007B0E81" w:rsidRDefault="007B0E81">
      <w:pPr>
        <w:pStyle w:val="FootnoteText"/>
      </w:pPr>
      <w:r>
        <w:rPr>
          <w:rStyle w:val="FootnoteReference"/>
        </w:rPr>
        <w:footnoteRef/>
      </w:r>
      <w:r>
        <w:t xml:space="preserve"> Ibid (187)</w:t>
      </w:r>
    </w:p>
  </w:footnote>
  <w:footnote w:id="55">
    <w:p w:rsidR="000E2147" w:rsidRDefault="000E2147">
      <w:pPr>
        <w:pStyle w:val="FootnoteText"/>
      </w:pPr>
      <w:r>
        <w:rPr>
          <w:rStyle w:val="FootnoteReference"/>
        </w:rPr>
        <w:footnoteRef/>
      </w:r>
      <w:r>
        <w:t xml:space="preserve"> </w:t>
      </w:r>
      <w:r w:rsidR="00EF46ED">
        <w:rPr>
          <w:rFonts w:cs="Times New Roman"/>
        </w:rPr>
        <w:t xml:space="preserve">Anthony </w:t>
      </w:r>
      <w:proofErr w:type="spellStart"/>
      <w:r w:rsidR="00EF46ED" w:rsidRPr="007B0E81">
        <w:rPr>
          <w:rFonts w:cs="Times New Roman"/>
        </w:rPr>
        <w:t>Oberschall</w:t>
      </w:r>
      <w:proofErr w:type="spellEnd"/>
      <w:r w:rsidR="00EF46ED" w:rsidRPr="007B0E81">
        <w:rPr>
          <w:rFonts w:cs="Times New Roman"/>
        </w:rPr>
        <w:t>, “Propaganda</w:t>
      </w:r>
      <w:r w:rsidR="00EF46ED">
        <w:rPr>
          <w:rFonts w:cs="Times New Roman"/>
        </w:rPr>
        <w:t>, hate speech and mass killings,</w:t>
      </w:r>
      <w:r w:rsidR="00EF46ED" w:rsidRPr="007B0E81">
        <w:rPr>
          <w:rFonts w:cs="Times New Roman"/>
        </w:rPr>
        <w:t>”</w:t>
      </w:r>
      <w:r w:rsidR="00EF46ED">
        <w:rPr>
          <w:rFonts w:cs="Times New Roman"/>
        </w:rPr>
        <w:t xml:space="preserve"> </w:t>
      </w:r>
      <w:r w:rsidR="00EF46ED">
        <w:t>189</w:t>
      </w:r>
    </w:p>
  </w:footnote>
  <w:footnote w:id="56">
    <w:p w:rsidR="00EF46ED" w:rsidRDefault="00EF46ED">
      <w:pPr>
        <w:pStyle w:val="FootnoteText"/>
      </w:pPr>
      <w:r>
        <w:rPr>
          <w:rStyle w:val="FootnoteReference"/>
        </w:rPr>
        <w:footnoteRef/>
      </w:r>
      <w:r>
        <w:t xml:space="preserve"> Ibid (193)</w:t>
      </w:r>
    </w:p>
  </w:footnote>
  <w:footnote w:id="57">
    <w:p w:rsidR="007B0E81" w:rsidRPr="007743AA" w:rsidRDefault="007B0E81">
      <w:pPr>
        <w:pStyle w:val="FootnoteText"/>
        <w:rPr>
          <w:sz w:val="16"/>
        </w:rPr>
      </w:pPr>
      <w:r>
        <w:rPr>
          <w:rStyle w:val="FootnoteReference"/>
        </w:rPr>
        <w:footnoteRef/>
      </w:r>
      <w:r>
        <w:t xml:space="preserve"> </w:t>
      </w:r>
      <w:proofErr w:type="gramStart"/>
      <w:r>
        <w:t>Dan Saxon, “Propaganda as a crime under international humanitarian law,” (</w:t>
      </w:r>
      <w:r>
        <w:rPr>
          <w:rFonts w:cs="Times New Roman"/>
          <w:szCs w:val="24"/>
        </w:rPr>
        <w:t>134-5).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94803"/>
      <w:docPartObj>
        <w:docPartGallery w:val="Page Numbers (Top of Page)"/>
        <w:docPartUnique/>
      </w:docPartObj>
    </w:sdtPr>
    <w:sdtEndPr>
      <w:rPr>
        <w:noProof/>
      </w:rPr>
    </w:sdtEndPr>
    <w:sdtContent>
      <w:p w:rsidR="007B0E81" w:rsidRDefault="002071E5">
        <w:pPr>
          <w:pStyle w:val="Header"/>
          <w:jc w:val="right"/>
        </w:pPr>
        <w:r>
          <w:t>Hoffmann</w:t>
        </w:r>
        <w:r w:rsidR="00E33BBF">
          <w:t xml:space="preserve">                                                                                                                                                                     </w:t>
        </w:r>
        <w:r w:rsidR="007B0E81">
          <w:fldChar w:fldCharType="begin"/>
        </w:r>
        <w:r w:rsidR="007B0E81">
          <w:instrText xml:space="preserve"> PAGE   \* MERGEFORMAT </w:instrText>
        </w:r>
        <w:r w:rsidR="007B0E81">
          <w:fldChar w:fldCharType="separate"/>
        </w:r>
        <w:r>
          <w:rPr>
            <w:noProof/>
          </w:rPr>
          <w:t>2</w:t>
        </w:r>
        <w:r w:rsidR="007B0E81">
          <w:rPr>
            <w:noProof/>
          </w:rPr>
          <w:fldChar w:fldCharType="end"/>
        </w:r>
      </w:p>
    </w:sdtContent>
  </w:sdt>
  <w:p w:rsidR="007B0E81" w:rsidRDefault="007B0E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D40"/>
    <w:rsid w:val="0000495C"/>
    <w:rsid w:val="00005512"/>
    <w:rsid w:val="00005A72"/>
    <w:rsid w:val="000071B0"/>
    <w:rsid w:val="00011C92"/>
    <w:rsid w:val="000138CB"/>
    <w:rsid w:val="000153AC"/>
    <w:rsid w:val="0001592A"/>
    <w:rsid w:val="000176E6"/>
    <w:rsid w:val="00020401"/>
    <w:rsid w:val="000231FE"/>
    <w:rsid w:val="00026DF2"/>
    <w:rsid w:val="0003334B"/>
    <w:rsid w:val="00035090"/>
    <w:rsid w:val="00040F66"/>
    <w:rsid w:val="0004704B"/>
    <w:rsid w:val="0005155D"/>
    <w:rsid w:val="00051997"/>
    <w:rsid w:val="00056E89"/>
    <w:rsid w:val="000623A0"/>
    <w:rsid w:val="00064D84"/>
    <w:rsid w:val="00074510"/>
    <w:rsid w:val="00082816"/>
    <w:rsid w:val="000869E7"/>
    <w:rsid w:val="00086D40"/>
    <w:rsid w:val="000870E3"/>
    <w:rsid w:val="00096131"/>
    <w:rsid w:val="00097B0E"/>
    <w:rsid w:val="00097B5E"/>
    <w:rsid w:val="000A0515"/>
    <w:rsid w:val="000A2D8B"/>
    <w:rsid w:val="000A31E8"/>
    <w:rsid w:val="000A4E7B"/>
    <w:rsid w:val="000B0D2A"/>
    <w:rsid w:val="000B374A"/>
    <w:rsid w:val="000C33E0"/>
    <w:rsid w:val="000D45A8"/>
    <w:rsid w:val="000D49E0"/>
    <w:rsid w:val="000D5055"/>
    <w:rsid w:val="000E2147"/>
    <w:rsid w:val="000E3F81"/>
    <w:rsid w:val="000E6DFD"/>
    <w:rsid w:val="000F0621"/>
    <w:rsid w:val="000F3E3C"/>
    <w:rsid w:val="000F6628"/>
    <w:rsid w:val="000F7A1D"/>
    <w:rsid w:val="0010395E"/>
    <w:rsid w:val="0010527F"/>
    <w:rsid w:val="00106759"/>
    <w:rsid w:val="00107D17"/>
    <w:rsid w:val="00115091"/>
    <w:rsid w:val="00115540"/>
    <w:rsid w:val="00116478"/>
    <w:rsid w:val="001171F0"/>
    <w:rsid w:val="001230AE"/>
    <w:rsid w:val="00123928"/>
    <w:rsid w:val="00130D25"/>
    <w:rsid w:val="00136529"/>
    <w:rsid w:val="00141212"/>
    <w:rsid w:val="00141262"/>
    <w:rsid w:val="001478FF"/>
    <w:rsid w:val="0015427F"/>
    <w:rsid w:val="0015651E"/>
    <w:rsid w:val="00162AE2"/>
    <w:rsid w:val="0016565A"/>
    <w:rsid w:val="001741B6"/>
    <w:rsid w:val="0017598E"/>
    <w:rsid w:val="0018058D"/>
    <w:rsid w:val="00181807"/>
    <w:rsid w:val="00185A3F"/>
    <w:rsid w:val="00190A51"/>
    <w:rsid w:val="00190D61"/>
    <w:rsid w:val="001910C0"/>
    <w:rsid w:val="00194330"/>
    <w:rsid w:val="00196DA8"/>
    <w:rsid w:val="001975EE"/>
    <w:rsid w:val="001A076F"/>
    <w:rsid w:val="001A13E6"/>
    <w:rsid w:val="001A72AA"/>
    <w:rsid w:val="001B135E"/>
    <w:rsid w:val="001B3A3C"/>
    <w:rsid w:val="001B5E68"/>
    <w:rsid w:val="001B6305"/>
    <w:rsid w:val="001B6AD6"/>
    <w:rsid w:val="001B7D18"/>
    <w:rsid w:val="001C2F8E"/>
    <w:rsid w:val="001D0707"/>
    <w:rsid w:val="001D79D8"/>
    <w:rsid w:val="001E2321"/>
    <w:rsid w:val="001E2C01"/>
    <w:rsid w:val="001E2CBD"/>
    <w:rsid w:val="001F4CD2"/>
    <w:rsid w:val="00202EC1"/>
    <w:rsid w:val="002071E5"/>
    <w:rsid w:val="00212959"/>
    <w:rsid w:val="002212E2"/>
    <w:rsid w:val="00231A1D"/>
    <w:rsid w:val="00233F2E"/>
    <w:rsid w:val="00242897"/>
    <w:rsid w:val="002446D7"/>
    <w:rsid w:val="002479AE"/>
    <w:rsid w:val="002609BE"/>
    <w:rsid w:val="00266026"/>
    <w:rsid w:val="00266B0C"/>
    <w:rsid w:val="00271C41"/>
    <w:rsid w:val="00272C07"/>
    <w:rsid w:val="002765CA"/>
    <w:rsid w:val="00284436"/>
    <w:rsid w:val="002A12AE"/>
    <w:rsid w:val="002A2AE0"/>
    <w:rsid w:val="002A7EEF"/>
    <w:rsid w:val="002B0F67"/>
    <w:rsid w:val="002B253F"/>
    <w:rsid w:val="002B4DC6"/>
    <w:rsid w:val="002C5083"/>
    <w:rsid w:val="002C5280"/>
    <w:rsid w:val="002C5B7C"/>
    <w:rsid w:val="002C7477"/>
    <w:rsid w:val="002D2F7B"/>
    <w:rsid w:val="002D4522"/>
    <w:rsid w:val="002E0E39"/>
    <w:rsid w:val="002E745A"/>
    <w:rsid w:val="002E7D30"/>
    <w:rsid w:val="002F175E"/>
    <w:rsid w:val="002F3E6F"/>
    <w:rsid w:val="00300A3F"/>
    <w:rsid w:val="00301304"/>
    <w:rsid w:val="00305F97"/>
    <w:rsid w:val="00307DF3"/>
    <w:rsid w:val="00307F89"/>
    <w:rsid w:val="00313D6E"/>
    <w:rsid w:val="00313E89"/>
    <w:rsid w:val="0031644C"/>
    <w:rsid w:val="00332B16"/>
    <w:rsid w:val="003330D8"/>
    <w:rsid w:val="0033702A"/>
    <w:rsid w:val="00341AF9"/>
    <w:rsid w:val="00344678"/>
    <w:rsid w:val="00346117"/>
    <w:rsid w:val="00353BA8"/>
    <w:rsid w:val="00355AB5"/>
    <w:rsid w:val="00367B9E"/>
    <w:rsid w:val="0037106A"/>
    <w:rsid w:val="0037311F"/>
    <w:rsid w:val="003749EF"/>
    <w:rsid w:val="0037758A"/>
    <w:rsid w:val="0038637C"/>
    <w:rsid w:val="00394D44"/>
    <w:rsid w:val="003A1F34"/>
    <w:rsid w:val="003A66F0"/>
    <w:rsid w:val="003B10CE"/>
    <w:rsid w:val="003B1341"/>
    <w:rsid w:val="003B26D0"/>
    <w:rsid w:val="003B2B8E"/>
    <w:rsid w:val="003B351F"/>
    <w:rsid w:val="003B42C1"/>
    <w:rsid w:val="003B5E6D"/>
    <w:rsid w:val="003C1C72"/>
    <w:rsid w:val="003C2AF0"/>
    <w:rsid w:val="003C3A5C"/>
    <w:rsid w:val="003C3C2C"/>
    <w:rsid w:val="003C7004"/>
    <w:rsid w:val="003C73D1"/>
    <w:rsid w:val="003D7AE2"/>
    <w:rsid w:val="003D7E48"/>
    <w:rsid w:val="003F0270"/>
    <w:rsid w:val="003F31AC"/>
    <w:rsid w:val="004040CE"/>
    <w:rsid w:val="004048E9"/>
    <w:rsid w:val="00410ADB"/>
    <w:rsid w:val="00420793"/>
    <w:rsid w:val="004225DE"/>
    <w:rsid w:val="00424956"/>
    <w:rsid w:val="0043204D"/>
    <w:rsid w:val="004420EE"/>
    <w:rsid w:val="00442814"/>
    <w:rsid w:val="00445B7F"/>
    <w:rsid w:val="004506A8"/>
    <w:rsid w:val="004646EC"/>
    <w:rsid w:val="00467954"/>
    <w:rsid w:val="00471789"/>
    <w:rsid w:val="0047299C"/>
    <w:rsid w:val="004747D2"/>
    <w:rsid w:val="00474BB6"/>
    <w:rsid w:val="00474EFE"/>
    <w:rsid w:val="004807D3"/>
    <w:rsid w:val="00480D6B"/>
    <w:rsid w:val="00484EEA"/>
    <w:rsid w:val="00491FDA"/>
    <w:rsid w:val="00496489"/>
    <w:rsid w:val="004A20C3"/>
    <w:rsid w:val="004A2BF8"/>
    <w:rsid w:val="004A4BA4"/>
    <w:rsid w:val="004A6174"/>
    <w:rsid w:val="004B04FA"/>
    <w:rsid w:val="004B2230"/>
    <w:rsid w:val="004B3095"/>
    <w:rsid w:val="004B63F7"/>
    <w:rsid w:val="004C373E"/>
    <w:rsid w:val="004C7555"/>
    <w:rsid w:val="004C7998"/>
    <w:rsid w:val="004D1DCB"/>
    <w:rsid w:val="004D51BC"/>
    <w:rsid w:val="004D571F"/>
    <w:rsid w:val="004E417D"/>
    <w:rsid w:val="004E52C2"/>
    <w:rsid w:val="004E5E6B"/>
    <w:rsid w:val="004E7105"/>
    <w:rsid w:val="004F023F"/>
    <w:rsid w:val="004F3B36"/>
    <w:rsid w:val="00501670"/>
    <w:rsid w:val="00502039"/>
    <w:rsid w:val="00503580"/>
    <w:rsid w:val="005054FF"/>
    <w:rsid w:val="005058C6"/>
    <w:rsid w:val="00510DE7"/>
    <w:rsid w:val="0051257E"/>
    <w:rsid w:val="00520123"/>
    <w:rsid w:val="00523F3A"/>
    <w:rsid w:val="005241BA"/>
    <w:rsid w:val="005349EC"/>
    <w:rsid w:val="00536F21"/>
    <w:rsid w:val="00542894"/>
    <w:rsid w:val="0054533E"/>
    <w:rsid w:val="00545EE4"/>
    <w:rsid w:val="00557673"/>
    <w:rsid w:val="005617DB"/>
    <w:rsid w:val="00561B24"/>
    <w:rsid w:val="005679A0"/>
    <w:rsid w:val="0057734B"/>
    <w:rsid w:val="00580C36"/>
    <w:rsid w:val="0058476B"/>
    <w:rsid w:val="00587785"/>
    <w:rsid w:val="005942A8"/>
    <w:rsid w:val="00596767"/>
    <w:rsid w:val="005A020B"/>
    <w:rsid w:val="005A0F5E"/>
    <w:rsid w:val="005A0FA6"/>
    <w:rsid w:val="005A1EA3"/>
    <w:rsid w:val="005A370D"/>
    <w:rsid w:val="005A4F21"/>
    <w:rsid w:val="005A546C"/>
    <w:rsid w:val="005B3342"/>
    <w:rsid w:val="005B5992"/>
    <w:rsid w:val="005B5BE4"/>
    <w:rsid w:val="005C211C"/>
    <w:rsid w:val="005C7402"/>
    <w:rsid w:val="005D2262"/>
    <w:rsid w:val="005D4BBD"/>
    <w:rsid w:val="005D6708"/>
    <w:rsid w:val="005E0A97"/>
    <w:rsid w:val="005E24AA"/>
    <w:rsid w:val="005E27BF"/>
    <w:rsid w:val="005E30A1"/>
    <w:rsid w:val="005E3371"/>
    <w:rsid w:val="005E4D85"/>
    <w:rsid w:val="005E7534"/>
    <w:rsid w:val="005F0A57"/>
    <w:rsid w:val="005F1F34"/>
    <w:rsid w:val="005F5AC1"/>
    <w:rsid w:val="006005AA"/>
    <w:rsid w:val="00604135"/>
    <w:rsid w:val="00606826"/>
    <w:rsid w:val="00613438"/>
    <w:rsid w:val="00634BC6"/>
    <w:rsid w:val="006410CD"/>
    <w:rsid w:val="00643709"/>
    <w:rsid w:val="00644FA1"/>
    <w:rsid w:val="00653CC4"/>
    <w:rsid w:val="0065456E"/>
    <w:rsid w:val="00655239"/>
    <w:rsid w:val="006633D6"/>
    <w:rsid w:val="0066568C"/>
    <w:rsid w:val="00670D40"/>
    <w:rsid w:val="00671B68"/>
    <w:rsid w:val="006744E5"/>
    <w:rsid w:val="006759C4"/>
    <w:rsid w:val="00680CAA"/>
    <w:rsid w:val="00682207"/>
    <w:rsid w:val="00686A7E"/>
    <w:rsid w:val="00692F77"/>
    <w:rsid w:val="00695F4F"/>
    <w:rsid w:val="00696622"/>
    <w:rsid w:val="006968EF"/>
    <w:rsid w:val="006A4C7E"/>
    <w:rsid w:val="006B1879"/>
    <w:rsid w:val="006B2794"/>
    <w:rsid w:val="006B2C3D"/>
    <w:rsid w:val="006C0ADA"/>
    <w:rsid w:val="006C5329"/>
    <w:rsid w:val="006C5475"/>
    <w:rsid w:val="006D07C7"/>
    <w:rsid w:val="006E1228"/>
    <w:rsid w:val="006F34E0"/>
    <w:rsid w:val="006F49BE"/>
    <w:rsid w:val="006F5211"/>
    <w:rsid w:val="006F64DF"/>
    <w:rsid w:val="007101BA"/>
    <w:rsid w:val="00715535"/>
    <w:rsid w:val="007155A8"/>
    <w:rsid w:val="00716DDE"/>
    <w:rsid w:val="00721906"/>
    <w:rsid w:val="00724CD8"/>
    <w:rsid w:val="0073451C"/>
    <w:rsid w:val="00742905"/>
    <w:rsid w:val="007445E2"/>
    <w:rsid w:val="00746912"/>
    <w:rsid w:val="00746D3B"/>
    <w:rsid w:val="00747495"/>
    <w:rsid w:val="00750CB7"/>
    <w:rsid w:val="00751C3A"/>
    <w:rsid w:val="00752DB6"/>
    <w:rsid w:val="0075656C"/>
    <w:rsid w:val="0076140B"/>
    <w:rsid w:val="00761D3E"/>
    <w:rsid w:val="00761F5A"/>
    <w:rsid w:val="0076471B"/>
    <w:rsid w:val="00766298"/>
    <w:rsid w:val="007743AA"/>
    <w:rsid w:val="007746A2"/>
    <w:rsid w:val="00783104"/>
    <w:rsid w:val="007877A6"/>
    <w:rsid w:val="00790AF7"/>
    <w:rsid w:val="0079420D"/>
    <w:rsid w:val="00794EE3"/>
    <w:rsid w:val="00796B5E"/>
    <w:rsid w:val="007A1D16"/>
    <w:rsid w:val="007B0E81"/>
    <w:rsid w:val="007B1998"/>
    <w:rsid w:val="007B5030"/>
    <w:rsid w:val="007B5B19"/>
    <w:rsid w:val="007B6DE5"/>
    <w:rsid w:val="007C2F88"/>
    <w:rsid w:val="007C3EFC"/>
    <w:rsid w:val="007C4983"/>
    <w:rsid w:val="007D142B"/>
    <w:rsid w:val="007D7B99"/>
    <w:rsid w:val="007E00E0"/>
    <w:rsid w:val="007E05FF"/>
    <w:rsid w:val="007E0D6A"/>
    <w:rsid w:val="007F0A97"/>
    <w:rsid w:val="007F4038"/>
    <w:rsid w:val="007F4A5C"/>
    <w:rsid w:val="00801264"/>
    <w:rsid w:val="00803CB6"/>
    <w:rsid w:val="00803E7E"/>
    <w:rsid w:val="008043BD"/>
    <w:rsid w:val="008076B3"/>
    <w:rsid w:val="00811482"/>
    <w:rsid w:val="00817760"/>
    <w:rsid w:val="00817FE9"/>
    <w:rsid w:val="00821AAA"/>
    <w:rsid w:val="00833389"/>
    <w:rsid w:val="00833A6A"/>
    <w:rsid w:val="0083491B"/>
    <w:rsid w:val="008358ED"/>
    <w:rsid w:val="00835EBA"/>
    <w:rsid w:val="00841DFC"/>
    <w:rsid w:val="00844219"/>
    <w:rsid w:val="00847D3E"/>
    <w:rsid w:val="00850E69"/>
    <w:rsid w:val="008533E8"/>
    <w:rsid w:val="00853B24"/>
    <w:rsid w:val="008545AD"/>
    <w:rsid w:val="00857B24"/>
    <w:rsid w:val="00860168"/>
    <w:rsid w:val="00867B5A"/>
    <w:rsid w:val="00870679"/>
    <w:rsid w:val="008708BF"/>
    <w:rsid w:val="00875097"/>
    <w:rsid w:val="00875C91"/>
    <w:rsid w:val="00881CBF"/>
    <w:rsid w:val="00887A5F"/>
    <w:rsid w:val="00891406"/>
    <w:rsid w:val="00895095"/>
    <w:rsid w:val="00897385"/>
    <w:rsid w:val="008A23B7"/>
    <w:rsid w:val="008A34C1"/>
    <w:rsid w:val="008A47C7"/>
    <w:rsid w:val="008A674B"/>
    <w:rsid w:val="008A7D18"/>
    <w:rsid w:val="008B1F67"/>
    <w:rsid w:val="008C02A1"/>
    <w:rsid w:val="008C0D34"/>
    <w:rsid w:val="008C4314"/>
    <w:rsid w:val="008C5B63"/>
    <w:rsid w:val="008D05B3"/>
    <w:rsid w:val="008E0579"/>
    <w:rsid w:val="008E1BEF"/>
    <w:rsid w:val="008E2B7A"/>
    <w:rsid w:val="008E559A"/>
    <w:rsid w:val="008F03A1"/>
    <w:rsid w:val="008F348C"/>
    <w:rsid w:val="008F3E5C"/>
    <w:rsid w:val="008F4B89"/>
    <w:rsid w:val="008F74BD"/>
    <w:rsid w:val="009022D9"/>
    <w:rsid w:val="00903E26"/>
    <w:rsid w:val="0090561C"/>
    <w:rsid w:val="0091248D"/>
    <w:rsid w:val="009128CE"/>
    <w:rsid w:val="00913656"/>
    <w:rsid w:val="00914396"/>
    <w:rsid w:val="00922BAC"/>
    <w:rsid w:val="00927EB3"/>
    <w:rsid w:val="009379FC"/>
    <w:rsid w:val="00940F75"/>
    <w:rsid w:val="00941953"/>
    <w:rsid w:val="00941FFF"/>
    <w:rsid w:val="00942F86"/>
    <w:rsid w:val="009430D4"/>
    <w:rsid w:val="00943626"/>
    <w:rsid w:val="00946FD8"/>
    <w:rsid w:val="009530A8"/>
    <w:rsid w:val="00954F40"/>
    <w:rsid w:val="00962A3B"/>
    <w:rsid w:val="009641A6"/>
    <w:rsid w:val="009674E6"/>
    <w:rsid w:val="0097342B"/>
    <w:rsid w:val="009735FC"/>
    <w:rsid w:val="00974E9D"/>
    <w:rsid w:val="00980AE2"/>
    <w:rsid w:val="009833F6"/>
    <w:rsid w:val="00983CA3"/>
    <w:rsid w:val="00985B91"/>
    <w:rsid w:val="009924F2"/>
    <w:rsid w:val="00993FF6"/>
    <w:rsid w:val="0099405F"/>
    <w:rsid w:val="009A25D6"/>
    <w:rsid w:val="009B0F80"/>
    <w:rsid w:val="009C0C87"/>
    <w:rsid w:val="009C2A99"/>
    <w:rsid w:val="009C4330"/>
    <w:rsid w:val="009C575E"/>
    <w:rsid w:val="009C69C8"/>
    <w:rsid w:val="009D15BE"/>
    <w:rsid w:val="009D6BE2"/>
    <w:rsid w:val="009E192A"/>
    <w:rsid w:val="009E2E15"/>
    <w:rsid w:val="009E5F2E"/>
    <w:rsid w:val="009E71BC"/>
    <w:rsid w:val="009F0EFC"/>
    <w:rsid w:val="009F55E6"/>
    <w:rsid w:val="009F5A4C"/>
    <w:rsid w:val="009F6E3A"/>
    <w:rsid w:val="00A00428"/>
    <w:rsid w:val="00A06276"/>
    <w:rsid w:val="00A062AA"/>
    <w:rsid w:val="00A07EED"/>
    <w:rsid w:val="00A1061C"/>
    <w:rsid w:val="00A11C18"/>
    <w:rsid w:val="00A27963"/>
    <w:rsid w:val="00A3379E"/>
    <w:rsid w:val="00A34DA5"/>
    <w:rsid w:val="00A44ECB"/>
    <w:rsid w:val="00A464FE"/>
    <w:rsid w:val="00A465B4"/>
    <w:rsid w:val="00A51BA6"/>
    <w:rsid w:val="00A52CEC"/>
    <w:rsid w:val="00A55F03"/>
    <w:rsid w:val="00A568B5"/>
    <w:rsid w:val="00A57054"/>
    <w:rsid w:val="00A57585"/>
    <w:rsid w:val="00A60C91"/>
    <w:rsid w:val="00A63D8D"/>
    <w:rsid w:val="00A66F78"/>
    <w:rsid w:val="00A70F90"/>
    <w:rsid w:val="00A73016"/>
    <w:rsid w:val="00A81929"/>
    <w:rsid w:val="00A82ED3"/>
    <w:rsid w:val="00A86F49"/>
    <w:rsid w:val="00A87D61"/>
    <w:rsid w:val="00A90035"/>
    <w:rsid w:val="00A90E44"/>
    <w:rsid w:val="00A91420"/>
    <w:rsid w:val="00A91999"/>
    <w:rsid w:val="00A96739"/>
    <w:rsid w:val="00AA0CED"/>
    <w:rsid w:val="00AA5FCB"/>
    <w:rsid w:val="00AB4E29"/>
    <w:rsid w:val="00AB7CD0"/>
    <w:rsid w:val="00AC35FA"/>
    <w:rsid w:val="00AC3C61"/>
    <w:rsid w:val="00AC660F"/>
    <w:rsid w:val="00AE272F"/>
    <w:rsid w:val="00AE7E6E"/>
    <w:rsid w:val="00AF20F7"/>
    <w:rsid w:val="00AF5D13"/>
    <w:rsid w:val="00B002F1"/>
    <w:rsid w:val="00B047C5"/>
    <w:rsid w:val="00B05CEF"/>
    <w:rsid w:val="00B05DFC"/>
    <w:rsid w:val="00B1435E"/>
    <w:rsid w:val="00B20BA5"/>
    <w:rsid w:val="00B21B40"/>
    <w:rsid w:val="00B2446F"/>
    <w:rsid w:val="00B2471D"/>
    <w:rsid w:val="00B253C6"/>
    <w:rsid w:val="00B25690"/>
    <w:rsid w:val="00B277D7"/>
    <w:rsid w:val="00B35539"/>
    <w:rsid w:val="00B421EF"/>
    <w:rsid w:val="00B424F7"/>
    <w:rsid w:val="00B43E87"/>
    <w:rsid w:val="00B45692"/>
    <w:rsid w:val="00B51BDE"/>
    <w:rsid w:val="00B60478"/>
    <w:rsid w:val="00B60F04"/>
    <w:rsid w:val="00B643EF"/>
    <w:rsid w:val="00B64F84"/>
    <w:rsid w:val="00B6657A"/>
    <w:rsid w:val="00B6681E"/>
    <w:rsid w:val="00B71577"/>
    <w:rsid w:val="00B74EA1"/>
    <w:rsid w:val="00B906C7"/>
    <w:rsid w:val="00B96D21"/>
    <w:rsid w:val="00B976A0"/>
    <w:rsid w:val="00BA23D5"/>
    <w:rsid w:val="00BA3FA2"/>
    <w:rsid w:val="00BA646D"/>
    <w:rsid w:val="00BB086B"/>
    <w:rsid w:val="00BB6128"/>
    <w:rsid w:val="00BB67E5"/>
    <w:rsid w:val="00BB7388"/>
    <w:rsid w:val="00BC706F"/>
    <w:rsid w:val="00BD24D0"/>
    <w:rsid w:val="00BD3532"/>
    <w:rsid w:val="00BD6638"/>
    <w:rsid w:val="00BE345B"/>
    <w:rsid w:val="00BE4C33"/>
    <w:rsid w:val="00BE5767"/>
    <w:rsid w:val="00BE65A8"/>
    <w:rsid w:val="00BE6A4E"/>
    <w:rsid w:val="00BE7139"/>
    <w:rsid w:val="00BE71E8"/>
    <w:rsid w:val="00BE7609"/>
    <w:rsid w:val="00BE792E"/>
    <w:rsid w:val="00BF0517"/>
    <w:rsid w:val="00BF1643"/>
    <w:rsid w:val="00BF3565"/>
    <w:rsid w:val="00C02E67"/>
    <w:rsid w:val="00C02FEC"/>
    <w:rsid w:val="00C04376"/>
    <w:rsid w:val="00C246CE"/>
    <w:rsid w:val="00C24D0B"/>
    <w:rsid w:val="00C31952"/>
    <w:rsid w:val="00C35D8D"/>
    <w:rsid w:val="00C46623"/>
    <w:rsid w:val="00C46B8B"/>
    <w:rsid w:val="00C47A0F"/>
    <w:rsid w:val="00C53540"/>
    <w:rsid w:val="00C53F0C"/>
    <w:rsid w:val="00C54ECC"/>
    <w:rsid w:val="00C60BB4"/>
    <w:rsid w:val="00C62050"/>
    <w:rsid w:val="00C6730A"/>
    <w:rsid w:val="00C67E42"/>
    <w:rsid w:val="00C706F1"/>
    <w:rsid w:val="00C71279"/>
    <w:rsid w:val="00C746D8"/>
    <w:rsid w:val="00C76EB3"/>
    <w:rsid w:val="00C82CB3"/>
    <w:rsid w:val="00C8302F"/>
    <w:rsid w:val="00C87E66"/>
    <w:rsid w:val="00C942B4"/>
    <w:rsid w:val="00CA2FE1"/>
    <w:rsid w:val="00CA3748"/>
    <w:rsid w:val="00CA5567"/>
    <w:rsid w:val="00CB5DE8"/>
    <w:rsid w:val="00CC3781"/>
    <w:rsid w:val="00CC4A34"/>
    <w:rsid w:val="00CC5D18"/>
    <w:rsid w:val="00CC6A1E"/>
    <w:rsid w:val="00CD08ED"/>
    <w:rsid w:val="00CD65E2"/>
    <w:rsid w:val="00CD7457"/>
    <w:rsid w:val="00CE4DDD"/>
    <w:rsid w:val="00CE62BF"/>
    <w:rsid w:val="00CE66EE"/>
    <w:rsid w:val="00CF6ADC"/>
    <w:rsid w:val="00D019D3"/>
    <w:rsid w:val="00D07CED"/>
    <w:rsid w:val="00D129F8"/>
    <w:rsid w:val="00D134F1"/>
    <w:rsid w:val="00D14A9A"/>
    <w:rsid w:val="00D20F23"/>
    <w:rsid w:val="00D24EE1"/>
    <w:rsid w:val="00D26503"/>
    <w:rsid w:val="00D31E3E"/>
    <w:rsid w:val="00D3258C"/>
    <w:rsid w:val="00D35948"/>
    <w:rsid w:val="00D37F6B"/>
    <w:rsid w:val="00D42B85"/>
    <w:rsid w:val="00D465F2"/>
    <w:rsid w:val="00D4787B"/>
    <w:rsid w:val="00D52FF6"/>
    <w:rsid w:val="00D55453"/>
    <w:rsid w:val="00D565C1"/>
    <w:rsid w:val="00D57041"/>
    <w:rsid w:val="00D578FA"/>
    <w:rsid w:val="00D629E0"/>
    <w:rsid w:val="00D64F18"/>
    <w:rsid w:val="00D65448"/>
    <w:rsid w:val="00D803F8"/>
    <w:rsid w:val="00D84D50"/>
    <w:rsid w:val="00D8703D"/>
    <w:rsid w:val="00D90CB7"/>
    <w:rsid w:val="00DA1341"/>
    <w:rsid w:val="00DA15A8"/>
    <w:rsid w:val="00DA3C48"/>
    <w:rsid w:val="00DB1732"/>
    <w:rsid w:val="00DB2E69"/>
    <w:rsid w:val="00DB4B9B"/>
    <w:rsid w:val="00DB4EC2"/>
    <w:rsid w:val="00DB53F1"/>
    <w:rsid w:val="00DB5AC2"/>
    <w:rsid w:val="00DB5C9A"/>
    <w:rsid w:val="00DC587A"/>
    <w:rsid w:val="00DC7107"/>
    <w:rsid w:val="00DE28C9"/>
    <w:rsid w:val="00DE4594"/>
    <w:rsid w:val="00DE4F08"/>
    <w:rsid w:val="00DF1BF8"/>
    <w:rsid w:val="00DF6E9B"/>
    <w:rsid w:val="00E07B48"/>
    <w:rsid w:val="00E13193"/>
    <w:rsid w:val="00E15968"/>
    <w:rsid w:val="00E2025D"/>
    <w:rsid w:val="00E27D7C"/>
    <w:rsid w:val="00E30E93"/>
    <w:rsid w:val="00E327AC"/>
    <w:rsid w:val="00E33BBF"/>
    <w:rsid w:val="00E34E77"/>
    <w:rsid w:val="00E40A72"/>
    <w:rsid w:val="00E45030"/>
    <w:rsid w:val="00E51E69"/>
    <w:rsid w:val="00E55D46"/>
    <w:rsid w:val="00E60AC0"/>
    <w:rsid w:val="00E62825"/>
    <w:rsid w:val="00E67CFB"/>
    <w:rsid w:val="00E718BA"/>
    <w:rsid w:val="00E86FBE"/>
    <w:rsid w:val="00E87C73"/>
    <w:rsid w:val="00E87ED1"/>
    <w:rsid w:val="00E91195"/>
    <w:rsid w:val="00E9177C"/>
    <w:rsid w:val="00E93984"/>
    <w:rsid w:val="00EA00D5"/>
    <w:rsid w:val="00EA0659"/>
    <w:rsid w:val="00EA640A"/>
    <w:rsid w:val="00EB6558"/>
    <w:rsid w:val="00EB7399"/>
    <w:rsid w:val="00EC0099"/>
    <w:rsid w:val="00EC27CA"/>
    <w:rsid w:val="00ED3D35"/>
    <w:rsid w:val="00ED41A6"/>
    <w:rsid w:val="00ED678B"/>
    <w:rsid w:val="00EE0EF8"/>
    <w:rsid w:val="00EE3D1A"/>
    <w:rsid w:val="00EE664F"/>
    <w:rsid w:val="00EF2B21"/>
    <w:rsid w:val="00EF46ED"/>
    <w:rsid w:val="00EF4D6E"/>
    <w:rsid w:val="00EF6093"/>
    <w:rsid w:val="00F02E64"/>
    <w:rsid w:val="00F1249E"/>
    <w:rsid w:val="00F14BAA"/>
    <w:rsid w:val="00F306F0"/>
    <w:rsid w:val="00F32C56"/>
    <w:rsid w:val="00F347D1"/>
    <w:rsid w:val="00F43D49"/>
    <w:rsid w:val="00F45342"/>
    <w:rsid w:val="00F45501"/>
    <w:rsid w:val="00F502EF"/>
    <w:rsid w:val="00F50BD2"/>
    <w:rsid w:val="00F539FD"/>
    <w:rsid w:val="00F55879"/>
    <w:rsid w:val="00F5672D"/>
    <w:rsid w:val="00F56ECC"/>
    <w:rsid w:val="00F725E4"/>
    <w:rsid w:val="00F77FF5"/>
    <w:rsid w:val="00F823E5"/>
    <w:rsid w:val="00F84991"/>
    <w:rsid w:val="00F8691A"/>
    <w:rsid w:val="00F909FD"/>
    <w:rsid w:val="00F923D4"/>
    <w:rsid w:val="00F9438C"/>
    <w:rsid w:val="00F94F7D"/>
    <w:rsid w:val="00F954C7"/>
    <w:rsid w:val="00F9628E"/>
    <w:rsid w:val="00FB1C10"/>
    <w:rsid w:val="00FB34F4"/>
    <w:rsid w:val="00FD5606"/>
    <w:rsid w:val="00FD664C"/>
    <w:rsid w:val="00FE14CB"/>
    <w:rsid w:val="00FE2E00"/>
    <w:rsid w:val="00FE4CFE"/>
    <w:rsid w:val="00FF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5A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71D"/>
  </w:style>
  <w:style w:type="paragraph" w:styleId="Footer">
    <w:name w:val="footer"/>
    <w:basedOn w:val="Normal"/>
    <w:link w:val="FooterChar"/>
    <w:uiPriority w:val="99"/>
    <w:unhideWhenUsed/>
    <w:rsid w:val="00B24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71D"/>
  </w:style>
  <w:style w:type="paragraph" w:styleId="BalloonText">
    <w:name w:val="Balloon Text"/>
    <w:basedOn w:val="Normal"/>
    <w:link w:val="BalloonTextChar"/>
    <w:uiPriority w:val="99"/>
    <w:semiHidden/>
    <w:unhideWhenUsed/>
    <w:rsid w:val="00B24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71D"/>
    <w:rPr>
      <w:rFonts w:ascii="Tahoma" w:hAnsi="Tahoma" w:cs="Tahoma"/>
      <w:sz w:val="16"/>
      <w:szCs w:val="16"/>
    </w:rPr>
  </w:style>
  <w:style w:type="paragraph" w:styleId="EndnoteText">
    <w:name w:val="endnote text"/>
    <w:basedOn w:val="Normal"/>
    <w:link w:val="EndnoteTextChar"/>
    <w:uiPriority w:val="99"/>
    <w:semiHidden/>
    <w:unhideWhenUsed/>
    <w:rsid w:val="005B5B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5BE4"/>
    <w:rPr>
      <w:sz w:val="20"/>
      <w:szCs w:val="20"/>
    </w:rPr>
  </w:style>
  <w:style w:type="character" w:styleId="EndnoteReference">
    <w:name w:val="endnote reference"/>
    <w:basedOn w:val="DefaultParagraphFont"/>
    <w:uiPriority w:val="99"/>
    <w:semiHidden/>
    <w:unhideWhenUsed/>
    <w:rsid w:val="005B5BE4"/>
    <w:rPr>
      <w:vertAlign w:val="superscript"/>
    </w:rPr>
  </w:style>
  <w:style w:type="paragraph" w:styleId="FootnoteText">
    <w:name w:val="footnote text"/>
    <w:basedOn w:val="Normal"/>
    <w:link w:val="FootnoteTextChar"/>
    <w:uiPriority w:val="99"/>
    <w:semiHidden/>
    <w:unhideWhenUsed/>
    <w:rsid w:val="005B5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5BE4"/>
    <w:rPr>
      <w:sz w:val="20"/>
      <w:szCs w:val="20"/>
    </w:rPr>
  </w:style>
  <w:style w:type="character" w:styleId="FootnoteReference">
    <w:name w:val="footnote reference"/>
    <w:basedOn w:val="DefaultParagraphFont"/>
    <w:uiPriority w:val="99"/>
    <w:semiHidden/>
    <w:unhideWhenUsed/>
    <w:rsid w:val="005B5BE4"/>
    <w:rPr>
      <w:vertAlign w:val="superscript"/>
    </w:rPr>
  </w:style>
  <w:style w:type="paragraph" w:styleId="Subtitle">
    <w:name w:val="Subtitle"/>
    <w:basedOn w:val="Normal"/>
    <w:next w:val="Normal"/>
    <w:link w:val="SubtitleChar"/>
    <w:uiPriority w:val="11"/>
    <w:qFormat/>
    <w:rsid w:val="009F5A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5A4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9F5A4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5A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71D"/>
  </w:style>
  <w:style w:type="paragraph" w:styleId="Footer">
    <w:name w:val="footer"/>
    <w:basedOn w:val="Normal"/>
    <w:link w:val="FooterChar"/>
    <w:uiPriority w:val="99"/>
    <w:unhideWhenUsed/>
    <w:rsid w:val="00B24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71D"/>
  </w:style>
  <w:style w:type="paragraph" w:styleId="BalloonText">
    <w:name w:val="Balloon Text"/>
    <w:basedOn w:val="Normal"/>
    <w:link w:val="BalloonTextChar"/>
    <w:uiPriority w:val="99"/>
    <w:semiHidden/>
    <w:unhideWhenUsed/>
    <w:rsid w:val="00B24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71D"/>
    <w:rPr>
      <w:rFonts w:ascii="Tahoma" w:hAnsi="Tahoma" w:cs="Tahoma"/>
      <w:sz w:val="16"/>
      <w:szCs w:val="16"/>
    </w:rPr>
  </w:style>
  <w:style w:type="paragraph" w:styleId="EndnoteText">
    <w:name w:val="endnote text"/>
    <w:basedOn w:val="Normal"/>
    <w:link w:val="EndnoteTextChar"/>
    <w:uiPriority w:val="99"/>
    <w:semiHidden/>
    <w:unhideWhenUsed/>
    <w:rsid w:val="005B5B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5BE4"/>
    <w:rPr>
      <w:sz w:val="20"/>
      <w:szCs w:val="20"/>
    </w:rPr>
  </w:style>
  <w:style w:type="character" w:styleId="EndnoteReference">
    <w:name w:val="endnote reference"/>
    <w:basedOn w:val="DefaultParagraphFont"/>
    <w:uiPriority w:val="99"/>
    <w:semiHidden/>
    <w:unhideWhenUsed/>
    <w:rsid w:val="005B5BE4"/>
    <w:rPr>
      <w:vertAlign w:val="superscript"/>
    </w:rPr>
  </w:style>
  <w:style w:type="paragraph" w:styleId="FootnoteText">
    <w:name w:val="footnote text"/>
    <w:basedOn w:val="Normal"/>
    <w:link w:val="FootnoteTextChar"/>
    <w:uiPriority w:val="99"/>
    <w:semiHidden/>
    <w:unhideWhenUsed/>
    <w:rsid w:val="005B5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5BE4"/>
    <w:rPr>
      <w:sz w:val="20"/>
      <w:szCs w:val="20"/>
    </w:rPr>
  </w:style>
  <w:style w:type="character" w:styleId="FootnoteReference">
    <w:name w:val="footnote reference"/>
    <w:basedOn w:val="DefaultParagraphFont"/>
    <w:uiPriority w:val="99"/>
    <w:semiHidden/>
    <w:unhideWhenUsed/>
    <w:rsid w:val="005B5BE4"/>
    <w:rPr>
      <w:vertAlign w:val="superscript"/>
    </w:rPr>
  </w:style>
  <w:style w:type="paragraph" w:styleId="Subtitle">
    <w:name w:val="Subtitle"/>
    <w:basedOn w:val="Normal"/>
    <w:next w:val="Normal"/>
    <w:link w:val="SubtitleChar"/>
    <w:uiPriority w:val="11"/>
    <w:qFormat/>
    <w:rsid w:val="009F5A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5A4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9F5A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76E05-1FC5-4FF2-B724-75125165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24</Pages>
  <Words>6010</Words>
  <Characters>34258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dc:creator>
  <cp:keywords/>
  <dc:description/>
  <cp:lastModifiedBy>Phillip</cp:lastModifiedBy>
  <cp:revision>10</cp:revision>
  <dcterms:created xsi:type="dcterms:W3CDTF">2017-11-28T22:15:00Z</dcterms:created>
  <dcterms:modified xsi:type="dcterms:W3CDTF">2017-12-04T21:17:00Z</dcterms:modified>
</cp:coreProperties>
</file>