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4FE08" w14:textId="77777777" w:rsidR="00121837" w:rsidRDefault="00121837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AB22E07" w14:textId="77777777" w:rsidR="00121837" w:rsidRDefault="002E785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Wilkes University Receives Grant for Staff to Bring Tutoring Program to Wilkes-Barre Area Schools</w:t>
      </w:r>
    </w:p>
    <w:p w14:paraId="509CBA6D" w14:textId="77777777" w:rsidR="00121837" w:rsidRDefault="00121837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7A8D96A" w14:textId="77777777" w:rsidR="00121837" w:rsidRDefault="002E7859">
      <w:pPr>
        <w:jc w:val="center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Applications Are Being Sought for Position to Coordinate Program</w:t>
      </w:r>
    </w:p>
    <w:p w14:paraId="13A98DFA" w14:textId="77777777" w:rsidR="00121837" w:rsidRDefault="00121837">
      <w:pPr>
        <w:rPr>
          <w:rFonts w:ascii="Cambria" w:eastAsia="Cambria" w:hAnsi="Cambria" w:cs="Cambria"/>
          <w:b/>
        </w:rPr>
      </w:pPr>
    </w:p>
    <w:p w14:paraId="6AB87AD2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Wilkes University has received a grant that will help to bring the America Reads America Counts, Study Buddies program to the Wilkes-Barre Area School District. The University received the AmeriCorps*VISTA (Volunteers in Service to America) Program grant t</w:t>
      </w:r>
      <w:r>
        <w:rPr>
          <w:rFonts w:ascii="Cambria" w:eastAsia="Cambria" w:hAnsi="Cambria" w:cs="Cambria"/>
        </w:rPr>
        <w:t xml:space="preserve">hrough the Campus Compact of New York and Pennsylvania. </w:t>
      </w:r>
    </w:p>
    <w:p w14:paraId="424CC3AC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15FB8138" w14:textId="77777777" w:rsidR="00121837" w:rsidRDefault="002E7859">
      <w:pPr>
        <w:widowControl w:val="0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>The grant funds a yearlong position under Wilkes’ office of civic engagement. The person hired will operate the Wilkes University America Reads America Counts Study Buddies program. The University i</w:t>
      </w:r>
      <w:r>
        <w:rPr>
          <w:rFonts w:ascii="Cambria" w:eastAsia="Cambria" w:hAnsi="Cambria" w:cs="Cambria"/>
        </w:rPr>
        <w:t xml:space="preserve">s currently seeking applications for the position. In addition, Wilkes students will be able to use federal work study money to work in this program. </w:t>
      </w:r>
    </w:p>
    <w:p w14:paraId="6C98EBC0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41991D9C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America Reads America Counts program will offer tutoring in the areas of reading and math and provid</w:t>
      </w:r>
      <w:r>
        <w:rPr>
          <w:rFonts w:ascii="Cambria" w:eastAsia="Cambria" w:hAnsi="Cambria" w:cs="Cambria"/>
        </w:rPr>
        <w:t>e mentoring that enriches learning opportunities for both college and elementary school students. The</w:t>
      </w:r>
      <w:r>
        <w:rPr>
          <w:rFonts w:ascii="Cambria" w:eastAsia="Cambria" w:hAnsi="Cambria" w:cs="Cambria"/>
        </w:rPr>
        <w:t xml:space="preserve"> pilot</w:t>
      </w:r>
      <w:r>
        <w:rPr>
          <w:rFonts w:ascii="Cambria" w:eastAsia="Cambria" w:hAnsi="Cambria" w:cs="Cambria"/>
        </w:rPr>
        <w:t xml:space="preserve"> program is in partnership with Dodson and </w:t>
      </w:r>
      <w:proofErr w:type="spellStart"/>
      <w:r>
        <w:rPr>
          <w:rFonts w:ascii="Cambria" w:eastAsia="Cambria" w:hAnsi="Cambria" w:cs="Cambria"/>
        </w:rPr>
        <w:t>Kistler</w:t>
      </w:r>
      <w:proofErr w:type="spellEnd"/>
      <w:r>
        <w:rPr>
          <w:rFonts w:ascii="Cambria" w:eastAsia="Cambria" w:hAnsi="Cambria" w:cs="Cambria"/>
        </w:rPr>
        <w:t xml:space="preserve"> elementary schools in Wilkes-Barre and the </w:t>
      </w:r>
      <w:r>
        <w:rPr>
          <w:rFonts w:ascii="Cambria" w:eastAsia="Cambria" w:hAnsi="Cambria" w:cs="Cambria"/>
        </w:rPr>
        <w:t>Wilkes Barre YMCA</w:t>
      </w:r>
      <w:r>
        <w:rPr>
          <w:rFonts w:ascii="Cambria" w:eastAsia="Cambria" w:hAnsi="Cambria" w:cs="Cambria"/>
        </w:rPr>
        <w:t>.</w:t>
      </w:r>
      <w:r w:rsidR="00712E9F">
        <w:rPr>
          <w:rFonts w:ascii="Cambria" w:eastAsia="Cambria" w:hAnsi="Cambria" w:cs="Cambria"/>
        </w:rPr>
        <w:t xml:space="preserve"> The program is expected to start in early 2020.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With the</w:t>
      </w:r>
      <w:r>
        <w:rPr>
          <w:rFonts w:ascii="Cambria" w:eastAsia="Cambria" w:hAnsi="Cambria" w:cs="Cambria"/>
        </w:rPr>
        <w:t xml:space="preserve"> success of the pilot program, America Reads America Counts Study Buddies would expand to other interested schools in the Wilkes Barre Area School District.</w:t>
      </w:r>
    </w:p>
    <w:p w14:paraId="2A11C310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06750B0B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Study Buddies portion of the program will operate during the school day. In both locations the</w:t>
      </w:r>
      <w:r>
        <w:rPr>
          <w:rFonts w:ascii="Cambria" w:eastAsia="Cambria" w:hAnsi="Cambria" w:cs="Cambria"/>
        </w:rPr>
        <w:t xml:space="preserve"> children will be with their teacher and a Title I professional. The program </w:t>
      </w:r>
      <w:r>
        <w:rPr>
          <w:rFonts w:ascii="Cambria" w:eastAsia="Cambria" w:hAnsi="Cambria" w:cs="Cambria"/>
        </w:rPr>
        <w:t>will use</w:t>
      </w:r>
      <w:r w:rsidR="00712E9F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the Magic Tree House book series to create more fun, interactive activities for students. Title I is a federally funded supplemental education program that provides f</w:t>
      </w:r>
      <w:r>
        <w:rPr>
          <w:rFonts w:ascii="Cambria" w:eastAsia="Cambria" w:hAnsi="Cambria" w:cs="Cambria"/>
        </w:rPr>
        <w:t>inancial assistance to local educational agencies to improve educational opportunities for educationally deprived children.</w:t>
      </w:r>
    </w:p>
    <w:p w14:paraId="53354A62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3E7383F1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Wilkes will </w:t>
      </w:r>
      <w:r w:rsidR="00712E9F">
        <w:rPr>
          <w:rFonts w:ascii="Cambria" w:eastAsia="Cambria" w:hAnsi="Cambria" w:cs="Cambria"/>
        </w:rPr>
        <w:t>provide high-</w:t>
      </w:r>
      <w:r>
        <w:rPr>
          <w:rFonts w:ascii="Cambria" w:eastAsia="Cambria" w:hAnsi="Cambria" w:cs="Cambria"/>
        </w:rPr>
        <w:t>quality training focusing on making a lasting change th</w:t>
      </w:r>
      <w:r w:rsidR="00712E9F"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</w:rPr>
        <w:t>ough</w:t>
      </w:r>
      <w:r w:rsidR="00712E9F">
        <w:rPr>
          <w:rFonts w:ascii="Cambria" w:eastAsia="Cambria" w:hAnsi="Cambria" w:cs="Cambria"/>
        </w:rPr>
        <w:t xml:space="preserve"> education, policy, and reform </w:t>
      </w:r>
      <w:r>
        <w:rPr>
          <w:rFonts w:ascii="Cambria" w:eastAsia="Cambria" w:hAnsi="Cambria" w:cs="Cambria"/>
        </w:rPr>
        <w:t>to student tuto</w:t>
      </w:r>
      <w:r w:rsidR="00712E9F">
        <w:rPr>
          <w:rFonts w:ascii="Cambria" w:eastAsia="Cambria" w:hAnsi="Cambria" w:cs="Cambria"/>
        </w:rPr>
        <w:t xml:space="preserve">rs, </w:t>
      </w:r>
      <w:r>
        <w:rPr>
          <w:rFonts w:ascii="Cambria" w:eastAsia="Cambria" w:hAnsi="Cambria" w:cs="Cambria"/>
        </w:rPr>
        <w:t xml:space="preserve">based on </w:t>
      </w:r>
      <w:r>
        <w:rPr>
          <w:rFonts w:ascii="Cambria" w:eastAsia="Cambria" w:hAnsi="Cambria" w:cs="Cambria"/>
        </w:rPr>
        <w:t>United Way’s “Poverty to Possibility” initiative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Students also will work at the YMCA After School Program. Every month the elementar</w:t>
      </w:r>
      <w:r w:rsidR="00712E9F">
        <w:rPr>
          <w:rFonts w:ascii="Cambria" w:eastAsia="Cambria" w:hAnsi="Cambria" w:cs="Cambria"/>
        </w:rPr>
        <w:t>y students will receive a grade-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</w:rPr>
        <w:t>evel book funded through the YMCA annual campaign.</w:t>
      </w:r>
    </w:p>
    <w:p w14:paraId="7099956E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4F0697D8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4AFC0F1D" w14:textId="77777777" w:rsidR="00121837" w:rsidRDefault="00121837">
      <w:pPr>
        <w:widowControl w:val="0"/>
        <w:rPr>
          <w:rFonts w:ascii="Cambria" w:eastAsia="Cambria" w:hAnsi="Cambria" w:cs="Cambria"/>
        </w:rPr>
      </w:pPr>
    </w:p>
    <w:p w14:paraId="42DC969D" w14:textId="77777777" w:rsidR="00121837" w:rsidRDefault="00121837">
      <w:pPr>
        <w:widowControl w:val="0"/>
        <w:rPr>
          <w:rFonts w:ascii="Cambria" w:eastAsia="Cambria" w:hAnsi="Cambria" w:cs="Cambria"/>
        </w:rPr>
      </w:pPr>
      <w:bookmarkStart w:id="1" w:name="_GoBack"/>
      <w:bookmarkEnd w:id="1"/>
    </w:p>
    <w:p w14:paraId="238ADF07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VISTA projects must focus on objectives including economic opportunity, education,</w:t>
      </w:r>
      <w:r>
        <w:rPr>
          <w:rFonts w:ascii="Cambria" w:eastAsia="Cambria" w:hAnsi="Cambria" w:cs="Cambria"/>
        </w:rPr>
        <w:t xml:space="preserve"> healthy futures, military and veteran families as well as mental health, opioid intervention and housing legal aid.  AmeriCorps </w:t>
      </w:r>
      <w:r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</w:rPr>
        <w:t>VISTA is a national service program that for 50 years has been at the forefront of building the capacity of communities to fig</w:t>
      </w:r>
      <w:r>
        <w:rPr>
          <w:rFonts w:ascii="Cambria" w:eastAsia="Cambria" w:hAnsi="Cambria" w:cs="Cambria"/>
        </w:rPr>
        <w:t xml:space="preserve">ht poverty. VISTA members devote a year or more of their lives to address poverty’s root causes. </w:t>
      </w:r>
    </w:p>
    <w:p w14:paraId="219AC8CA" w14:textId="77777777" w:rsidR="00121837" w:rsidRDefault="00121837">
      <w:pPr>
        <w:widowControl w:val="0"/>
        <w:rPr>
          <w:rFonts w:ascii="Cambria" w:eastAsia="Cambria" w:hAnsi="Cambria" w:cs="Cambria"/>
          <w:b/>
        </w:rPr>
      </w:pPr>
    </w:p>
    <w:p w14:paraId="4A15BE88" w14:textId="77777777" w:rsidR="00121837" w:rsidRDefault="002E7859">
      <w:pPr>
        <w:widowControl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For more stories about Wilkes University and its students, faculty and staff, please visit </w:t>
      </w:r>
      <w:hyperlink r:id="rId6">
        <w:proofErr w:type="spellStart"/>
        <w:r>
          <w:rPr>
            <w:rFonts w:ascii="Cambria" w:eastAsia="Cambria" w:hAnsi="Cambria" w:cs="Cambria"/>
            <w:b/>
            <w:color w:val="0000FF"/>
            <w:u w:val="single"/>
          </w:rPr>
          <w:t>News@Wilkes</w:t>
        </w:r>
        <w:proofErr w:type="spellEnd"/>
      </w:hyperlink>
      <w:r>
        <w:rPr>
          <w:rFonts w:ascii="Cambria" w:eastAsia="Cambria" w:hAnsi="Cambria" w:cs="Cambria"/>
          <w:b/>
        </w:rPr>
        <w:t>.</w:t>
      </w:r>
    </w:p>
    <w:p w14:paraId="3F3B3662" w14:textId="77777777" w:rsidR="00121837" w:rsidRDefault="00121837">
      <w:pPr>
        <w:jc w:val="both"/>
        <w:rPr>
          <w:rFonts w:ascii="Cambria" w:eastAsia="Cambria" w:hAnsi="Cambria" w:cs="Cambria"/>
          <w:b/>
        </w:rPr>
      </w:pPr>
    </w:p>
    <w:p w14:paraId="5DA2124F" w14:textId="77777777" w:rsidR="00121837" w:rsidRDefault="002E785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About Wil</w:t>
      </w:r>
      <w:r>
        <w:rPr>
          <w:rFonts w:ascii="Cambria" w:eastAsia="Cambria" w:hAnsi="Cambria" w:cs="Cambria"/>
          <w:b/>
        </w:rPr>
        <w:t>kes University</w:t>
      </w:r>
      <w:r>
        <w:rPr>
          <w:rFonts w:ascii="Cambria" w:eastAsia="Cambria" w:hAnsi="Cambria" w:cs="Cambria"/>
        </w:rPr>
        <w:t>:</w:t>
      </w:r>
    </w:p>
    <w:p w14:paraId="2DA55032" w14:textId="77777777" w:rsidR="00121837" w:rsidRDefault="00121837">
      <w:pPr>
        <w:jc w:val="both"/>
        <w:rPr>
          <w:rFonts w:ascii="Cambria" w:eastAsia="Cambria" w:hAnsi="Cambria" w:cs="Cambria"/>
        </w:rPr>
      </w:pPr>
    </w:p>
    <w:p w14:paraId="3A024C6E" w14:textId="77777777" w:rsidR="00121837" w:rsidRDefault="002E785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Wilkes University is a private, independent, non-sectarian institution of higher education dedicated to academic and intellectual excellence through mentoring in the liberal arts, sciences and professional programs. Founded in 1933, the un</w:t>
      </w:r>
      <w:r>
        <w:rPr>
          <w:rFonts w:ascii="Cambria" w:eastAsia="Cambria" w:hAnsi="Cambria" w:cs="Cambria"/>
        </w:rPr>
        <w:t>iversity is on a mission to create one of the nation’s finest small universities, offering all of the programs, activities and opportunities of a large university in the intimate, caring and mentoring environment of a small college, open to all who show pr</w:t>
      </w:r>
      <w:r>
        <w:rPr>
          <w:rFonts w:ascii="Cambria" w:eastAsia="Cambria" w:hAnsi="Cambria" w:cs="Cambria"/>
        </w:rPr>
        <w:t xml:space="preserve">omise. </w:t>
      </w:r>
      <w:r>
        <w:rPr>
          <w:rFonts w:ascii="Cambria" w:eastAsia="Cambria" w:hAnsi="Cambria" w:cs="Cambria"/>
          <w:i/>
        </w:rPr>
        <w:t>The Economist</w:t>
      </w:r>
      <w:r>
        <w:rPr>
          <w:rFonts w:ascii="Cambria" w:eastAsia="Cambria" w:hAnsi="Cambria" w:cs="Cambria"/>
        </w:rPr>
        <w:t xml:space="preserve"> named Wilkes 25th in the nation for the value of its education for graduates. In addition to 47 majors, Wilkes offers 25 master’s degree programs and five doctoral/terminal degree programs, including the doctor of philosophy in nursing</w:t>
      </w:r>
      <w:r>
        <w:rPr>
          <w:rFonts w:ascii="Cambria" w:eastAsia="Cambria" w:hAnsi="Cambria" w:cs="Cambria"/>
        </w:rPr>
        <w:t xml:space="preserve">, doctor of nursing practice, doctor of education, doctor of pharmacy, and master of fine arts in creative writing. Learn more at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www.wilkes.edu</w:t>
        </w:r>
      </w:hyperlink>
      <w:r>
        <w:rPr>
          <w:rFonts w:ascii="Cambria" w:eastAsia="Cambria" w:hAnsi="Cambria" w:cs="Cambria"/>
        </w:rPr>
        <w:t>.</w:t>
      </w:r>
    </w:p>
    <w:p w14:paraId="053AEFA2" w14:textId="77777777" w:rsidR="00121837" w:rsidRDefault="00121837">
      <w:pPr>
        <w:rPr>
          <w:rFonts w:ascii="Cambria" w:eastAsia="Cambria" w:hAnsi="Cambria" w:cs="Cambria"/>
        </w:rPr>
      </w:pPr>
    </w:p>
    <w:p w14:paraId="4107BAE5" w14:textId="77777777" w:rsidR="00121837" w:rsidRDefault="002E7859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#####</w:t>
      </w:r>
    </w:p>
    <w:sectPr w:rsidR="0012183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8F43" w14:textId="77777777" w:rsidR="002E7859" w:rsidRDefault="002E7859">
      <w:r>
        <w:separator/>
      </w:r>
    </w:p>
  </w:endnote>
  <w:endnote w:type="continuationSeparator" w:id="0">
    <w:p w14:paraId="7AF2838F" w14:textId="77777777" w:rsidR="002E7859" w:rsidRDefault="002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own-Light">
    <w:altName w:val="Times New Roman"/>
    <w:charset w:val="00"/>
    <w:family w:val="auto"/>
    <w:pitch w:val="default"/>
  </w:font>
  <w:font w:name="Sentinel Semibold">
    <w:altName w:val="Times New Roman"/>
    <w:charset w:val="00"/>
    <w:family w:val="auto"/>
    <w:pitch w:val="default"/>
  </w:font>
  <w:font w:name="Sentinel Book">
    <w:altName w:val="Times New Roman"/>
    <w:charset w:val="00"/>
    <w:family w:val="auto"/>
    <w:pitch w:val="default"/>
  </w:font>
  <w:font w:name="Brown-Regula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BE02" w14:textId="77777777" w:rsidR="00121837" w:rsidRDefault="002E7859">
    <w:pPr>
      <w:tabs>
        <w:tab w:val="center" w:pos="4320"/>
        <w:tab w:val="right" w:pos="8640"/>
      </w:tabs>
      <w:spacing w:after="720"/>
      <w:rPr>
        <w:rFonts w:ascii="Brown-Light" w:eastAsia="Brown-Light" w:hAnsi="Brown-Light" w:cs="Brown-Light"/>
        <w:sz w:val="16"/>
        <w:szCs w:val="16"/>
      </w:rPr>
    </w:pPr>
    <w:r>
      <w:rPr>
        <w:rFonts w:ascii="Brown-Light" w:eastAsia="Brown-Light" w:hAnsi="Brown-Light" w:cs="Brown-Light"/>
        <w:sz w:val="16"/>
        <w:szCs w:val="16"/>
      </w:rPr>
      <w:t xml:space="preserve">Page </w:t>
    </w:r>
    <w:r>
      <w:rPr>
        <w:rFonts w:ascii="Brown-Light" w:eastAsia="Brown-Light" w:hAnsi="Brown-Light" w:cs="Brown-Light"/>
        <w:sz w:val="16"/>
        <w:szCs w:val="16"/>
      </w:rPr>
      <w:fldChar w:fldCharType="begin"/>
    </w:r>
    <w:r>
      <w:rPr>
        <w:rFonts w:ascii="Brown-Light" w:eastAsia="Brown-Light" w:hAnsi="Brown-Light" w:cs="Brown-Light"/>
        <w:sz w:val="16"/>
        <w:szCs w:val="16"/>
      </w:rPr>
      <w:instrText>PAGE</w:instrText>
    </w:r>
    <w:r w:rsidR="00712E9F">
      <w:rPr>
        <w:rFonts w:ascii="Brown-Light" w:eastAsia="Brown-Light" w:hAnsi="Brown-Light" w:cs="Brown-Light"/>
        <w:sz w:val="16"/>
        <w:szCs w:val="16"/>
      </w:rPr>
      <w:fldChar w:fldCharType="separate"/>
    </w:r>
    <w:r w:rsidR="00712E9F">
      <w:rPr>
        <w:rFonts w:ascii="Brown-Light" w:eastAsia="Brown-Light" w:hAnsi="Brown-Light" w:cs="Brown-Light"/>
        <w:noProof/>
        <w:sz w:val="16"/>
        <w:szCs w:val="16"/>
      </w:rPr>
      <w:t>2</w:t>
    </w:r>
    <w:r>
      <w:rPr>
        <w:rFonts w:ascii="Brown-Light" w:eastAsia="Brown-Light" w:hAnsi="Brown-Light" w:cs="Brown-Light"/>
        <w:sz w:val="16"/>
        <w:szCs w:val="16"/>
      </w:rPr>
      <w:fldChar w:fldCharType="end"/>
    </w:r>
    <w:r>
      <w:rPr>
        <w:rFonts w:ascii="Brown-Light" w:eastAsia="Brown-Light" w:hAnsi="Brown-Light" w:cs="Brown-Light"/>
        <w:sz w:val="16"/>
        <w:szCs w:val="16"/>
      </w:rPr>
      <w:t xml:space="preserve"> of </w:t>
    </w:r>
    <w:r>
      <w:rPr>
        <w:rFonts w:ascii="Brown-Light" w:eastAsia="Brown-Light" w:hAnsi="Brown-Light" w:cs="Brown-Light"/>
        <w:sz w:val="16"/>
        <w:szCs w:val="16"/>
      </w:rPr>
      <w:fldChar w:fldCharType="begin"/>
    </w:r>
    <w:r>
      <w:rPr>
        <w:rFonts w:ascii="Brown-Light" w:eastAsia="Brown-Light" w:hAnsi="Brown-Light" w:cs="Brown-Light"/>
        <w:sz w:val="16"/>
        <w:szCs w:val="16"/>
      </w:rPr>
      <w:instrText>NUMPAGES</w:instrText>
    </w:r>
    <w:r w:rsidR="00712E9F">
      <w:rPr>
        <w:rFonts w:ascii="Brown-Light" w:eastAsia="Brown-Light" w:hAnsi="Brown-Light" w:cs="Brown-Light"/>
        <w:sz w:val="16"/>
        <w:szCs w:val="16"/>
      </w:rPr>
      <w:fldChar w:fldCharType="separate"/>
    </w:r>
    <w:r w:rsidR="00712E9F">
      <w:rPr>
        <w:rFonts w:ascii="Brown-Light" w:eastAsia="Brown-Light" w:hAnsi="Brown-Light" w:cs="Brown-Light"/>
        <w:noProof/>
        <w:sz w:val="16"/>
        <w:szCs w:val="16"/>
      </w:rPr>
      <w:t>2</w:t>
    </w:r>
    <w:r>
      <w:rPr>
        <w:rFonts w:ascii="Brown-Light" w:eastAsia="Brown-Light" w:hAnsi="Brown-Light" w:cs="Brown-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7497" w14:textId="77777777" w:rsidR="00121837" w:rsidRDefault="00121837">
    <w:pPr>
      <w:tabs>
        <w:tab w:val="center" w:pos="4320"/>
        <w:tab w:val="right" w:pos="8640"/>
      </w:tabs>
      <w:rPr>
        <w:rFonts w:ascii="Verdana" w:eastAsia="Verdana" w:hAnsi="Verdana" w:cs="Verdana"/>
        <w:sz w:val="16"/>
        <w:szCs w:val="16"/>
      </w:rPr>
    </w:pPr>
  </w:p>
  <w:p w14:paraId="18D3C4B0" w14:textId="77777777" w:rsidR="00121837" w:rsidRDefault="002E7859">
    <w:pPr>
      <w:tabs>
        <w:tab w:val="center" w:pos="4320"/>
        <w:tab w:val="right" w:pos="8640"/>
      </w:tabs>
      <w:spacing w:after="720"/>
      <w:rPr>
        <w:rFonts w:ascii="Brown-Light" w:eastAsia="Brown-Light" w:hAnsi="Brown-Light" w:cs="Brown-Light"/>
        <w:sz w:val="16"/>
        <w:szCs w:val="16"/>
      </w:rPr>
    </w:pPr>
    <w:r>
      <w:rPr>
        <w:rFonts w:ascii="Brown-Light" w:eastAsia="Brown-Light" w:hAnsi="Brown-Light" w:cs="Brown-Light"/>
        <w:sz w:val="16"/>
        <w:szCs w:val="16"/>
      </w:rPr>
      <w:t xml:space="preserve">Page </w:t>
    </w:r>
    <w:r>
      <w:rPr>
        <w:rFonts w:ascii="Brown-Light" w:eastAsia="Brown-Light" w:hAnsi="Brown-Light" w:cs="Brown-Light"/>
        <w:sz w:val="16"/>
        <w:szCs w:val="16"/>
      </w:rPr>
      <w:fldChar w:fldCharType="begin"/>
    </w:r>
    <w:r>
      <w:rPr>
        <w:rFonts w:ascii="Brown-Light" w:eastAsia="Brown-Light" w:hAnsi="Brown-Light" w:cs="Brown-Light"/>
        <w:sz w:val="16"/>
        <w:szCs w:val="16"/>
      </w:rPr>
      <w:instrText>PAGE</w:instrText>
    </w:r>
    <w:r w:rsidR="00712E9F">
      <w:rPr>
        <w:rFonts w:ascii="Brown-Light" w:eastAsia="Brown-Light" w:hAnsi="Brown-Light" w:cs="Brown-Light"/>
        <w:sz w:val="16"/>
        <w:szCs w:val="16"/>
      </w:rPr>
      <w:fldChar w:fldCharType="separate"/>
    </w:r>
    <w:r w:rsidR="00712E9F">
      <w:rPr>
        <w:rFonts w:ascii="Brown-Light" w:eastAsia="Brown-Light" w:hAnsi="Brown-Light" w:cs="Brown-Light"/>
        <w:noProof/>
        <w:sz w:val="16"/>
        <w:szCs w:val="16"/>
      </w:rPr>
      <w:t>1</w:t>
    </w:r>
    <w:r>
      <w:rPr>
        <w:rFonts w:ascii="Brown-Light" w:eastAsia="Brown-Light" w:hAnsi="Brown-Light" w:cs="Brown-Light"/>
        <w:sz w:val="16"/>
        <w:szCs w:val="16"/>
      </w:rPr>
      <w:fldChar w:fldCharType="end"/>
    </w:r>
    <w:r>
      <w:rPr>
        <w:rFonts w:ascii="Brown-Light" w:eastAsia="Brown-Light" w:hAnsi="Brown-Light" w:cs="Brown-Light"/>
        <w:sz w:val="16"/>
        <w:szCs w:val="16"/>
      </w:rPr>
      <w:t xml:space="preserve"> of </w:t>
    </w:r>
    <w:r>
      <w:rPr>
        <w:rFonts w:ascii="Brown-Light" w:eastAsia="Brown-Light" w:hAnsi="Brown-Light" w:cs="Brown-Light"/>
        <w:sz w:val="16"/>
        <w:szCs w:val="16"/>
      </w:rPr>
      <w:fldChar w:fldCharType="begin"/>
    </w:r>
    <w:r>
      <w:rPr>
        <w:rFonts w:ascii="Brown-Light" w:eastAsia="Brown-Light" w:hAnsi="Brown-Light" w:cs="Brown-Light"/>
        <w:sz w:val="16"/>
        <w:szCs w:val="16"/>
      </w:rPr>
      <w:instrText>NUMPAGES</w:instrText>
    </w:r>
    <w:r w:rsidR="00712E9F">
      <w:rPr>
        <w:rFonts w:ascii="Brown-Light" w:eastAsia="Brown-Light" w:hAnsi="Brown-Light" w:cs="Brown-Light"/>
        <w:sz w:val="16"/>
        <w:szCs w:val="16"/>
      </w:rPr>
      <w:fldChar w:fldCharType="separate"/>
    </w:r>
    <w:r w:rsidR="00712E9F">
      <w:rPr>
        <w:rFonts w:ascii="Brown-Light" w:eastAsia="Brown-Light" w:hAnsi="Brown-Light" w:cs="Brown-Light"/>
        <w:noProof/>
        <w:sz w:val="16"/>
        <w:szCs w:val="16"/>
      </w:rPr>
      <w:t>2</w:t>
    </w:r>
    <w:r>
      <w:rPr>
        <w:rFonts w:ascii="Brown-Light" w:eastAsia="Brown-Light" w:hAnsi="Brown-Light" w:cs="Brown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D1ADF" w14:textId="77777777" w:rsidR="002E7859" w:rsidRDefault="002E7859">
      <w:r>
        <w:separator/>
      </w:r>
    </w:p>
  </w:footnote>
  <w:footnote w:type="continuationSeparator" w:id="0">
    <w:p w14:paraId="3E20A42E" w14:textId="77777777" w:rsidR="002E7859" w:rsidRDefault="002E78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EE12C" w14:textId="77777777" w:rsidR="00121837" w:rsidRDefault="00121837">
    <w:pPr>
      <w:rPr>
        <w:rFonts w:ascii="Verdana" w:eastAsia="Verdana" w:hAnsi="Verdana" w:cs="Verdana"/>
        <w:sz w:val="14"/>
        <w:szCs w:val="14"/>
      </w:rPr>
    </w:pPr>
  </w:p>
  <w:p w14:paraId="6F31314B" w14:textId="77777777" w:rsidR="00121837" w:rsidRDefault="002E7859">
    <w:pPr>
      <w:ind w:left="1310"/>
      <w:rPr>
        <w:rFonts w:ascii="Georgia" w:eastAsia="Georgia" w:hAnsi="Georgia" w:cs="Georgia"/>
        <w:b/>
        <w:sz w:val="36"/>
        <w:szCs w:val="36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2FB00FA9" wp14:editId="1055A482">
              <wp:simplePos x="0" y="0"/>
              <wp:positionH relativeFrom="column">
                <wp:posOffset>-12699</wp:posOffset>
              </wp:positionH>
              <wp:positionV relativeFrom="paragraph">
                <wp:posOffset>944896</wp:posOffset>
              </wp:positionV>
              <wp:extent cx="6286500" cy="508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5450" y="3767300"/>
                        <a:ext cx="626110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944896</wp:posOffset>
              </wp:positionV>
              <wp:extent cx="6286500" cy="508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4C819" wp14:editId="26CD3BC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087245" cy="28575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24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9B08" w14:textId="77777777" w:rsidR="00121837" w:rsidRDefault="002E7859">
    <w:pPr>
      <w:spacing w:before="720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A7A1855" wp14:editId="290437B7">
          <wp:simplePos x="0" y="0"/>
          <wp:positionH relativeFrom="column">
            <wp:posOffset>-114299</wp:posOffset>
          </wp:positionH>
          <wp:positionV relativeFrom="paragraph">
            <wp:posOffset>457200</wp:posOffset>
          </wp:positionV>
          <wp:extent cx="3048000" cy="9525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2C3276" w14:textId="77777777" w:rsidR="00121837" w:rsidRDefault="002E7859">
    <w:pPr>
      <w:ind w:left="5040" w:firstLine="720"/>
      <w:jc w:val="right"/>
      <w:rPr>
        <w:rFonts w:ascii="Sentinel Book" w:eastAsia="Sentinel Book" w:hAnsi="Sentinel Book" w:cs="Sentinel Book"/>
        <w:sz w:val="20"/>
        <w:szCs w:val="20"/>
      </w:rPr>
    </w:pPr>
    <w:r>
      <w:rPr>
        <w:rFonts w:ascii="Sentinel Semibold" w:eastAsia="Sentinel Semibold" w:hAnsi="Sentinel Semibold" w:cs="Sentinel Semibold"/>
        <w:sz w:val="20"/>
        <w:szCs w:val="20"/>
      </w:rPr>
      <w:t xml:space="preserve">Gabrielle D’Amico </w:t>
    </w:r>
    <w:r>
      <w:rPr>
        <w:rFonts w:ascii="Sentinel Semibold" w:eastAsia="Sentinel Semibold" w:hAnsi="Sentinel Semibold" w:cs="Sentinel Semibold"/>
        <w:sz w:val="20"/>
        <w:szCs w:val="20"/>
      </w:rPr>
      <w:br/>
      <w:t>Exec. Director of Communications</w:t>
    </w:r>
    <w:r>
      <w:rPr>
        <w:rFonts w:ascii="Sentinel Book" w:eastAsia="Sentinel Book" w:hAnsi="Sentinel Book" w:cs="Sentinel Book"/>
        <w:sz w:val="20"/>
        <w:szCs w:val="20"/>
      </w:rPr>
      <w:t xml:space="preserve"> gabrielle.damico@wilkes.edu </w:t>
    </w:r>
    <w:r>
      <w:rPr>
        <w:rFonts w:ascii="Sentinel Book" w:eastAsia="Sentinel Book" w:hAnsi="Sentinel Book" w:cs="Sentinel Book"/>
        <w:sz w:val="20"/>
        <w:szCs w:val="20"/>
      </w:rPr>
      <w:br/>
      <w:t>o. (570) 408-4510</w:t>
    </w:r>
  </w:p>
  <w:p w14:paraId="5998A751" w14:textId="77777777" w:rsidR="00121837" w:rsidRDefault="002E7859">
    <w:pPr>
      <w:ind w:left="5040" w:firstLine="720"/>
      <w:jc w:val="right"/>
      <w:rPr>
        <w:rFonts w:ascii="Sentinel Book" w:eastAsia="Sentinel Book" w:hAnsi="Sentinel Book" w:cs="Sentinel Book"/>
        <w:sz w:val="20"/>
        <w:szCs w:val="20"/>
      </w:rPr>
    </w:pPr>
    <w:r>
      <w:rPr>
        <w:rFonts w:ascii="Sentinel Book" w:eastAsia="Sentinel Book" w:hAnsi="Sentinel Book" w:cs="Sentinel Book"/>
        <w:sz w:val="20"/>
        <w:szCs w:val="20"/>
      </w:rPr>
      <w:t>c. (570) 592-7839</w:t>
    </w:r>
  </w:p>
  <w:p w14:paraId="5057AF15" w14:textId="77777777" w:rsidR="00121837" w:rsidRDefault="00121837">
    <w:pPr>
      <w:rPr>
        <w:rFonts w:ascii="Georgia" w:eastAsia="Georgia" w:hAnsi="Georgia" w:cs="Georgia"/>
        <w:sz w:val="14"/>
        <w:szCs w:val="14"/>
      </w:rPr>
    </w:pPr>
  </w:p>
  <w:p w14:paraId="4EE49E9B" w14:textId="77777777" w:rsidR="00121837" w:rsidRDefault="00121837">
    <w:pPr>
      <w:rPr>
        <w:rFonts w:ascii="Georgia" w:eastAsia="Georgia" w:hAnsi="Georgia" w:cs="Georgia"/>
        <w:sz w:val="14"/>
        <w:szCs w:val="14"/>
      </w:rPr>
    </w:pPr>
  </w:p>
  <w:p w14:paraId="33A58251" w14:textId="77777777" w:rsidR="00121837" w:rsidRDefault="002E7859">
    <w:pPr>
      <w:rPr>
        <w:rFonts w:ascii="Brown-Regular" w:eastAsia="Brown-Regular" w:hAnsi="Brown-Regular" w:cs="Brown-Regular"/>
        <w:sz w:val="56"/>
        <w:szCs w:val="56"/>
      </w:rPr>
    </w:pPr>
    <w:r>
      <w:rPr>
        <w:rFonts w:ascii="Brown-Regular" w:eastAsia="Brown-Regular" w:hAnsi="Brown-Regular" w:cs="Brown-Regular"/>
        <w:sz w:val="56"/>
        <w:szCs w:val="56"/>
      </w:rPr>
      <w:t>News Release</w:t>
    </w:r>
  </w:p>
  <w:p w14:paraId="6F852761" w14:textId="77777777" w:rsidR="00121837" w:rsidRDefault="002E7859">
    <w:pPr>
      <w:tabs>
        <w:tab w:val="left" w:pos="4320"/>
      </w:tabs>
      <w:ind w:left="1310"/>
    </w:pPr>
    <w:r>
      <w:rPr>
        <w:rFonts w:ascii="Georgia" w:eastAsia="Georgia" w:hAnsi="Georgia" w:cs="Georgia"/>
        <w:b/>
        <w:sz w:val="20"/>
        <w:szCs w:val="20"/>
      </w:rPr>
      <w:tab/>
    </w:r>
    <w:r>
      <w:rPr>
        <w:noProof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 wp14:anchorId="21DA4239" wp14:editId="4D2B36E9">
              <wp:simplePos x="0" y="0"/>
              <wp:positionH relativeFrom="column">
                <wp:posOffset>-12699</wp:posOffset>
              </wp:positionH>
              <wp:positionV relativeFrom="paragraph">
                <wp:posOffset>5096</wp:posOffset>
              </wp:positionV>
              <wp:extent cx="6286500" cy="381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5450" y="3773650"/>
                        <a:ext cx="6261100" cy="127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5096</wp:posOffset>
              </wp:positionV>
              <wp:extent cx="6286500" cy="381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37"/>
    <w:rsid w:val="00121837"/>
    <w:rsid w:val="002E7859"/>
    <w:rsid w:val="00712E9F"/>
    <w:rsid w:val="009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254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news.wilkes.edu/" TargetMode="External"/><Relationship Id="rId7" Type="http://schemas.openxmlformats.org/officeDocument/2006/relationships/hyperlink" Target="http://www.wilkes.ed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Macintosh Word</Application>
  <DocSecurity>0</DocSecurity>
  <Lines>26</Lines>
  <Paragraphs>7</Paragraphs>
  <ScaleCrop>false</ScaleCrop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2019-05-02T15:00:00Z</dcterms:created>
  <dcterms:modified xsi:type="dcterms:W3CDTF">2019-05-02T15:00:00Z</dcterms:modified>
</cp:coreProperties>
</file>