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9A54" w14:textId="77777777" w:rsidR="00135806" w:rsidRDefault="00135806" w:rsidP="00135806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A30C8C3" wp14:editId="3C92E1A4">
            <wp:extent cx="1857375" cy="1672392"/>
            <wp:effectExtent l="19050" t="0" r="0" b="0"/>
            <wp:docPr id="1" name="Picture 0" descr="TIMPANI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PANIlog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50" cy="167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4EB8" w14:textId="279EA89A" w:rsidR="004B4861" w:rsidRPr="00135806" w:rsidRDefault="00135806" w:rsidP="00135806">
      <w:pPr>
        <w:spacing w:before="2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35806">
        <w:rPr>
          <w:rFonts w:ascii="Arial" w:hAnsi="Arial" w:cs="Arial"/>
          <w:b/>
          <w:sz w:val="32"/>
          <w:szCs w:val="32"/>
          <w:u w:val="single"/>
        </w:rPr>
        <w:t>201</w:t>
      </w:r>
      <w:r w:rsidR="008D24C1">
        <w:rPr>
          <w:rFonts w:ascii="Arial" w:hAnsi="Arial" w:cs="Arial"/>
          <w:b/>
          <w:sz w:val="32"/>
          <w:szCs w:val="32"/>
          <w:u w:val="single"/>
        </w:rPr>
        <w:t>8</w:t>
      </w:r>
      <w:r w:rsidRPr="00135806">
        <w:rPr>
          <w:rFonts w:ascii="Arial" w:hAnsi="Arial" w:cs="Arial"/>
          <w:b/>
          <w:sz w:val="32"/>
          <w:szCs w:val="32"/>
          <w:u w:val="single"/>
        </w:rPr>
        <w:t xml:space="preserve"> Toy Study Results</w:t>
      </w:r>
    </w:p>
    <w:p w14:paraId="3D3EF09D" w14:textId="77777777" w:rsidR="00135806" w:rsidRPr="00135806" w:rsidRDefault="00135806" w:rsidP="00C53811">
      <w:pPr>
        <w:jc w:val="center"/>
        <w:rPr>
          <w:b/>
          <w:sz w:val="32"/>
          <w:szCs w:val="32"/>
        </w:rPr>
      </w:pPr>
    </w:p>
    <w:p w14:paraId="32A195F8" w14:textId="77777777" w:rsidR="00C53811" w:rsidRPr="00872378" w:rsidRDefault="00C53811" w:rsidP="006E67F0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 xml:space="preserve">What </w:t>
      </w:r>
      <w:r w:rsidR="006E67F0" w:rsidRPr="00872378">
        <w:rPr>
          <w:rFonts w:ascii="Arial" w:hAnsi="Arial" w:cs="Arial"/>
          <w:b/>
          <w:sz w:val="22"/>
        </w:rPr>
        <w:t xml:space="preserve">is the </w:t>
      </w:r>
      <w:r w:rsidR="0073258E" w:rsidRPr="00872378">
        <w:rPr>
          <w:rFonts w:ascii="Arial" w:hAnsi="Arial" w:cs="Arial"/>
          <w:b/>
          <w:sz w:val="22"/>
        </w:rPr>
        <w:t xml:space="preserve">TIMPANI </w:t>
      </w:r>
      <w:r w:rsidR="006E67F0" w:rsidRPr="00872378">
        <w:rPr>
          <w:rFonts w:ascii="Arial" w:hAnsi="Arial" w:cs="Arial"/>
          <w:b/>
          <w:sz w:val="22"/>
        </w:rPr>
        <w:t>Toy Study?</w:t>
      </w:r>
    </w:p>
    <w:p w14:paraId="7C032A40" w14:textId="77777777" w:rsidR="0073258E" w:rsidRPr="00872378" w:rsidRDefault="00C53811" w:rsidP="00C53811">
      <w:pPr>
        <w:rPr>
          <w:sz w:val="22"/>
        </w:rPr>
      </w:pPr>
      <w:r w:rsidRPr="00872378">
        <w:rPr>
          <w:sz w:val="22"/>
        </w:rPr>
        <w:t>TIMPANI is an on-going scientific study of toys for preschool-aged children</w:t>
      </w:r>
      <w:r w:rsidR="004A0540" w:rsidRPr="00872378">
        <w:rPr>
          <w:sz w:val="22"/>
        </w:rPr>
        <w:t xml:space="preserve"> conducted by the Center for Early Childhood Education at Eastern Connecticut State University</w:t>
      </w:r>
      <w:r w:rsidRPr="00872378">
        <w:rPr>
          <w:sz w:val="22"/>
        </w:rPr>
        <w:t xml:space="preserve">. </w:t>
      </w:r>
      <w:r w:rsidR="0073258E" w:rsidRPr="00872378">
        <w:rPr>
          <w:sz w:val="22"/>
        </w:rPr>
        <w:t>The purpo</w:t>
      </w:r>
      <w:r w:rsidR="006E67F0" w:rsidRPr="00872378">
        <w:rPr>
          <w:sz w:val="22"/>
        </w:rPr>
        <w:t xml:space="preserve">se of the study is to identify </w:t>
      </w:r>
      <w:r w:rsidR="0073258E" w:rsidRPr="00872378">
        <w:rPr>
          <w:sz w:val="22"/>
        </w:rPr>
        <w:t>toys that best engage children in intellectual, creative, and social interactions in classrooms</w:t>
      </w:r>
      <w:r w:rsidR="00C9273A" w:rsidRPr="00872378">
        <w:rPr>
          <w:sz w:val="22"/>
        </w:rPr>
        <w:t>, and to pass this information on to preschool teachers and parents</w:t>
      </w:r>
      <w:r w:rsidR="0073258E" w:rsidRPr="00872378">
        <w:rPr>
          <w:sz w:val="22"/>
        </w:rPr>
        <w:t xml:space="preserve">. </w:t>
      </w:r>
      <w:r w:rsidR="00DF04AF" w:rsidRPr="00872378">
        <w:rPr>
          <w:sz w:val="22"/>
        </w:rPr>
        <w:t xml:space="preserve">TIMPANI is an acronym for Toys that Inspire Mindful Play </w:t>
      </w:r>
      <w:proofErr w:type="gramStart"/>
      <w:r w:rsidR="00EA0C2C">
        <w:rPr>
          <w:sz w:val="22"/>
        </w:rPr>
        <w:t>A</w:t>
      </w:r>
      <w:r w:rsidR="00EA0C2C" w:rsidRPr="00872378">
        <w:rPr>
          <w:sz w:val="22"/>
        </w:rPr>
        <w:t>nd</w:t>
      </w:r>
      <w:proofErr w:type="gramEnd"/>
      <w:r w:rsidR="00DF04AF" w:rsidRPr="00872378">
        <w:rPr>
          <w:sz w:val="22"/>
        </w:rPr>
        <w:t xml:space="preserve"> Nurture Imagination. </w:t>
      </w:r>
    </w:p>
    <w:p w14:paraId="2078CD51" w14:textId="77777777" w:rsidR="00872378" w:rsidRPr="00872378" w:rsidRDefault="00872378" w:rsidP="00C53811">
      <w:pPr>
        <w:rPr>
          <w:sz w:val="22"/>
        </w:rPr>
      </w:pPr>
    </w:p>
    <w:p w14:paraId="55695DD6" w14:textId="77777777" w:rsidR="006E67F0" w:rsidRPr="00872378" w:rsidRDefault="006E67F0" w:rsidP="006E67F0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>Why study toys?</w:t>
      </w:r>
    </w:p>
    <w:p w14:paraId="4641CA89" w14:textId="77777777" w:rsidR="006E67F0" w:rsidRPr="00872378" w:rsidRDefault="00C9273A" w:rsidP="006E67F0">
      <w:pPr>
        <w:pStyle w:val="NormalWeb"/>
        <w:spacing w:before="0" w:beforeAutospacing="0" w:after="0" w:afterAutospacing="0"/>
        <w:rPr>
          <w:color w:val="0C132F"/>
          <w:sz w:val="22"/>
          <w:szCs w:val="22"/>
        </w:rPr>
      </w:pPr>
      <w:r w:rsidRPr="00872378">
        <w:rPr>
          <w:color w:val="0C132F"/>
          <w:sz w:val="22"/>
          <w:szCs w:val="22"/>
        </w:rPr>
        <w:t xml:space="preserve">Research indicates that children learn much through their play. A considerable amount of children’s play involves toys, but there has been little research conducted to date that focuses on the qualities of toys that impact </w:t>
      </w:r>
      <w:r w:rsidR="006E67F0" w:rsidRPr="00872378">
        <w:rPr>
          <w:color w:val="0C132F"/>
          <w:sz w:val="22"/>
          <w:szCs w:val="22"/>
        </w:rPr>
        <w:t>how children</w:t>
      </w:r>
      <w:r w:rsidRPr="00872378">
        <w:rPr>
          <w:color w:val="0C132F"/>
          <w:sz w:val="22"/>
          <w:szCs w:val="22"/>
        </w:rPr>
        <w:t xml:space="preserve"> learn</w:t>
      </w:r>
      <w:r w:rsidR="006E67F0" w:rsidRPr="00872378">
        <w:rPr>
          <w:color w:val="0C132F"/>
          <w:sz w:val="22"/>
          <w:szCs w:val="22"/>
        </w:rPr>
        <w:t xml:space="preserve">. </w:t>
      </w:r>
    </w:p>
    <w:p w14:paraId="6503C3E8" w14:textId="77777777" w:rsidR="006E67F0" w:rsidRPr="00872378" w:rsidRDefault="006E67F0" w:rsidP="006E67F0">
      <w:pPr>
        <w:rPr>
          <w:sz w:val="22"/>
        </w:rPr>
      </w:pPr>
    </w:p>
    <w:p w14:paraId="5C7F88D3" w14:textId="77777777" w:rsidR="002D052D" w:rsidRPr="00872378" w:rsidRDefault="002D052D" w:rsidP="006E67F0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>How does the study work?</w:t>
      </w:r>
    </w:p>
    <w:p w14:paraId="23B0F5EC" w14:textId="1878C163" w:rsidR="00034B76" w:rsidRPr="00872378" w:rsidRDefault="00453B03" w:rsidP="006E67F0">
      <w:pPr>
        <w:rPr>
          <w:sz w:val="22"/>
        </w:rPr>
      </w:pPr>
      <w:r>
        <w:rPr>
          <w:sz w:val="22"/>
        </w:rPr>
        <w:t xml:space="preserve">Preschool </w:t>
      </w:r>
      <w:r w:rsidR="00C9273A" w:rsidRPr="00872378">
        <w:rPr>
          <w:sz w:val="22"/>
        </w:rPr>
        <w:t>teachers, researchers, and education faculty nominate toys to be studied. An Advisory Committee review</w:t>
      </w:r>
      <w:r w:rsidR="007D5B63" w:rsidRPr="00872378">
        <w:rPr>
          <w:sz w:val="22"/>
        </w:rPr>
        <w:t>s</w:t>
      </w:r>
      <w:r w:rsidR="00C9273A" w:rsidRPr="00872378">
        <w:rPr>
          <w:sz w:val="22"/>
        </w:rPr>
        <w:t xml:space="preserve"> the nominations and select</w:t>
      </w:r>
      <w:r w:rsidR="00DF04AF" w:rsidRPr="00872378">
        <w:rPr>
          <w:sz w:val="22"/>
        </w:rPr>
        <w:t>s</w:t>
      </w:r>
      <w:r w:rsidR="00C9273A" w:rsidRPr="00872378">
        <w:rPr>
          <w:sz w:val="22"/>
        </w:rPr>
        <w:t xml:space="preserve"> toys that meet basic criteria of developmental appropriateness, cultural and gender sensitivity, and other areas. </w:t>
      </w:r>
      <w:r w:rsidR="002D052D" w:rsidRPr="00872378">
        <w:rPr>
          <w:sz w:val="22"/>
        </w:rPr>
        <w:t xml:space="preserve">This year </w:t>
      </w:r>
      <w:r w:rsidR="008D24C1">
        <w:rPr>
          <w:sz w:val="22"/>
        </w:rPr>
        <w:t>8</w:t>
      </w:r>
      <w:r w:rsidR="002D052D" w:rsidRPr="00872378">
        <w:rPr>
          <w:sz w:val="22"/>
        </w:rPr>
        <w:t xml:space="preserve"> </w:t>
      </w:r>
      <w:r w:rsidR="008D24C1">
        <w:rPr>
          <w:sz w:val="22"/>
        </w:rPr>
        <w:t xml:space="preserve">construction </w:t>
      </w:r>
      <w:r w:rsidR="002D052D" w:rsidRPr="00872378">
        <w:rPr>
          <w:sz w:val="22"/>
        </w:rPr>
        <w:t xml:space="preserve">toys </w:t>
      </w:r>
      <w:r w:rsidR="001F36EF" w:rsidRPr="00872378">
        <w:rPr>
          <w:sz w:val="22"/>
        </w:rPr>
        <w:t>were selected for the study</w:t>
      </w:r>
      <w:r w:rsidR="002D052D" w:rsidRPr="00872378">
        <w:rPr>
          <w:sz w:val="22"/>
        </w:rPr>
        <w:t xml:space="preserve">. Each </w:t>
      </w:r>
      <w:r w:rsidR="00C9273A" w:rsidRPr="00872378">
        <w:rPr>
          <w:sz w:val="22"/>
        </w:rPr>
        <w:t xml:space="preserve">toy </w:t>
      </w:r>
      <w:r w:rsidR="002D052D" w:rsidRPr="00872378">
        <w:rPr>
          <w:sz w:val="22"/>
        </w:rPr>
        <w:t xml:space="preserve">was videotaped being used by children in </w:t>
      </w:r>
      <w:r w:rsidR="00DF04AF" w:rsidRPr="00872378">
        <w:rPr>
          <w:sz w:val="22"/>
        </w:rPr>
        <w:t>four</w:t>
      </w:r>
      <w:r w:rsidR="002D052D" w:rsidRPr="00872378">
        <w:rPr>
          <w:sz w:val="22"/>
        </w:rPr>
        <w:t xml:space="preserve"> different preschool classrooms</w:t>
      </w:r>
      <w:r w:rsidR="00882335" w:rsidRPr="00872378">
        <w:rPr>
          <w:sz w:val="22"/>
        </w:rPr>
        <w:t xml:space="preserve"> during the period designated as “free play” or “center time</w:t>
      </w:r>
      <w:r w:rsidR="002D052D" w:rsidRPr="00872378">
        <w:rPr>
          <w:sz w:val="22"/>
        </w:rPr>
        <w:t>.</w:t>
      </w:r>
      <w:r w:rsidR="00882335" w:rsidRPr="00872378">
        <w:rPr>
          <w:sz w:val="22"/>
        </w:rPr>
        <w:t>”</w:t>
      </w:r>
      <w:r w:rsidR="002D052D" w:rsidRPr="00872378">
        <w:rPr>
          <w:sz w:val="22"/>
        </w:rPr>
        <w:t xml:space="preserve"> Recordings were made on </w:t>
      </w:r>
      <w:r w:rsidR="007B36D8">
        <w:rPr>
          <w:sz w:val="22"/>
        </w:rPr>
        <w:t>two</w:t>
      </w:r>
      <w:r w:rsidR="002D052D" w:rsidRPr="00872378">
        <w:rPr>
          <w:sz w:val="22"/>
        </w:rPr>
        <w:t xml:space="preserve"> mornings in each classroom. Recordings were then scored </w:t>
      </w:r>
      <w:r w:rsidR="007115FB" w:rsidRPr="00872378">
        <w:rPr>
          <w:sz w:val="22"/>
        </w:rPr>
        <w:t xml:space="preserve">by </w:t>
      </w:r>
      <w:r w:rsidR="008C03D4">
        <w:rPr>
          <w:sz w:val="22"/>
        </w:rPr>
        <w:t>two</w:t>
      </w:r>
      <w:r w:rsidR="008C03D4" w:rsidRPr="00872378">
        <w:rPr>
          <w:sz w:val="22"/>
        </w:rPr>
        <w:t xml:space="preserve"> </w:t>
      </w:r>
      <w:r w:rsidR="007115FB" w:rsidRPr="00872378">
        <w:rPr>
          <w:sz w:val="22"/>
        </w:rPr>
        <w:t xml:space="preserve">researchers </w:t>
      </w:r>
      <w:r w:rsidR="002D052D" w:rsidRPr="00872378">
        <w:rPr>
          <w:sz w:val="22"/>
        </w:rPr>
        <w:t>using a scientific instrument develop</w:t>
      </w:r>
      <w:r w:rsidR="000F68B3" w:rsidRPr="00872378">
        <w:rPr>
          <w:sz w:val="22"/>
        </w:rPr>
        <w:t>ed in a previous study</w:t>
      </w:r>
      <w:r w:rsidR="002D052D" w:rsidRPr="00872378">
        <w:rPr>
          <w:sz w:val="22"/>
        </w:rPr>
        <w:t xml:space="preserve"> (Trawick-Smith, Russell, &amp; Swaminathan, 2010). </w:t>
      </w:r>
      <w:r w:rsidR="00EA0C2C" w:rsidRPr="00872378">
        <w:rPr>
          <w:sz w:val="22"/>
        </w:rPr>
        <w:t>Sub scores</w:t>
      </w:r>
      <w:r w:rsidR="002D052D" w:rsidRPr="00872378">
        <w:rPr>
          <w:sz w:val="22"/>
        </w:rPr>
        <w:t xml:space="preserve"> were compute</w:t>
      </w:r>
      <w:r w:rsidR="000F68B3" w:rsidRPr="00872378">
        <w:rPr>
          <w:sz w:val="22"/>
        </w:rPr>
        <w:t>d</w:t>
      </w:r>
      <w:r w:rsidR="002D052D" w:rsidRPr="00872378">
        <w:rPr>
          <w:sz w:val="22"/>
        </w:rPr>
        <w:t xml:space="preserve"> for thinking/learning,</w:t>
      </w:r>
      <w:r w:rsidR="000F68B3" w:rsidRPr="00872378">
        <w:rPr>
          <w:sz w:val="22"/>
        </w:rPr>
        <w:t xml:space="preserve"> </w:t>
      </w:r>
      <w:r w:rsidR="009774B5">
        <w:rPr>
          <w:sz w:val="22"/>
        </w:rPr>
        <w:t xml:space="preserve">social interaction, </w:t>
      </w:r>
      <w:r>
        <w:rPr>
          <w:sz w:val="22"/>
        </w:rPr>
        <w:t>creativity</w:t>
      </w:r>
      <w:r w:rsidR="002D052D" w:rsidRPr="00872378">
        <w:rPr>
          <w:sz w:val="22"/>
        </w:rPr>
        <w:t>/imagination</w:t>
      </w:r>
      <w:r w:rsidR="009774B5">
        <w:rPr>
          <w:sz w:val="22"/>
        </w:rPr>
        <w:t>, and verbalization</w:t>
      </w:r>
      <w:r w:rsidR="002D052D" w:rsidRPr="00872378">
        <w:rPr>
          <w:sz w:val="22"/>
        </w:rPr>
        <w:t>.</w:t>
      </w:r>
    </w:p>
    <w:p w14:paraId="56D72E75" w14:textId="77777777" w:rsidR="006E67F0" w:rsidRPr="00872378" w:rsidRDefault="006E67F0" w:rsidP="006E67F0">
      <w:pPr>
        <w:rPr>
          <w:sz w:val="22"/>
        </w:rPr>
      </w:pPr>
    </w:p>
    <w:p w14:paraId="181E2289" w14:textId="77777777" w:rsidR="00B82157" w:rsidRPr="00872378" w:rsidRDefault="00B82157" w:rsidP="006E67F0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 xml:space="preserve">How are Eastern </w:t>
      </w:r>
      <w:r w:rsidR="004A0540" w:rsidRPr="00872378">
        <w:rPr>
          <w:rFonts w:ascii="Arial" w:hAnsi="Arial" w:cs="Arial"/>
          <w:b/>
          <w:sz w:val="22"/>
        </w:rPr>
        <w:t xml:space="preserve">Connecticut State University </w:t>
      </w:r>
      <w:r w:rsidRPr="00872378">
        <w:rPr>
          <w:rFonts w:ascii="Arial" w:hAnsi="Arial" w:cs="Arial"/>
          <w:b/>
          <w:sz w:val="22"/>
        </w:rPr>
        <w:t>students involved in the project?</w:t>
      </w:r>
    </w:p>
    <w:p w14:paraId="571FA80D" w14:textId="2A39E611" w:rsidR="000F68B3" w:rsidRPr="00EA0C2C" w:rsidRDefault="00882335" w:rsidP="00882335">
      <w:pPr>
        <w:rPr>
          <w:rFonts w:cs="Times New Roman"/>
          <w:sz w:val="22"/>
        </w:rPr>
      </w:pPr>
      <w:r w:rsidRPr="00872378">
        <w:rPr>
          <w:sz w:val="22"/>
        </w:rPr>
        <w:t>A major goal of TIMPANI is to train students to conduct behavioral research</w:t>
      </w:r>
      <w:r w:rsidR="00B82157" w:rsidRPr="00872378">
        <w:rPr>
          <w:sz w:val="22"/>
        </w:rPr>
        <w:t>.</w:t>
      </w:r>
      <w:r w:rsidRPr="00872378">
        <w:rPr>
          <w:sz w:val="22"/>
        </w:rPr>
        <w:t xml:space="preserve"> </w:t>
      </w:r>
      <w:r w:rsidRPr="00872378">
        <w:rPr>
          <w:rFonts w:cs="Times New Roman"/>
          <w:color w:val="0C132F"/>
          <w:sz w:val="22"/>
        </w:rPr>
        <w:t xml:space="preserve">Students have been responsible for conducting preliminary research on toys, piloting the instrument used to score toys, videotaping toy use, and coding videos. </w:t>
      </w:r>
      <w:r w:rsidR="00DF04AF" w:rsidRPr="00872378">
        <w:rPr>
          <w:rFonts w:cs="Times New Roman"/>
          <w:color w:val="0C132F"/>
          <w:sz w:val="22"/>
        </w:rPr>
        <w:t xml:space="preserve">This year, </w:t>
      </w:r>
      <w:r w:rsidR="00800808">
        <w:rPr>
          <w:rFonts w:cs="Times New Roman"/>
          <w:color w:val="0C132F"/>
          <w:sz w:val="22"/>
        </w:rPr>
        <w:t>four</w:t>
      </w:r>
      <w:r w:rsidR="00DF04AF" w:rsidRPr="00872378">
        <w:rPr>
          <w:rFonts w:cs="Times New Roman"/>
          <w:color w:val="0C132F"/>
          <w:sz w:val="22"/>
        </w:rPr>
        <w:t xml:space="preserve"> undergraduate students were involved in the study.  </w:t>
      </w:r>
      <w:r w:rsidR="00800808">
        <w:rPr>
          <w:rFonts w:cs="Times New Roman"/>
          <w:sz w:val="22"/>
        </w:rPr>
        <w:t>To date, 2</w:t>
      </w:r>
      <w:r w:rsidR="008D24C1">
        <w:rPr>
          <w:rFonts w:cs="Times New Roman"/>
          <w:sz w:val="22"/>
        </w:rPr>
        <w:t>4</w:t>
      </w:r>
      <w:r w:rsidR="008C03D4">
        <w:rPr>
          <w:rFonts w:cs="Times New Roman"/>
          <w:sz w:val="22"/>
        </w:rPr>
        <w:t xml:space="preserve"> s</w:t>
      </w:r>
      <w:r w:rsidRPr="00EA0C2C">
        <w:rPr>
          <w:rFonts w:cs="Times New Roman"/>
          <w:sz w:val="22"/>
        </w:rPr>
        <w:t>tudents from sociology</w:t>
      </w:r>
      <w:r w:rsidR="00DF04AF" w:rsidRPr="00EA0C2C">
        <w:rPr>
          <w:rFonts w:cs="Times New Roman"/>
          <w:sz w:val="22"/>
        </w:rPr>
        <w:t>, psychology,</w:t>
      </w:r>
      <w:r w:rsidRPr="00EA0C2C">
        <w:rPr>
          <w:rFonts w:cs="Times New Roman"/>
          <w:sz w:val="22"/>
        </w:rPr>
        <w:t xml:space="preserve"> and early childhood education have part</w:t>
      </w:r>
      <w:r w:rsidR="000B28BB" w:rsidRPr="00EA0C2C">
        <w:rPr>
          <w:rFonts w:cs="Times New Roman"/>
          <w:sz w:val="22"/>
        </w:rPr>
        <w:t xml:space="preserve">icipated as student researchers, and </w:t>
      </w:r>
      <w:r w:rsidR="00CD4432">
        <w:rPr>
          <w:rFonts w:cs="Times New Roman"/>
          <w:sz w:val="22"/>
        </w:rPr>
        <w:t>9</w:t>
      </w:r>
      <w:r w:rsidR="008C03D4">
        <w:rPr>
          <w:rFonts w:cs="Times New Roman"/>
          <w:sz w:val="22"/>
        </w:rPr>
        <w:t xml:space="preserve"> </w:t>
      </w:r>
      <w:r w:rsidR="000B28BB" w:rsidRPr="00EA0C2C">
        <w:rPr>
          <w:rFonts w:cs="Times New Roman"/>
          <w:sz w:val="22"/>
        </w:rPr>
        <w:t>communication students have assisted in making videos about the findings.</w:t>
      </w:r>
      <w:r w:rsidR="00E92926" w:rsidRPr="00EA0C2C">
        <w:rPr>
          <w:rFonts w:cs="Times New Roman"/>
          <w:sz w:val="22"/>
        </w:rPr>
        <w:t xml:space="preserve"> </w:t>
      </w:r>
      <w:r w:rsidR="008D24C1">
        <w:rPr>
          <w:rFonts w:cs="Times New Roman"/>
          <w:sz w:val="22"/>
        </w:rPr>
        <w:t xml:space="preserve">April </w:t>
      </w:r>
      <w:proofErr w:type="spellStart"/>
      <w:r w:rsidR="008D24C1">
        <w:rPr>
          <w:rFonts w:cs="Times New Roman"/>
          <w:sz w:val="22"/>
        </w:rPr>
        <w:t>Doolan</w:t>
      </w:r>
      <w:proofErr w:type="spellEnd"/>
      <w:r w:rsidR="00800808">
        <w:rPr>
          <w:rFonts w:cs="Times New Roman"/>
          <w:sz w:val="22"/>
        </w:rPr>
        <w:t xml:space="preserve"> </w:t>
      </w:r>
      <w:r w:rsidR="00E92926" w:rsidRPr="00EA0C2C">
        <w:rPr>
          <w:rFonts w:cs="Times New Roman"/>
          <w:sz w:val="22"/>
        </w:rPr>
        <w:t>was the student editor for this year’s video.</w:t>
      </w:r>
    </w:p>
    <w:p w14:paraId="747EE318" w14:textId="77777777" w:rsidR="007B7C6F" w:rsidRPr="00872378" w:rsidRDefault="007B7C6F" w:rsidP="007B7C6F">
      <w:pPr>
        <w:jc w:val="center"/>
        <w:rPr>
          <w:rFonts w:ascii="Arial" w:hAnsi="Arial" w:cs="Arial"/>
          <w:b/>
          <w:sz w:val="22"/>
        </w:rPr>
      </w:pPr>
    </w:p>
    <w:p w14:paraId="42DB10E5" w14:textId="77777777" w:rsidR="006644E8" w:rsidRPr="00872378" w:rsidRDefault="006644E8" w:rsidP="006644E8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>How is the TIMPANI Toy selected</w:t>
      </w:r>
      <w:r w:rsidR="009C440D">
        <w:rPr>
          <w:rFonts w:ascii="Arial" w:hAnsi="Arial" w:cs="Arial"/>
          <w:b/>
          <w:sz w:val="22"/>
        </w:rPr>
        <w:t xml:space="preserve"> and announced</w:t>
      </w:r>
      <w:r w:rsidRPr="00872378">
        <w:rPr>
          <w:rFonts w:ascii="Arial" w:hAnsi="Arial" w:cs="Arial"/>
          <w:b/>
          <w:sz w:val="22"/>
        </w:rPr>
        <w:t>?</w:t>
      </w:r>
    </w:p>
    <w:p w14:paraId="692400B9" w14:textId="77777777" w:rsidR="00872378" w:rsidRPr="00872378" w:rsidRDefault="008C03D4" w:rsidP="00872378">
      <w:pPr>
        <w:rPr>
          <w:sz w:val="22"/>
        </w:rPr>
      </w:pPr>
      <w:r>
        <w:rPr>
          <w:sz w:val="22"/>
        </w:rPr>
        <w:t xml:space="preserve">In </w:t>
      </w:r>
      <w:r w:rsidR="001E4079">
        <w:rPr>
          <w:sz w:val="22"/>
        </w:rPr>
        <w:t>determining</w:t>
      </w:r>
      <w:r>
        <w:rPr>
          <w:sz w:val="22"/>
        </w:rPr>
        <w:t xml:space="preserve"> the TIMPANI Toy for the year, researchers look at each toy’s score on the four subscales</w:t>
      </w:r>
      <w:r w:rsidRPr="00872378">
        <w:rPr>
          <w:sz w:val="22"/>
        </w:rPr>
        <w:t xml:space="preserve">—thinking/learning, social interaction, </w:t>
      </w:r>
      <w:r>
        <w:rPr>
          <w:sz w:val="22"/>
        </w:rPr>
        <w:t>creativity</w:t>
      </w:r>
      <w:r w:rsidRPr="00872378">
        <w:rPr>
          <w:sz w:val="22"/>
        </w:rPr>
        <w:t>/imagination</w:t>
      </w:r>
      <w:r w:rsidR="00800808">
        <w:rPr>
          <w:sz w:val="22"/>
        </w:rPr>
        <w:t>, and verbalization</w:t>
      </w:r>
      <w:r w:rsidRPr="00872378">
        <w:rPr>
          <w:sz w:val="22"/>
        </w:rPr>
        <w:t>—</w:t>
      </w:r>
      <w:proofErr w:type="gramStart"/>
      <w:r>
        <w:rPr>
          <w:sz w:val="22"/>
        </w:rPr>
        <w:t>and also</w:t>
      </w:r>
      <w:proofErr w:type="gramEnd"/>
      <w:r>
        <w:rPr>
          <w:sz w:val="22"/>
        </w:rPr>
        <w:t xml:space="preserve"> identify which toy </w:t>
      </w:r>
      <w:r w:rsidR="006644E8" w:rsidRPr="00872378">
        <w:rPr>
          <w:sz w:val="22"/>
        </w:rPr>
        <w:t xml:space="preserve">receives the highest </w:t>
      </w:r>
      <w:r>
        <w:rPr>
          <w:sz w:val="22"/>
        </w:rPr>
        <w:t xml:space="preserve">overall </w:t>
      </w:r>
      <w:r w:rsidR="006644E8" w:rsidRPr="00872378">
        <w:rPr>
          <w:sz w:val="22"/>
        </w:rPr>
        <w:t>score</w:t>
      </w:r>
      <w:r w:rsidR="00800808">
        <w:rPr>
          <w:sz w:val="22"/>
        </w:rPr>
        <w:t>.</w:t>
      </w:r>
      <w:r w:rsidR="006644E8" w:rsidRPr="00872378">
        <w:rPr>
          <w:sz w:val="22"/>
        </w:rPr>
        <w:t xml:space="preserve"> </w:t>
      </w:r>
      <w:r w:rsidR="00AA2387">
        <w:rPr>
          <w:sz w:val="22"/>
        </w:rPr>
        <w:t>R</w:t>
      </w:r>
      <w:r w:rsidR="00785C44">
        <w:rPr>
          <w:sz w:val="22"/>
        </w:rPr>
        <w:t>esearchers also look closely at differences in scores across age, gender, ethnicity, and socioeconomic backgrounds</w:t>
      </w:r>
      <w:r w:rsidR="001E4079" w:rsidRPr="001E4079">
        <w:rPr>
          <w:sz w:val="22"/>
        </w:rPr>
        <w:t xml:space="preserve"> </w:t>
      </w:r>
      <w:r w:rsidR="00AA2387">
        <w:rPr>
          <w:sz w:val="22"/>
        </w:rPr>
        <w:t>before</w:t>
      </w:r>
      <w:r w:rsidR="001E4079">
        <w:rPr>
          <w:sz w:val="22"/>
        </w:rPr>
        <w:t xml:space="preserve"> determining the TIMPANI Toy</w:t>
      </w:r>
      <w:r w:rsidR="00785C44">
        <w:rPr>
          <w:sz w:val="22"/>
        </w:rPr>
        <w:t>.</w:t>
      </w:r>
      <w:r w:rsidR="009C440D">
        <w:rPr>
          <w:sz w:val="23"/>
          <w:szCs w:val="23"/>
        </w:rPr>
        <w:t xml:space="preserve"> </w:t>
      </w:r>
      <w:r w:rsidR="00785C44">
        <w:rPr>
          <w:sz w:val="22"/>
        </w:rPr>
        <w:t>Results of the study, including a video with footage of children playing with the toy, are posted on the website</w:t>
      </w:r>
      <w:r w:rsidR="00872378" w:rsidRPr="00872378">
        <w:rPr>
          <w:sz w:val="22"/>
        </w:rPr>
        <w:t>. Findings will also be published in both practitioner and research journals in the field.</w:t>
      </w:r>
    </w:p>
    <w:p w14:paraId="253CA9C0" w14:textId="77777777" w:rsidR="00872378" w:rsidRDefault="00872378" w:rsidP="006644E8">
      <w:pPr>
        <w:rPr>
          <w:rFonts w:ascii="Arial" w:hAnsi="Arial" w:cs="Arial"/>
          <w:b/>
          <w:sz w:val="22"/>
        </w:rPr>
      </w:pPr>
    </w:p>
    <w:p w14:paraId="2348FDD9" w14:textId="77777777" w:rsidR="009C440D" w:rsidRDefault="009C440D" w:rsidP="006644E8">
      <w:pPr>
        <w:rPr>
          <w:rFonts w:ascii="Arial" w:hAnsi="Arial" w:cs="Arial"/>
          <w:b/>
          <w:sz w:val="22"/>
        </w:rPr>
      </w:pPr>
    </w:p>
    <w:p w14:paraId="423F322B" w14:textId="08E24249" w:rsidR="006644E8" w:rsidRPr="00872378" w:rsidRDefault="006644E8" w:rsidP="009C440D">
      <w:pPr>
        <w:spacing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 xml:space="preserve">What is the </w:t>
      </w:r>
      <w:r w:rsidR="00985410">
        <w:rPr>
          <w:rFonts w:ascii="Arial" w:hAnsi="Arial" w:cs="Arial"/>
          <w:b/>
          <w:sz w:val="22"/>
        </w:rPr>
        <w:t>TIMPANI Toy for 201</w:t>
      </w:r>
      <w:r w:rsidR="008D24C1">
        <w:rPr>
          <w:rFonts w:ascii="Arial" w:hAnsi="Arial" w:cs="Arial"/>
          <w:b/>
          <w:sz w:val="22"/>
        </w:rPr>
        <w:t>8</w:t>
      </w:r>
      <w:r w:rsidRPr="00872378">
        <w:rPr>
          <w:rFonts w:ascii="Arial" w:hAnsi="Arial" w:cs="Arial"/>
          <w:b/>
          <w:sz w:val="22"/>
        </w:rPr>
        <w:t>?</w:t>
      </w:r>
      <w:r w:rsidR="009B56BE" w:rsidRPr="00872378">
        <w:rPr>
          <w:rFonts w:ascii="Arial" w:hAnsi="Arial" w:cs="Arial"/>
          <w:b/>
          <w:sz w:val="22"/>
        </w:rPr>
        <w:t xml:space="preserve"> </w:t>
      </w:r>
    </w:p>
    <w:p w14:paraId="0D746847" w14:textId="7F6A87A6" w:rsidR="00AB7E86" w:rsidRDefault="00AB7E86" w:rsidP="00F50B39">
      <w:pPr>
        <w:rPr>
          <w:sz w:val="22"/>
        </w:rPr>
      </w:pPr>
      <w:r w:rsidRPr="00872378">
        <w:rPr>
          <w:sz w:val="22"/>
        </w:rPr>
        <w:t xml:space="preserve">This year, </w:t>
      </w:r>
      <w:r w:rsidR="00800808">
        <w:rPr>
          <w:sz w:val="22"/>
        </w:rPr>
        <w:t xml:space="preserve">one toy scored </w:t>
      </w:r>
      <w:r w:rsidR="0076051A">
        <w:rPr>
          <w:sz w:val="22"/>
        </w:rPr>
        <w:t>slightly</w:t>
      </w:r>
      <w:r w:rsidR="00800808">
        <w:rPr>
          <w:sz w:val="22"/>
        </w:rPr>
        <w:t xml:space="preserve"> higher than all others.</w:t>
      </w:r>
      <w:r w:rsidR="0059738B" w:rsidRPr="009567BE">
        <w:rPr>
          <w:sz w:val="22"/>
        </w:rPr>
        <w:t xml:space="preserve"> </w:t>
      </w:r>
      <w:proofErr w:type="spellStart"/>
      <w:r w:rsidR="008D24C1">
        <w:rPr>
          <w:sz w:val="22"/>
        </w:rPr>
        <w:t>Magz</w:t>
      </w:r>
      <w:proofErr w:type="spellEnd"/>
      <w:r w:rsidR="008D24C1">
        <w:rPr>
          <w:sz w:val="22"/>
        </w:rPr>
        <w:t xml:space="preserve"> </w:t>
      </w:r>
      <w:proofErr w:type="spellStart"/>
      <w:r w:rsidR="008D24C1">
        <w:rPr>
          <w:sz w:val="22"/>
        </w:rPr>
        <w:t>Clix</w:t>
      </w:r>
      <w:proofErr w:type="spellEnd"/>
      <w:r w:rsidR="008D24C1">
        <w:rPr>
          <w:sz w:val="22"/>
        </w:rPr>
        <w:t xml:space="preserve"> (previously </w:t>
      </w:r>
      <w:r w:rsidR="0076051A">
        <w:rPr>
          <w:sz w:val="22"/>
        </w:rPr>
        <w:t>known as</w:t>
      </w:r>
      <w:r w:rsidR="008D24C1">
        <w:rPr>
          <w:sz w:val="22"/>
        </w:rPr>
        <w:t xml:space="preserve"> Bottle </w:t>
      </w:r>
      <w:proofErr w:type="spellStart"/>
      <w:r w:rsidR="008D24C1">
        <w:rPr>
          <w:sz w:val="22"/>
        </w:rPr>
        <w:t>Clix</w:t>
      </w:r>
      <w:proofErr w:type="spellEnd"/>
      <w:r w:rsidR="008D24C1">
        <w:rPr>
          <w:sz w:val="22"/>
        </w:rPr>
        <w:t xml:space="preserve">) </w:t>
      </w:r>
      <w:r w:rsidR="00800808">
        <w:rPr>
          <w:sz w:val="22"/>
        </w:rPr>
        <w:t xml:space="preserve">by </w:t>
      </w:r>
      <w:proofErr w:type="spellStart"/>
      <w:r w:rsidR="008D24C1">
        <w:rPr>
          <w:sz w:val="22"/>
        </w:rPr>
        <w:t>Magz</w:t>
      </w:r>
      <w:proofErr w:type="spellEnd"/>
      <w:r w:rsidR="008D24C1">
        <w:rPr>
          <w:sz w:val="22"/>
        </w:rPr>
        <w:t xml:space="preserve">® </w:t>
      </w:r>
      <w:r w:rsidR="00800808">
        <w:rPr>
          <w:sz w:val="22"/>
        </w:rPr>
        <w:t xml:space="preserve">is </w:t>
      </w:r>
      <w:r w:rsidR="00F50B39">
        <w:rPr>
          <w:sz w:val="22"/>
        </w:rPr>
        <w:t>this year’</w:t>
      </w:r>
      <w:r w:rsidR="00CB18CA">
        <w:rPr>
          <w:sz w:val="22"/>
        </w:rPr>
        <w:t xml:space="preserve">s </w:t>
      </w:r>
      <w:r w:rsidR="00F50B39">
        <w:rPr>
          <w:sz w:val="22"/>
        </w:rPr>
        <w:t>TIMPANI toy.</w:t>
      </w:r>
    </w:p>
    <w:p w14:paraId="45D1184D" w14:textId="77777777" w:rsidR="00800808" w:rsidRDefault="00800808" w:rsidP="00F50B39">
      <w:pPr>
        <w:rPr>
          <w:sz w:val="22"/>
        </w:rPr>
      </w:pPr>
    </w:p>
    <w:p w14:paraId="019E17C5" w14:textId="310640D8" w:rsidR="00800808" w:rsidRDefault="008D24C1" w:rsidP="003271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7F263A0" wp14:editId="02C40C5A">
            <wp:extent cx="3267075" cy="2178050"/>
            <wp:effectExtent l="0" t="0" r="9525" b="0"/>
            <wp:docPr id="5" name="Picture 5" descr="A picture containing writing implement, stationary,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9338" w14:textId="77777777" w:rsidR="009D2822" w:rsidRDefault="009D2822" w:rsidP="00F50B39">
      <w:pPr>
        <w:rPr>
          <w:rFonts w:ascii="Arial" w:hAnsi="Arial" w:cs="Arial"/>
          <w:b/>
        </w:rPr>
        <w:sectPr w:rsidR="009D2822" w:rsidSect="009C440D">
          <w:type w:val="continuous"/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62D69D17" w14:textId="1E7CFB3B" w:rsidR="00AF4FDC" w:rsidRPr="00D542BE" w:rsidRDefault="008D24C1" w:rsidP="00D542BE">
      <w:pPr>
        <w:tabs>
          <w:tab w:val="left" w:pos="1080"/>
          <w:tab w:val="left" w:pos="4860"/>
          <w:tab w:val="left" w:pos="5760"/>
        </w:tabs>
        <w:spacing w:before="6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sz w:val="22"/>
        </w:rPr>
        <w:t>Magz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Clix</w:t>
      </w:r>
      <w:proofErr w:type="spellEnd"/>
      <w:r w:rsidR="0032718D">
        <w:rPr>
          <w:sz w:val="22"/>
        </w:rPr>
        <w:t xml:space="preserve"> </w:t>
      </w:r>
      <w:r w:rsidR="00800808">
        <w:rPr>
          <w:sz w:val="22"/>
        </w:rPr>
        <w:t xml:space="preserve">by </w:t>
      </w:r>
      <w:proofErr w:type="spellStart"/>
      <w:r>
        <w:rPr>
          <w:sz w:val="22"/>
        </w:rPr>
        <w:t>Magz</w:t>
      </w:r>
      <w:proofErr w:type="spellEnd"/>
      <w:r>
        <w:rPr>
          <w:sz w:val="22"/>
        </w:rPr>
        <w:t>®</w:t>
      </w:r>
    </w:p>
    <w:p w14:paraId="5E556737" w14:textId="77777777" w:rsidR="00F242F3" w:rsidRPr="00872378" w:rsidRDefault="00F242F3" w:rsidP="00D542BE">
      <w:pPr>
        <w:jc w:val="center"/>
        <w:rPr>
          <w:sz w:val="22"/>
        </w:rPr>
      </w:pPr>
    </w:p>
    <w:p w14:paraId="0D6581B3" w14:textId="77777777" w:rsidR="007416AE" w:rsidRDefault="007416AE" w:rsidP="007416AE">
      <w:pPr>
        <w:rPr>
          <w:sz w:val="22"/>
          <w:u w:val="single"/>
        </w:rPr>
      </w:pPr>
      <w:r>
        <w:rPr>
          <w:sz w:val="22"/>
          <w:u w:val="single"/>
        </w:rPr>
        <w:t xml:space="preserve">Highest-scoring toys in </w:t>
      </w:r>
      <w:r w:rsidR="00C70B5B">
        <w:rPr>
          <w:sz w:val="22"/>
          <w:u w:val="single"/>
        </w:rPr>
        <w:t xml:space="preserve">previous </w:t>
      </w:r>
      <w:r w:rsidRPr="007416AE">
        <w:rPr>
          <w:sz w:val="22"/>
          <w:u w:val="single"/>
        </w:rPr>
        <w:t xml:space="preserve">TIMPANI studies </w:t>
      </w:r>
    </w:p>
    <w:p w14:paraId="1376FF05" w14:textId="041288EA" w:rsidR="0076051A" w:rsidRDefault="0076051A" w:rsidP="007416AE">
      <w:pPr>
        <w:rPr>
          <w:sz w:val="22"/>
        </w:rPr>
      </w:pPr>
      <w:r>
        <w:rPr>
          <w:sz w:val="22"/>
        </w:rPr>
        <w:t>2017: Animal Kingdom Mega Pack Playset by Animal Planet</w:t>
      </w:r>
    </w:p>
    <w:p w14:paraId="0A2D65E8" w14:textId="54386B3E" w:rsidR="00800808" w:rsidRDefault="00800808" w:rsidP="007416AE">
      <w:pPr>
        <w:rPr>
          <w:sz w:val="22"/>
        </w:rPr>
      </w:pPr>
      <w:r>
        <w:rPr>
          <w:sz w:val="22"/>
        </w:rPr>
        <w:t>2016: Plus-Plus® by Plus-Plus</w:t>
      </w:r>
    </w:p>
    <w:p w14:paraId="0AAB1966" w14:textId="77777777" w:rsidR="00D542BE" w:rsidRDefault="00D542BE" w:rsidP="007416AE">
      <w:pPr>
        <w:rPr>
          <w:sz w:val="22"/>
        </w:rPr>
      </w:pPr>
      <w:r>
        <w:rPr>
          <w:sz w:val="22"/>
        </w:rPr>
        <w:t xml:space="preserve">2015: Wooden Cash Register by </w:t>
      </w:r>
      <w:proofErr w:type="spellStart"/>
      <w:r>
        <w:rPr>
          <w:sz w:val="22"/>
        </w:rPr>
        <w:t>Hape</w:t>
      </w:r>
      <w:proofErr w:type="spellEnd"/>
    </w:p>
    <w:p w14:paraId="60FA26A9" w14:textId="77777777" w:rsidR="00BC322F" w:rsidRDefault="00BC322F" w:rsidP="007416AE">
      <w:pPr>
        <w:rPr>
          <w:sz w:val="22"/>
        </w:rPr>
      </w:pPr>
      <w:r>
        <w:rPr>
          <w:sz w:val="22"/>
        </w:rPr>
        <w:t xml:space="preserve">2014: Paint and Easel (easel by Community Playthings); </w:t>
      </w:r>
      <w:r w:rsidR="003E00D2">
        <w:rPr>
          <w:sz w:val="22"/>
        </w:rPr>
        <w:t>Hot Wheels Cars by Mattel</w:t>
      </w:r>
    </w:p>
    <w:p w14:paraId="77A9FB9B" w14:textId="77777777" w:rsidR="009441FF" w:rsidRPr="009441FF" w:rsidRDefault="009441FF" w:rsidP="007416AE">
      <w:pPr>
        <w:rPr>
          <w:sz w:val="22"/>
        </w:rPr>
      </w:pPr>
      <w:r w:rsidRPr="009441FF">
        <w:rPr>
          <w:sz w:val="22"/>
        </w:rPr>
        <w:t xml:space="preserve">2013: </w:t>
      </w:r>
      <w:r>
        <w:rPr>
          <w:sz w:val="22"/>
        </w:rPr>
        <w:t xml:space="preserve">Magna-Tiles by </w:t>
      </w:r>
      <w:proofErr w:type="spellStart"/>
      <w:proofErr w:type="gramStart"/>
      <w:r>
        <w:rPr>
          <w:sz w:val="22"/>
        </w:rPr>
        <w:t>Val</w:t>
      </w:r>
      <w:r w:rsidR="00457869">
        <w:rPr>
          <w:sz w:val="22"/>
        </w:rPr>
        <w:t>tech</w:t>
      </w:r>
      <w:proofErr w:type="spellEnd"/>
      <w:r w:rsidR="00457869">
        <w:rPr>
          <w:sz w:val="22"/>
        </w:rPr>
        <w:t>!;</w:t>
      </w:r>
      <w:proofErr w:type="gramEnd"/>
      <w:r w:rsidR="00457869">
        <w:rPr>
          <w:sz w:val="22"/>
        </w:rPr>
        <w:t xml:space="preserve"> My First Railway by Brio</w:t>
      </w:r>
    </w:p>
    <w:p w14:paraId="4F265DD2" w14:textId="77777777" w:rsidR="007416AE" w:rsidRDefault="007416AE" w:rsidP="007416AE">
      <w:pPr>
        <w:rPr>
          <w:sz w:val="22"/>
        </w:rPr>
      </w:pPr>
      <w:r>
        <w:rPr>
          <w:sz w:val="22"/>
        </w:rPr>
        <w:t>2012: DUPLO bricks by LEGO</w:t>
      </w:r>
    </w:p>
    <w:p w14:paraId="0DEA2C84" w14:textId="77777777" w:rsidR="007416AE" w:rsidRDefault="007416AE" w:rsidP="007416AE">
      <w:pPr>
        <w:rPr>
          <w:sz w:val="22"/>
        </w:rPr>
      </w:pPr>
      <w:r>
        <w:rPr>
          <w:sz w:val="22"/>
        </w:rPr>
        <w:t xml:space="preserve">2011: </w:t>
      </w:r>
      <w:proofErr w:type="spellStart"/>
      <w:r>
        <w:rPr>
          <w:sz w:val="22"/>
        </w:rPr>
        <w:t>Tinkertoys</w:t>
      </w:r>
      <w:proofErr w:type="spellEnd"/>
      <w:r>
        <w:rPr>
          <w:sz w:val="22"/>
        </w:rPr>
        <w:t xml:space="preserve"> by Hasbro</w:t>
      </w:r>
    </w:p>
    <w:p w14:paraId="6BBA74A7" w14:textId="77777777" w:rsidR="007416AE" w:rsidRPr="00872378" w:rsidRDefault="007416AE" w:rsidP="007416AE">
      <w:pPr>
        <w:rPr>
          <w:sz w:val="22"/>
        </w:rPr>
      </w:pPr>
      <w:r>
        <w:rPr>
          <w:sz w:val="22"/>
        </w:rPr>
        <w:t>2010: Wooden Vehicles and Traffic Signs by Melissa &amp; Doug.</w:t>
      </w:r>
    </w:p>
    <w:p w14:paraId="6B1A2D6A" w14:textId="77777777" w:rsidR="007416AE" w:rsidRDefault="007416AE" w:rsidP="006E67F0">
      <w:pPr>
        <w:spacing w:after="120"/>
        <w:rPr>
          <w:rFonts w:ascii="Arial" w:hAnsi="Arial" w:cs="Arial"/>
          <w:b/>
          <w:sz w:val="22"/>
        </w:rPr>
      </w:pPr>
    </w:p>
    <w:p w14:paraId="664D3A5C" w14:textId="77777777" w:rsidR="000A14A6" w:rsidRPr="000A14A6" w:rsidRDefault="00B82157" w:rsidP="000A14A6">
      <w:pPr>
        <w:spacing w:after="120"/>
        <w:rPr>
          <w:rFonts w:ascii="Arial" w:hAnsi="Arial" w:cs="Arial"/>
          <w:b/>
          <w:sz w:val="22"/>
        </w:rPr>
        <w:sectPr w:rsidR="000A14A6" w:rsidRPr="000A14A6" w:rsidSect="00135806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872378">
        <w:rPr>
          <w:rFonts w:ascii="Arial" w:hAnsi="Arial" w:cs="Arial"/>
          <w:b/>
          <w:sz w:val="22"/>
        </w:rPr>
        <w:t>Who should be recognized for their involvement in the study this year?</w:t>
      </w:r>
    </w:p>
    <w:p w14:paraId="3BC4C931" w14:textId="47500B16" w:rsidR="00D542BE" w:rsidRDefault="000A14A6" w:rsidP="0032718D">
      <w:pPr>
        <w:ind w:right="-90"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Researchers</w:t>
      </w:r>
      <w:r>
        <w:rPr>
          <w:rFonts w:cs="Times New Roman"/>
          <w:sz w:val="22"/>
          <w:u w:val="single"/>
        </w:rPr>
        <w:br/>
      </w:r>
      <w:r>
        <w:rPr>
          <w:rFonts w:cs="Times New Roman"/>
          <w:sz w:val="22"/>
        </w:rPr>
        <w:t xml:space="preserve">Dr. Jeffrey Trawick-Smith, </w:t>
      </w:r>
      <w:r w:rsidR="0076051A">
        <w:rPr>
          <w:rFonts w:cs="Times New Roman"/>
          <w:sz w:val="22"/>
        </w:rPr>
        <w:t>co-</w:t>
      </w:r>
      <w:r>
        <w:rPr>
          <w:rFonts w:cs="Times New Roman"/>
          <w:sz w:val="22"/>
        </w:rPr>
        <w:t>investigator</w:t>
      </w:r>
    </w:p>
    <w:p w14:paraId="07673A9D" w14:textId="77777777" w:rsidR="00AA2387" w:rsidRDefault="00AA2387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Julia DeLapp, co-investigator</w:t>
      </w:r>
    </w:p>
    <w:p w14:paraId="1E405C66" w14:textId="7D6B77F7" w:rsidR="00800808" w:rsidRDefault="0076051A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Allison Lundy</w:t>
      </w:r>
      <w:r w:rsidR="00800808">
        <w:rPr>
          <w:rFonts w:cs="Times New Roman"/>
          <w:sz w:val="22"/>
        </w:rPr>
        <w:t>, student researcher</w:t>
      </w:r>
    </w:p>
    <w:p w14:paraId="262573D9" w14:textId="119E095C" w:rsidR="00800808" w:rsidRDefault="0076051A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Morgan Winship, student researcher</w:t>
      </w:r>
      <w:r w:rsidR="000A14A6">
        <w:rPr>
          <w:rFonts w:cs="Times New Roman"/>
          <w:sz w:val="22"/>
        </w:rPr>
        <w:br/>
      </w:r>
      <w:r w:rsidR="00800808">
        <w:rPr>
          <w:rFonts w:cs="Times New Roman"/>
          <w:sz w:val="22"/>
        </w:rPr>
        <w:t>Dominique McLean, student researcher</w:t>
      </w:r>
    </w:p>
    <w:p w14:paraId="04209C50" w14:textId="77777777" w:rsidR="0076051A" w:rsidRDefault="0076051A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Nicole Green, student researcher</w:t>
      </w:r>
      <w:r>
        <w:rPr>
          <w:rFonts w:cs="Times New Roman"/>
          <w:sz w:val="22"/>
        </w:rPr>
        <w:t xml:space="preserve"> </w:t>
      </w:r>
    </w:p>
    <w:p w14:paraId="48ADD4E0" w14:textId="77777777" w:rsidR="0032718D" w:rsidRDefault="0032718D" w:rsidP="00AA2387">
      <w:pPr>
        <w:rPr>
          <w:rFonts w:cs="Times New Roman"/>
          <w:sz w:val="22"/>
        </w:rPr>
      </w:pPr>
    </w:p>
    <w:p w14:paraId="4FCC6672" w14:textId="77777777" w:rsidR="0032718D" w:rsidRDefault="0032718D" w:rsidP="00AA2387">
      <w:pPr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 xml:space="preserve">Video </w:t>
      </w:r>
      <w:r w:rsidRPr="0032718D">
        <w:rPr>
          <w:rFonts w:cs="Times New Roman"/>
          <w:sz w:val="22"/>
          <w:u w:val="single"/>
        </w:rPr>
        <w:t>Production</w:t>
      </w:r>
    </w:p>
    <w:p w14:paraId="6F8311C8" w14:textId="77777777" w:rsidR="0032718D" w:rsidRDefault="0032718D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Julia DeLapp, producer/scriptwriter</w:t>
      </w:r>
    </w:p>
    <w:p w14:paraId="124E14DA" w14:textId="77777777" w:rsidR="0032718D" w:rsidRDefault="0032718D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>Ken Measimer, director</w:t>
      </w:r>
      <w:r w:rsidR="004760D9">
        <w:rPr>
          <w:rFonts w:cs="Times New Roman"/>
          <w:sz w:val="22"/>
        </w:rPr>
        <w:t>/videographer</w:t>
      </w:r>
    </w:p>
    <w:p w14:paraId="5882B7F3" w14:textId="2E6C849C" w:rsidR="0032718D" w:rsidRDefault="0076051A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April </w:t>
      </w:r>
      <w:proofErr w:type="spellStart"/>
      <w:r>
        <w:rPr>
          <w:rFonts w:cs="Times New Roman"/>
          <w:sz w:val="22"/>
        </w:rPr>
        <w:t>Doolan</w:t>
      </w:r>
      <w:proofErr w:type="spellEnd"/>
      <w:r w:rsidR="0032718D">
        <w:rPr>
          <w:rFonts w:cs="Times New Roman"/>
          <w:sz w:val="22"/>
        </w:rPr>
        <w:t>, student editor/production assistant</w:t>
      </w:r>
    </w:p>
    <w:p w14:paraId="6C3DC28B" w14:textId="34E2FA1E" w:rsidR="0032718D" w:rsidRDefault="0032718D" w:rsidP="00AA2387">
      <w:pPr>
        <w:rPr>
          <w:rFonts w:cs="Times New Roman"/>
          <w:sz w:val="22"/>
        </w:rPr>
      </w:pPr>
    </w:p>
    <w:p w14:paraId="02A232D5" w14:textId="77777777" w:rsidR="0076051A" w:rsidRDefault="0076051A" w:rsidP="00AA2387">
      <w:pPr>
        <w:rPr>
          <w:rFonts w:cs="Times New Roman"/>
          <w:sz w:val="22"/>
        </w:rPr>
      </w:pPr>
    </w:p>
    <w:p w14:paraId="185D3DEB" w14:textId="77777777" w:rsidR="0032718D" w:rsidRDefault="0032718D" w:rsidP="00AA2387">
      <w:pPr>
        <w:rPr>
          <w:rFonts w:cs="Times New Roman"/>
          <w:sz w:val="22"/>
        </w:rPr>
      </w:pPr>
    </w:p>
    <w:p w14:paraId="4C1D17BE" w14:textId="77777777" w:rsidR="0032718D" w:rsidRDefault="0032718D" w:rsidP="00AA2387">
      <w:pPr>
        <w:rPr>
          <w:rFonts w:cs="Times New Roman"/>
          <w:sz w:val="22"/>
        </w:rPr>
        <w:sectPr w:rsidR="0032718D" w:rsidSect="0032718D">
          <w:type w:val="continuous"/>
          <w:pgSz w:w="12240" w:h="15840"/>
          <w:pgMar w:top="720" w:right="1440" w:bottom="360" w:left="1440" w:header="720" w:footer="720" w:gutter="0"/>
          <w:cols w:num="2" w:space="720"/>
          <w:docGrid w:linePitch="360"/>
        </w:sectPr>
      </w:pPr>
    </w:p>
    <w:p w14:paraId="1324B6C8" w14:textId="448D610B" w:rsidR="000A14A6" w:rsidRPr="000A14A6" w:rsidRDefault="00D66A9A" w:rsidP="00AA2387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teachers and children of </w:t>
      </w:r>
      <w:proofErr w:type="spellStart"/>
      <w:r w:rsidR="0076051A">
        <w:rPr>
          <w:rFonts w:cs="Times New Roman"/>
          <w:sz w:val="22"/>
        </w:rPr>
        <w:t>Eastern’s</w:t>
      </w:r>
      <w:proofErr w:type="spellEnd"/>
      <w:r>
        <w:rPr>
          <w:rFonts w:cs="Times New Roman"/>
          <w:sz w:val="22"/>
        </w:rPr>
        <w:t xml:space="preserve"> </w:t>
      </w:r>
      <w:r w:rsidR="0076051A">
        <w:rPr>
          <w:rFonts w:cs="Times New Roman"/>
          <w:sz w:val="22"/>
        </w:rPr>
        <w:t xml:space="preserve">Child and Family Development Resource Center </w:t>
      </w:r>
      <w:r>
        <w:rPr>
          <w:rFonts w:cs="Times New Roman"/>
          <w:sz w:val="22"/>
        </w:rPr>
        <w:t>should also be recognized for their participation.</w:t>
      </w:r>
      <w:r w:rsidR="000A14A6">
        <w:rPr>
          <w:rFonts w:cs="Times New Roman"/>
          <w:sz w:val="22"/>
        </w:rPr>
        <w:br/>
      </w:r>
    </w:p>
    <w:p w14:paraId="0284D992" w14:textId="393118C5" w:rsidR="00420E8A" w:rsidRPr="00872378" w:rsidRDefault="00420E8A" w:rsidP="00830550">
      <w:pPr>
        <w:spacing w:before="60" w:after="120"/>
        <w:rPr>
          <w:rFonts w:ascii="Arial" w:hAnsi="Arial" w:cs="Arial"/>
          <w:b/>
          <w:sz w:val="22"/>
        </w:rPr>
      </w:pPr>
      <w:r w:rsidRPr="00872378">
        <w:rPr>
          <w:rFonts w:ascii="Arial" w:hAnsi="Arial" w:cs="Arial"/>
          <w:b/>
          <w:sz w:val="22"/>
        </w:rPr>
        <w:t>How do I find more information on TIMPANI?</w:t>
      </w:r>
    </w:p>
    <w:p w14:paraId="567AAD0C" w14:textId="6E21018B" w:rsidR="0076051A" w:rsidRDefault="00420E8A" w:rsidP="005008E3">
      <w:pPr>
        <w:rPr>
          <w:sz w:val="22"/>
        </w:rPr>
      </w:pPr>
      <w:r w:rsidRPr="00872378">
        <w:rPr>
          <w:sz w:val="22"/>
        </w:rPr>
        <w:t xml:space="preserve">For more information on the TIMPANI </w:t>
      </w:r>
      <w:r w:rsidR="00AA2387">
        <w:rPr>
          <w:sz w:val="22"/>
        </w:rPr>
        <w:t>study</w:t>
      </w:r>
      <w:r w:rsidRPr="00872378">
        <w:rPr>
          <w:sz w:val="22"/>
        </w:rPr>
        <w:t>, visit the C</w:t>
      </w:r>
      <w:r w:rsidR="00346A3A" w:rsidRPr="00872378">
        <w:rPr>
          <w:sz w:val="22"/>
        </w:rPr>
        <w:t xml:space="preserve">enter for Early Childhood Education </w:t>
      </w:r>
      <w:r w:rsidRPr="00872378">
        <w:rPr>
          <w:sz w:val="22"/>
        </w:rPr>
        <w:t>website (</w:t>
      </w:r>
      <w:hyperlink r:id="rId9" w:history="1">
        <w:r w:rsidR="00482313" w:rsidRPr="002B11B1">
          <w:rPr>
            <w:rStyle w:val="Hyperlink"/>
            <w:sz w:val="22"/>
          </w:rPr>
          <w:t>www.easternct.edu/cece/timpani</w:t>
        </w:r>
      </w:hyperlink>
      <w:r w:rsidR="00482313">
        <w:rPr>
          <w:sz w:val="22"/>
        </w:rPr>
        <w:t>)</w:t>
      </w:r>
      <w:r w:rsidRPr="00872378">
        <w:rPr>
          <w:sz w:val="22"/>
        </w:rPr>
        <w:t xml:space="preserve">. To speak with one of our researchers, </w:t>
      </w:r>
      <w:r w:rsidRPr="00352E3D">
        <w:rPr>
          <w:sz w:val="22"/>
        </w:rPr>
        <w:t>contact:</w:t>
      </w:r>
      <w:r w:rsidR="00352E3D" w:rsidRPr="00352E3D">
        <w:rPr>
          <w:sz w:val="22"/>
        </w:rPr>
        <w:t xml:space="preserve"> Julia DeLapp,</w:t>
      </w:r>
      <w:r w:rsidR="00E036E0" w:rsidRPr="00352E3D">
        <w:rPr>
          <w:sz w:val="22"/>
        </w:rPr>
        <w:t xml:space="preserve"> </w:t>
      </w:r>
      <w:r w:rsidR="00453B03">
        <w:rPr>
          <w:sz w:val="22"/>
        </w:rPr>
        <w:t xml:space="preserve">Director, </w:t>
      </w:r>
      <w:r w:rsidR="00777D46" w:rsidRPr="00352E3D">
        <w:rPr>
          <w:sz w:val="22"/>
        </w:rPr>
        <w:t xml:space="preserve">Center for Early Childhood Education, </w:t>
      </w:r>
      <w:r w:rsidR="000B28BB" w:rsidRPr="00352E3D">
        <w:rPr>
          <w:sz w:val="22"/>
        </w:rPr>
        <w:t xml:space="preserve">at </w:t>
      </w:r>
      <w:r w:rsidR="00F45ABB" w:rsidRPr="00352E3D">
        <w:rPr>
          <w:sz w:val="22"/>
        </w:rPr>
        <w:t>(860) 465-</w:t>
      </w:r>
      <w:r w:rsidR="00352E3D" w:rsidRPr="00352E3D">
        <w:rPr>
          <w:sz w:val="22"/>
        </w:rPr>
        <w:t>0687</w:t>
      </w:r>
      <w:r w:rsidR="004B33E6" w:rsidRPr="00352E3D">
        <w:rPr>
          <w:sz w:val="22"/>
        </w:rPr>
        <w:t xml:space="preserve"> </w:t>
      </w:r>
      <w:r w:rsidR="00777D46" w:rsidRPr="00352E3D">
        <w:rPr>
          <w:sz w:val="22"/>
        </w:rPr>
        <w:t xml:space="preserve">or </w:t>
      </w:r>
      <w:hyperlink r:id="rId10" w:history="1">
        <w:r w:rsidR="0076051A" w:rsidRPr="004D26B9">
          <w:rPr>
            <w:rStyle w:val="Hyperlink"/>
            <w:sz w:val="22"/>
          </w:rPr>
          <w:t>delappj@easternct.edu</w:t>
        </w:r>
      </w:hyperlink>
      <w:r w:rsidR="00E036E0" w:rsidRPr="00352E3D">
        <w:rPr>
          <w:sz w:val="22"/>
        </w:rPr>
        <w:t>.</w:t>
      </w:r>
    </w:p>
    <w:p w14:paraId="7A1E5F09" w14:textId="034523D7" w:rsidR="000B28BB" w:rsidRPr="00872378" w:rsidRDefault="0076051A" w:rsidP="005008E3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42368" behindDoc="1" locked="0" layoutInCell="1" allowOverlap="1" wp14:anchorId="4D962454" wp14:editId="6EF20BEF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28725" cy="667385"/>
            <wp:effectExtent l="0" t="0" r="9525" b="0"/>
            <wp:wrapTight wrapText="bothSides">
              <wp:wrapPolygon edited="0">
                <wp:start x="0" y="0"/>
                <wp:lineTo x="0" y="20963"/>
                <wp:lineTo x="21433" y="20963"/>
                <wp:lineTo x="214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Elogo_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8BB" w:rsidRPr="00872378" w:rsidSect="000B28BB"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08A7" w14:textId="77777777" w:rsidR="005F13C5" w:rsidRDefault="005F13C5" w:rsidP="00C9273A">
      <w:r>
        <w:separator/>
      </w:r>
    </w:p>
  </w:endnote>
  <w:endnote w:type="continuationSeparator" w:id="0">
    <w:p w14:paraId="631E5E7C" w14:textId="77777777" w:rsidR="005F13C5" w:rsidRDefault="005F13C5" w:rsidP="00C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4ECF" w14:textId="77777777" w:rsidR="005F13C5" w:rsidRDefault="005F13C5" w:rsidP="00C9273A">
      <w:r>
        <w:separator/>
      </w:r>
    </w:p>
  </w:footnote>
  <w:footnote w:type="continuationSeparator" w:id="0">
    <w:p w14:paraId="41812FD9" w14:textId="77777777" w:rsidR="005F13C5" w:rsidRDefault="005F13C5" w:rsidP="00C9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11"/>
    <w:rsid w:val="00014792"/>
    <w:rsid w:val="00015D63"/>
    <w:rsid w:val="000215EE"/>
    <w:rsid w:val="000259E2"/>
    <w:rsid w:val="00027DD6"/>
    <w:rsid w:val="000311E5"/>
    <w:rsid w:val="00034B76"/>
    <w:rsid w:val="000411DA"/>
    <w:rsid w:val="00094D4F"/>
    <w:rsid w:val="000A14A6"/>
    <w:rsid w:val="000B28BB"/>
    <w:rsid w:val="000F5D14"/>
    <w:rsid w:val="000F68B3"/>
    <w:rsid w:val="00115F98"/>
    <w:rsid w:val="00135806"/>
    <w:rsid w:val="00146F34"/>
    <w:rsid w:val="00151185"/>
    <w:rsid w:val="001514C7"/>
    <w:rsid w:val="00185527"/>
    <w:rsid w:val="001B7A0F"/>
    <w:rsid w:val="001D70BB"/>
    <w:rsid w:val="001E2410"/>
    <w:rsid w:val="001E4079"/>
    <w:rsid w:val="001E7FAF"/>
    <w:rsid w:val="001F36EF"/>
    <w:rsid w:val="002534EB"/>
    <w:rsid w:val="00256A8E"/>
    <w:rsid w:val="002A50C4"/>
    <w:rsid w:val="002C23FC"/>
    <w:rsid w:val="002C72E9"/>
    <w:rsid w:val="002D052D"/>
    <w:rsid w:val="002D123D"/>
    <w:rsid w:val="002F3F0F"/>
    <w:rsid w:val="0032688B"/>
    <w:rsid w:val="0032718D"/>
    <w:rsid w:val="00346A3A"/>
    <w:rsid w:val="00350696"/>
    <w:rsid w:val="00352E3D"/>
    <w:rsid w:val="00363D9E"/>
    <w:rsid w:val="003D30E7"/>
    <w:rsid w:val="003E00D2"/>
    <w:rsid w:val="00410A16"/>
    <w:rsid w:val="00420E8A"/>
    <w:rsid w:val="004274C6"/>
    <w:rsid w:val="00435171"/>
    <w:rsid w:val="004418B8"/>
    <w:rsid w:val="00453B03"/>
    <w:rsid w:val="00454202"/>
    <w:rsid w:val="00457869"/>
    <w:rsid w:val="004741D3"/>
    <w:rsid w:val="004760D9"/>
    <w:rsid w:val="00477DCC"/>
    <w:rsid w:val="00482313"/>
    <w:rsid w:val="004A0540"/>
    <w:rsid w:val="004B33E6"/>
    <w:rsid w:val="004B4861"/>
    <w:rsid w:val="004C2C04"/>
    <w:rsid w:val="004E477C"/>
    <w:rsid w:val="005008E3"/>
    <w:rsid w:val="005748FD"/>
    <w:rsid w:val="005868F7"/>
    <w:rsid w:val="00592DD8"/>
    <w:rsid w:val="0059738B"/>
    <w:rsid w:val="005D7167"/>
    <w:rsid w:val="005F13C5"/>
    <w:rsid w:val="00601E83"/>
    <w:rsid w:val="0060209B"/>
    <w:rsid w:val="00607926"/>
    <w:rsid w:val="00637A98"/>
    <w:rsid w:val="00641DB9"/>
    <w:rsid w:val="006644E8"/>
    <w:rsid w:val="00695B4A"/>
    <w:rsid w:val="006B0014"/>
    <w:rsid w:val="006B4EFF"/>
    <w:rsid w:val="006C738A"/>
    <w:rsid w:val="006E67F0"/>
    <w:rsid w:val="007115FB"/>
    <w:rsid w:val="00720645"/>
    <w:rsid w:val="0073258E"/>
    <w:rsid w:val="00732720"/>
    <w:rsid w:val="007416AE"/>
    <w:rsid w:val="0076051A"/>
    <w:rsid w:val="00771FEC"/>
    <w:rsid w:val="00777D46"/>
    <w:rsid w:val="00785C44"/>
    <w:rsid w:val="007B36D8"/>
    <w:rsid w:val="007B7C6F"/>
    <w:rsid w:val="007D5B63"/>
    <w:rsid w:val="007E10F2"/>
    <w:rsid w:val="007E6C7D"/>
    <w:rsid w:val="00800808"/>
    <w:rsid w:val="00816DDC"/>
    <w:rsid w:val="00830550"/>
    <w:rsid w:val="00872378"/>
    <w:rsid w:val="00882335"/>
    <w:rsid w:val="008C03D4"/>
    <w:rsid w:val="008D24C1"/>
    <w:rsid w:val="008D52DC"/>
    <w:rsid w:val="008E4504"/>
    <w:rsid w:val="008E7054"/>
    <w:rsid w:val="009130C4"/>
    <w:rsid w:val="009441FF"/>
    <w:rsid w:val="009567BE"/>
    <w:rsid w:val="009774B5"/>
    <w:rsid w:val="00985410"/>
    <w:rsid w:val="009B39C2"/>
    <w:rsid w:val="009B56BE"/>
    <w:rsid w:val="009C440D"/>
    <w:rsid w:val="009C4D50"/>
    <w:rsid w:val="009C7476"/>
    <w:rsid w:val="009D2822"/>
    <w:rsid w:val="009E338C"/>
    <w:rsid w:val="009F4059"/>
    <w:rsid w:val="00A00D43"/>
    <w:rsid w:val="00A00E64"/>
    <w:rsid w:val="00A01D37"/>
    <w:rsid w:val="00A1189E"/>
    <w:rsid w:val="00A350AD"/>
    <w:rsid w:val="00A47B95"/>
    <w:rsid w:val="00A6155A"/>
    <w:rsid w:val="00A61BAC"/>
    <w:rsid w:val="00A87FEC"/>
    <w:rsid w:val="00AA2387"/>
    <w:rsid w:val="00AA3ABF"/>
    <w:rsid w:val="00AB7E86"/>
    <w:rsid w:val="00AF4FDC"/>
    <w:rsid w:val="00B272B5"/>
    <w:rsid w:val="00B47249"/>
    <w:rsid w:val="00B5108E"/>
    <w:rsid w:val="00B53B2A"/>
    <w:rsid w:val="00B71116"/>
    <w:rsid w:val="00B82157"/>
    <w:rsid w:val="00B97FF5"/>
    <w:rsid w:val="00BA41D3"/>
    <w:rsid w:val="00BB0578"/>
    <w:rsid w:val="00BC1693"/>
    <w:rsid w:val="00BC322F"/>
    <w:rsid w:val="00BD673B"/>
    <w:rsid w:val="00C010AB"/>
    <w:rsid w:val="00C33EA0"/>
    <w:rsid w:val="00C35930"/>
    <w:rsid w:val="00C53811"/>
    <w:rsid w:val="00C566F5"/>
    <w:rsid w:val="00C70B5B"/>
    <w:rsid w:val="00C9273A"/>
    <w:rsid w:val="00CB18CA"/>
    <w:rsid w:val="00CD4432"/>
    <w:rsid w:val="00CD50AB"/>
    <w:rsid w:val="00CF4C03"/>
    <w:rsid w:val="00D05F81"/>
    <w:rsid w:val="00D07889"/>
    <w:rsid w:val="00D209FF"/>
    <w:rsid w:val="00D27BAC"/>
    <w:rsid w:val="00D542BE"/>
    <w:rsid w:val="00D66A9A"/>
    <w:rsid w:val="00D814B8"/>
    <w:rsid w:val="00D860E9"/>
    <w:rsid w:val="00DC49C6"/>
    <w:rsid w:val="00DF04AF"/>
    <w:rsid w:val="00E000D2"/>
    <w:rsid w:val="00E036E0"/>
    <w:rsid w:val="00E06E94"/>
    <w:rsid w:val="00E26D44"/>
    <w:rsid w:val="00E43DF9"/>
    <w:rsid w:val="00E5124B"/>
    <w:rsid w:val="00E92926"/>
    <w:rsid w:val="00EA0C2C"/>
    <w:rsid w:val="00EF40C2"/>
    <w:rsid w:val="00F11240"/>
    <w:rsid w:val="00F13441"/>
    <w:rsid w:val="00F242F3"/>
    <w:rsid w:val="00F42E72"/>
    <w:rsid w:val="00F45ABB"/>
    <w:rsid w:val="00F50B39"/>
    <w:rsid w:val="00F7088C"/>
    <w:rsid w:val="00F74BDF"/>
    <w:rsid w:val="00F81088"/>
    <w:rsid w:val="00FA7E4E"/>
    <w:rsid w:val="00FE261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A7CC"/>
  <w15:docId w15:val="{D6A5D08D-0453-4998-BCCF-84640C30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8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E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A3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A3A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E67F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E67F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7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73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73A"/>
    <w:rPr>
      <w:vertAlign w:val="superscript"/>
    </w:rPr>
  </w:style>
  <w:style w:type="table" w:styleId="TableGrid">
    <w:name w:val="Table Grid"/>
    <w:basedOn w:val="TableNormal"/>
    <w:uiPriority w:val="59"/>
    <w:rsid w:val="00AA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delappj@easternc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ernct.edu/cece/timp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1FB6-00E8-4B98-9985-83DE79DF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Connecticut State University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DeLapp, Julia (Center for Early Childhood Education)</cp:lastModifiedBy>
  <cp:revision>3</cp:revision>
  <cp:lastPrinted>2015-12-04T18:24:00Z</cp:lastPrinted>
  <dcterms:created xsi:type="dcterms:W3CDTF">2018-11-26T16:19:00Z</dcterms:created>
  <dcterms:modified xsi:type="dcterms:W3CDTF">2018-11-26T17:55:00Z</dcterms:modified>
</cp:coreProperties>
</file>