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1FCD0DD">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11033569" w:rsidR="00AB5BA2" w:rsidRDefault="00D041EC" w:rsidP="00AB5BA2">
      <w:pPr>
        <w:spacing w:line="259" w:lineRule="auto"/>
        <w:jc w:val="center"/>
        <w:rPr>
          <w:b/>
          <w:bCs/>
          <w:sz w:val="28"/>
          <w:szCs w:val="28"/>
        </w:rPr>
      </w:pPr>
      <w:r w:rsidRPr="00D041EC">
        <w:rPr>
          <w:b/>
          <w:bCs/>
          <w:sz w:val="28"/>
          <w:szCs w:val="28"/>
        </w:rPr>
        <w:t xml:space="preserve">Delta State </w:t>
      </w:r>
      <w:r>
        <w:rPr>
          <w:b/>
          <w:bCs/>
          <w:sz w:val="28"/>
          <w:szCs w:val="28"/>
        </w:rPr>
        <w:t xml:space="preserve">graduate </w:t>
      </w:r>
      <w:r w:rsidRPr="00D041EC">
        <w:rPr>
          <w:b/>
          <w:bCs/>
          <w:sz w:val="28"/>
          <w:szCs w:val="28"/>
        </w:rPr>
        <w:t>students earn MPE scholarships</w:t>
      </w:r>
    </w:p>
    <w:p w14:paraId="503670C7" w14:textId="77777777" w:rsidR="00D041EC" w:rsidRDefault="00D041EC" w:rsidP="00AB5BA2">
      <w:pPr>
        <w:spacing w:line="259" w:lineRule="auto"/>
        <w:jc w:val="center"/>
        <w:rPr>
          <w:b/>
          <w:bCs/>
          <w:sz w:val="28"/>
          <w:szCs w:val="28"/>
        </w:rPr>
      </w:pPr>
    </w:p>
    <w:p w14:paraId="55566037" w14:textId="77777777" w:rsidR="00D041EC" w:rsidRPr="00D041EC" w:rsidRDefault="00AB5BA2" w:rsidP="00D041EC">
      <w:pPr>
        <w:spacing w:after="120"/>
      </w:pPr>
      <w:r w:rsidRPr="00716E0E">
        <w:rPr>
          <w:b/>
          <w:bCs/>
        </w:rPr>
        <w:t>CLEVELAND</w:t>
      </w:r>
      <w:r>
        <w:rPr>
          <w:b/>
          <w:bCs/>
        </w:rPr>
        <w:t xml:space="preserve">, Miss. — </w:t>
      </w:r>
      <w:r w:rsidR="00D041EC" w:rsidRPr="00D041EC">
        <w:t>Delta State University is celebrating the achievements of its students and educators following multiple scholarship awards from Mississippi Professional Educators, recognizing their commitment to advancing education across the state.</w:t>
      </w:r>
    </w:p>
    <w:p w14:paraId="6DB60381" w14:textId="77777777" w:rsidR="00D041EC" w:rsidRPr="00D041EC" w:rsidRDefault="00D041EC" w:rsidP="00D041EC">
      <w:pPr>
        <w:spacing w:after="120"/>
      </w:pPr>
      <w:r w:rsidRPr="00D041EC">
        <w:t>Among the recipients is Timothy Morris, an English instructor at Jones College and current Delta State doctoral student, who received a $1,000 graduate scholarship from MPE. A resident of Ellisville, Morris earned both his Bachelor of Arts and Master of Arts in English from William Carey University. A member of MPE since 2020, he is pursuing a Doctorate in Professional Studies with an emphasis in higher education at Delta State.</w:t>
      </w:r>
    </w:p>
    <w:p w14:paraId="7AB170C8" w14:textId="77777777" w:rsidR="00D041EC" w:rsidRPr="00D041EC" w:rsidRDefault="00D041EC" w:rsidP="00D041EC">
      <w:pPr>
        <w:spacing w:after="120"/>
      </w:pPr>
      <w:r w:rsidRPr="00D041EC">
        <w:t xml:space="preserve">Shana Bolden, a K-6 Academic Officer at </w:t>
      </w:r>
      <w:proofErr w:type="spellStart"/>
      <w:r w:rsidRPr="00D041EC">
        <w:t>McEvans</w:t>
      </w:r>
      <w:proofErr w:type="spellEnd"/>
      <w:r w:rsidRPr="00D041EC">
        <w:t xml:space="preserve"> Elementary School and a Delta State doctoral student, also received a $1,000 graduate scholarship from MPE. A resident of Cleveland, Bolden holds a Bachelor of Science and an Educational Specialist in Administration and Supervision from Delta State, along with a Master of Education from the University of Southern Mississippi. A member of MPE since 2024, she is currently pursuing a Doctorate in Educational Supervision and Administration at Delta State.</w:t>
      </w:r>
    </w:p>
    <w:p w14:paraId="0440B1B4" w14:textId="77777777" w:rsidR="00D041EC" w:rsidRPr="00D041EC" w:rsidRDefault="00D041EC" w:rsidP="00D041EC">
      <w:pPr>
        <w:spacing w:after="120"/>
      </w:pPr>
      <w:r w:rsidRPr="00D041EC">
        <w:t xml:space="preserve">In addition, Delta State student </w:t>
      </w:r>
      <w:proofErr w:type="spellStart"/>
      <w:r w:rsidRPr="00D041EC">
        <w:t>Maitlynn</w:t>
      </w:r>
      <w:proofErr w:type="spellEnd"/>
      <w:r w:rsidRPr="00D041EC">
        <w:t xml:space="preserve"> White has been named a 2026 recipient of the Linda Anglin Teacher Preparation Scholarship from MPE. White, an Education major from Brandon, received a $500 scholarship along with a complimentary MPE membership for her first year of teaching. A President’s List scholar, she has earned numerous honors including the Dr. Joe Garrison Excellence in Teacher Education Award, the Delta State Student Government Association Senator of the Year Award, and the Emerald Awards Outstanding New Member honor for her leadership and campus involvement.</w:t>
      </w:r>
    </w:p>
    <w:p w14:paraId="40EE0269" w14:textId="77777777" w:rsidR="00D041EC" w:rsidRPr="00D041EC" w:rsidRDefault="00D041EC" w:rsidP="00D041EC">
      <w:pPr>
        <w:spacing w:after="120"/>
      </w:pPr>
      <w:r w:rsidRPr="00D041EC">
        <w:t xml:space="preserve">Founded in 1979, Mississippi Professional Educators is the state’s largest professional organization for educators, serving approximately 12,000 teachers, administrators and support personnel across public and private institutions from pre-K through graduate education. The organization awards up to sixty $1,000 graduate scholarships annually to members pursuing </w:t>
      </w:r>
      <w:r w:rsidRPr="00D041EC">
        <w:lastRenderedPageBreak/>
        <w:t>advanced degrees in Mississippi and provides additional scholarship opportunities for aspiring educators at colleges and universities statewide.</w:t>
      </w:r>
    </w:p>
    <w:p w14:paraId="05DF3C95" w14:textId="32832F42" w:rsidR="00D041EC" w:rsidRDefault="00D041EC" w:rsidP="00D041EC">
      <w:pPr>
        <w:spacing w:after="120"/>
      </w:pPr>
      <w:r w:rsidRPr="00D041EC">
        <w:t xml:space="preserve">For more information about </w:t>
      </w:r>
      <w:r>
        <w:t xml:space="preserve">graduate programs at Delta State, visit </w:t>
      </w:r>
      <w:hyperlink r:id="rId6" w:history="1">
        <w:r w:rsidRPr="00A7078C">
          <w:rPr>
            <w:rStyle w:val="Hyperlink"/>
          </w:rPr>
          <w:t>deltastate.edu/academics/graduate-programs/</w:t>
        </w:r>
      </w:hyperlink>
      <w:r>
        <w:t xml:space="preserve">. For more information about </w:t>
      </w:r>
      <w:r w:rsidRPr="00D041EC">
        <w:t xml:space="preserve">MPE scholarships and member benefits, visit </w:t>
      </w:r>
      <w:hyperlink r:id="rId7" w:tgtFrame="_new" w:history="1">
        <w:r w:rsidRPr="00D041EC">
          <w:rPr>
            <w:rStyle w:val="Hyperlink"/>
          </w:rPr>
          <w:t>www.mpe.org</w:t>
        </w:r>
      </w:hyperlink>
      <w:r w:rsidRPr="00D041EC">
        <w:t>.</w:t>
      </w:r>
    </w:p>
    <w:p w14:paraId="61A0A81A" w14:textId="77777777" w:rsidR="00D041EC" w:rsidRPr="00D041EC" w:rsidRDefault="00D041EC" w:rsidP="00D041EC">
      <w:pPr>
        <w:spacing w:after="120"/>
      </w:pPr>
    </w:p>
    <w:p w14:paraId="20A059C3" w14:textId="6023C9B6" w:rsidR="00AB5BA2" w:rsidRDefault="00AB5BA2" w:rsidP="00D041EC">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36720"/>
    <w:rsid w:val="002E0C51"/>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0DAD"/>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041EC"/>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p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academics/graduate-program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3262</Characters>
  <Application>Microsoft Office Word</Application>
  <DocSecurity>0</DocSecurity>
  <Lines>116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2026-04-23T14:21:00Z</dcterms:created>
  <dcterms:modified xsi:type="dcterms:W3CDTF">2026-04-23T14:27:00Z</dcterms:modified>
</cp:coreProperties>
</file>