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EC8" w:rsidRPr="00C24EC8" w:rsidRDefault="00C24EC8" w:rsidP="00C24EC8">
      <w:pPr>
        <w:shd w:val="clear" w:color="auto" w:fill="FFFFFF"/>
        <w:spacing w:after="0" w:line="675" w:lineRule="atLeast"/>
        <w:outlineLvl w:val="0"/>
        <w:rPr>
          <w:rFonts w:ascii="Arial" w:eastAsia="Times New Roman" w:hAnsi="Arial" w:cs="Arial"/>
          <w:color w:val="333333"/>
          <w:kern w:val="36"/>
          <w:sz w:val="83"/>
          <w:szCs w:val="83"/>
        </w:rPr>
      </w:pPr>
      <w:r w:rsidRPr="00C24EC8">
        <w:rPr>
          <w:rFonts w:ascii="Arial" w:eastAsia="Times New Roman" w:hAnsi="Arial" w:cs="Arial"/>
          <w:color w:val="333333"/>
          <w:kern w:val="36"/>
          <w:sz w:val="83"/>
          <w:szCs w:val="83"/>
        </w:rPr>
        <w:t>UAE SWFs major players globally</w:t>
      </w:r>
    </w:p>
    <w:p w:rsidR="00C24EC8" w:rsidRPr="00C24EC8" w:rsidRDefault="00C24EC8" w:rsidP="00C24EC8">
      <w:pPr>
        <w:shd w:val="clear" w:color="auto" w:fill="FFFFFF"/>
        <w:spacing w:before="75" w:after="60" w:line="312" w:lineRule="atLeast"/>
        <w:rPr>
          <w:rFonts w:ascii="Arial" w:eastAsia="Times New Roman" w:hAnsi="Arial" w:cs="Arial"/>
          <w:color w:val="333333"/>
          <w:sz w:val="30"/>
          <w:szCs w:val="30"/>
        </w:rPr>
      </w:pPr>
      <w:r w:rsidRPr="00C24EC8">
        <w:rPr>
          <w:rFonts w:ascii="Arial" w:eastAsia="Times New Roman" w:hAnsi="Arial" w:cs="Arial"/>
          <w:color w:val="333333"/>
          <w:sz w:val="30"/>
          <w:szCs w:val="30"/>
        </w:rPr>
        <w:t>Decline of the euro in recent months likely to have impacted asset values</w:t>
      </w:r>
    </w:p>
    <w:p w:rsidR="00C24EC8" w:rsidRPr="00C24EC8" w:rsidRDefault="00C24EC8" w:rsidP="00C24EC8">
      <w:pPr>
        <w:shd w:val="clear" w:color="auto" w:fill="FFFFFF"/>
        <w:spacing w:after="0" w:line="240" w:lineRule="auto"/>
        <w:rPr>
          <w:rFonts w:ascii="Arial" w:eastAsia="Times New Roman" w:hAnsi="Arial" w:cs="Arial"/>
          <w:color w:val="333333"/>
          <w:sz w:val="18"/>
          <w:szCs w:val="18"/>
        </w:rPr>
      </w:pPr>
      <w:r w:rsidRPr="00C24EC8">
        <w:rPr>
          <w:rFonts w:ascii="Arial" w:eastAsia="Times New Roman" w:hAnsi="Arial" w:cs="Arial"/>
          <w:color w:val="848484"/>
          <w:sz w:val="18"/>
          <w:szCs w:val="18"/>
        </w:rPr>
        <w:t>Published: 15:12 June 14, 2015</w:t>
      </w:r>
      <w:r w:rsidRPr="00C24EC8">
        <w:rPr>
          <w:rFonts w:ascii="Arial" w:eastAsia="Times New Roman" w:hAnsi="Arial" w:cs="Arial"/>
          <w:noProof/>
          <w:color w:val="555555"/>
          <w:sz w:val="18"/>
          <w:szCs w:val="18"/>
        </w:rPr>
        <w:drawing>
          <wp:inline distT="0" distB="0" distL="0" distR="0">
            <wp:extent cx="1543050" cy="219075"/>
            <wp:effectExtent l="0" t="0" r="0" b="0"/>
            <wp:docPr id="1" name="Picture 1" descr="Gulf News">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f News">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3050" cy="219075"/>
                    </a:xfrm>
                    <a:prstGeom prst="rect">
                      <a:avLst/>
                    </a:prstGeom>
                    <a:noFill/>
                    <a:ln>
                      <a:noFill/>
                    </a:ln>
                  </pic:spPr>
                </pic:pic>
              </a:graphicData>
            </a:graphic>
          </wp:inline>
        </w:drawing>
      </w:r>
    </w:p>
    <w:p w:rsidR="00C24EC8" w:rsidRPr="00C24EC8" w:rsidRDefault="00C24EC8" w:rsidP="00C24EC8">
      <w:pPr>
        <w:shd w:val="clear" w:color="auto" w:fill="FFFFFF"/>
        <w:spacing w:after="75" w:line="240" w:lineRule="auto"/>
        <w:rPr>
          <w:rFonts w:ascii="Arial" w:eastAsia="Times New Roman" w:hAnsi="Arial" w:cs="Arial"/>
          <w:color w:val="333333"/>
          <w:sz w:val="18"/>
          <w:szCs w:val="18"/>
        </w:rPr>
      </w:pPr>
      <w:hyperlink r:id="rId6" w:history="1">
        <w:r w:rsidRPr="00C24EC8">
          <w:rPr>
            <w:rFonts w:ascii="Arial" w:eastAsia="Times New Roman" w:hAnsi="Arial" w:cs="Arial"/>
            <w:color w:val="555555"/>
            <w:sz w:val="18"/>
            <w:szCs w:val="18"/>
          </w:rPr>
          <w:t xml:space="preserve">By </w:t>
        </w:r>
        <w:proofErr w:type="spellStart"/>
        <w:r w:rsidRPr="00C24EC8">
          <w:rPr>
            <w:rFonts w:ascii="Arial" w:eastAsia="Times New Roman" w:hAnsi="Arial" w:cs="Arial"/>
            <w:color w:val="555555"/>
            <w:sz w:val="18"/>
            <w:szCs w:val="18"/>
          </w:rPr>
          <w:t>Babu</w:t>
        </w:r>
        <w:proofErr w:type="spellEnd"/>
        <w:r w:rsidRPr="00C24EC8">
          <w:rPr>
            <w:rFonts w:ascii="Arial" w:eastAsia="Times New Roman" w:hAnsi="Arial" w:cs="Arial"/>
            <w:color w:val="555555"/>
            <w:sz w:val="18"/>
            <w:szCs w:val="18"/>
          </w:rPr>
          <w:t xml:space="preserve"> </w:t>
        </w:r>
        <w:proofErr w:type="gramStart"/>
        <w:r w:rsidRPr="00C24EC8">
          <w:rPr>
            <w:rFonts w:ascii="Arial" w:eastAsia="Times New Roman" w:hAnsi="Arial" w:cs="Arial"/>
            <w:color w:val="555555"/>
            <w:sz w:val="18"/>
            <w:szCs w:val="18"/>
          </w:rPr>
          <w:t>Das</w:t>
        </w:r>
        <w:proofErr w:type="gramEnd"/>
        <w:r w:rsidRPr="00C24EC8">
          <w:rPr>
            <w:rFonts w:ascii="Arial" w:eastAsia="Times New Roman" w:hAnsi="Arial" w:cs="Arial"/>
            <w:color w:val="555555"/>
            <w:sz w:val="18"/>
            <w:szCs w:val="18"/>
          </w:rPr>
          <w:t xml:space="preserve"> Augustine, Banking Editor</w:t>
        </w:r>
      </w:hyperlink>
    </w:p>
    <w:p w:rsidR="00C24EC8" w:rsidRPr="00C24EC8" w:rsidRDefault="00C24EC8" w:rsidP="00C24EC8">
      <w:pPr>
        <w:shd w:val="clear" w:color="auto" w:fill="FFFFFF"/>
        <w:spacing w:after="300" w:line="270" w:lineRule="atLeast"/>
        <w:rPr>
          <w:rFonts w:ascii="Arial" w:eastAsia="Times New Roman" w:hAnsi="Arial" w:cs="Arial"/>
          <w:color w:val="333333"/>
          <w:sz w:val="20"/>
          <w:szCs w:val="20"/>
        </w:rPr>
      </w:pPr>
      <w:bookmarkStart w:id="0" w:name="_GoBack"/>
      <w:bookmarkEnd w:id="0"/>
      <w:r w:rsidRPr="00C24EC8">
        <w:rPr>
          <w:rFonts w:ascii="Arial" w:eastAsia="Times New Roman" w:hAnsi="Arial" w:cs="Arial"/>
          <w:color w:val="333333"/>
          <w:sz w:val="20"/>
          <w:szCs w:val="20"/>
        </w:rPr>
        <w:t>Dubai: According to the Sovereign Wealth Fund (SWF) Institute, GCC-based SWFs have a total of $2.6 trillion (Dh9.54 trillion) in assets — about 37 per cent of total SWF assets worldwide.</w:t>
      </w:r>
    </w:p>
    <w:p w:rsidR="00C24EC8" w:rsidRPr="00C24EC8" w:rsidRDefault="00C24EC8" w:rsidP="00C24EC8">
      <w:pPr>
        <w:shd w:val="clear" w:color="auto" w:fill="FFFFFF"/>
        <w:spacing w:after="300" w:line="270" w:lineRule="atLeast"/>
        <w:rPr>
          <w:rFonts w:ascii="Arial" w:eastAsia="Times New Roman" w:hAnsi="Arial" w:cs="Arial"/>
          <w:color w:val="333333"/>
          <w:sz w:val="20"/>
          <w:szCs w:val="20"/>
        </w:rPr>
      </w:pPr>
      <w:r w:rsidRPr="00C24EC8">
        <w:rPr>
          <w:rFonts w:ascii="Arial" w:eastAsia="Times New Roman" w:hAnsi="Arial" w:cs="Arial"/>
          <w:color w:val="333333"/>
          <w:sz w:val="20"/>
          <w:szCs w:val="20"/>
        </w:rPr>
        <w:t>Close to 80 per cent of SWF assets in GCC states are accounted for by three major players — the Abu Dhabi Investment Authority (</w:t>
      </w:r>
      <w:proofErr w:type="spellStart"/>
      <w:r w:rsidRPr="00C24EC8">
        <w:rPr>
          <w:rFonts w:ascii="Arial" w:eastAsia="Times New Roman" w:hAnsi="Arial" w:cs="Arial"/>
          <w:color w:val="333333"/>
          <w:sz w:val="20"/>
          <w:szCs w:val="20"/>
        </w:rPr>
        <w:t>Adia</w:t>
      </w:r>
      <w:proofErr w:type="spellEnd"/>
      <w:r w:rsidRPr="00C24EC8">
        <w:rPr>
          <w:rFonts w:ascii="Arial" w:eastAsia="Times New Roman" w:hAnsi="Arial" w:cs="Arial"/>
          <w:color w:val="333333"/>
          <w:sz w:val="20"/>
          <w:szCs w:val="20"/>
        </w:rPr>
        <w:t xml:space="preserve">) with $773 billion, foreign holdings at the Saudi Arabia Monetary Authority (SAMA) at $757 billion and the Kuwait Investment Authority with $548 billion. By assets, </w:t>
      </w:r>
      <w:proofErr w:type="spellStart"/>
      <w:r w:rsidRPr="00C24EC8">
        <w:rPr>
          <w:rFonts w:ascii="Arial" w:eastAsia="Times New Roman" w:hAnsi="Arial" w:cs="Arial"/>
          <w:color w:val="333333"/>
          <w:sz w:val="20"/>
          <w:szCs w:val="20"/>
        </w:rPr>
        <w:t>Adia</w:t>
      </w:r>
      <w:proofErr w:type="spellEnd"/>
      <w:r w:rsidRPr="00C24EC8">
        <w:rPr>
          <w:rFonts w:ascii="Arial" w:eastAsia="Times New Roman" w:hAnsi="Arial" w:cs="Arial"/>
          <w:color w:val="333333"/>
          <w:sz w:val="20"/>
          <w:szCs w:val="20"/>
        </w:rPr>
        <w:t xml:space="preserve"> and </w:t>
      </w:r>
      <w:proofErr w:type="spellStart"/>
      <w:r w:rsidRPr="00C24EC8">
        <w:rPr>
          <w:rFonts w:ascii="Arial" w:eastAsia="Times New Roman" w:hAnsi="Arial" w:cs="Arial"/>
          <w:color w:val="333333"/>
          <w:sz w:val="20"/>
          <w:szCs w:val="20"/>
        </w:rPr>
        <w:t>Sama</w:t>
      </w:r>
      <w:proofErr w:type="spellEnd"/>
      <w:r w:rsidRPr="00C24EC8">
        <w:rPr>
          <w:rFonts w:ascii="Arial" w:eastAsia="Times New Roman" w:hAnsi="Arial" w:cs="Arial"/>
          <w:color w:val="333333"/>
          <w:sz w:val="20"/>
          <w:szCs w:val="20"/>
        </w:rPr>
        <w:t xml:space="preserve"> are the second and third largest SWFs globally.</w:t>
      </w:r>
    </w:p>
    <w:p w:rsidR="00C24EC8" w:rsidRPr="00C24EC8" w:rsidRDefault="00C24EC8" w:rsidP="00C24EC8">
      <w:pPr>
        <w:shd w:val="clear" w:color="auto" w:fill="FFFFFF"/>
        <w:spacing w:after="300" w:line="270" w:lineRule="atLeast"/>
        <w:rPr>
          <w:rFonts w:ascii="Arial" w:eastAsia="Times New Roman" w:hAnsi="Arial" w:cs="Arial"/>
          <w:color w:val="333333"/>
          <w:sz w:val="20"/>
          <w:szCs w:val="20"/>
        </w:rPr>
      </w:pPr>
      <w:r w:rsidRPr="00C24EC8">
        <w:rPr>
          <w:rFonts w:ascii="Arial" w:eastAsia="Times New Roman" w:hAnsi="Arial" w:cs="Arial"/>
          <w:color w:val="333333"/>
          <w:sz w:val="20"/>
          <w:szCs w:val="20"/>
        </w:rPr>
        <w:t xml:space="preserve">The UAE has seven large SWFs in total: four in Abu Dhabi, one each in Dubai and </w:t>
      </w:r>
      <w:proofErr w:type="spellStart"/>
      <w:r w:rsidRPr="00C24EC8">
        <w:rPr>
          <w:rFonts w:ascii="Arial" w:eastAsia="Times New Roman" w:hAnsi="Arial" w:cs="Arial"/>
          <w:color w:val="333333"/>
          <w:sz w:val="20"/>
          <w:szCs w:val="20"/>
        </w:rPr>
        <w:t>Ras</w:t>
      </w:r>
      <w:proofErr w:type="spellEnd"/>
      <w:r w:rsidRPr="00C24EC8">
        <w:rPr>
          <w:rFonts w:ascii="Arial" w:eastAsia="Times New Roman" w:hAnsi="Arial" w:cs="Arial"/>
          <w:color w:val="333333"/>
          <w:sz w:val="20"/>
          <w:szCs w:val="20"/>
        </w:rPr>
        <w:t xml:space="preserve"> Al </w:t>
      </w:r>
      <w:proofErr w:type="spellStart"/>
      <w:r w:rsidRPr="00C24EC8">
        <w:rPr>
          <w:rFonts w:ascii="Arial" w:eastAsia="Times New Roman" w:hAnsi="Arial" w:cs="Arial"/>
          <w:color w:val="333333"/>
          <w:sz w:val="20"/>
          <w:szCs w:val="20"/>
        </w:rPr>
        <w:t>Khaimah</w:t>
      </w:r>
      <w:proofErr w:type="spellEnd"/>
      <w:r w:rsidRPr="00C24EC8">
        <w:rPr>
          <w:rFonts w:ascii="Arial" w:eastAsia="Times New Roman" w:hAnsi="Arial" w:cs="Arial"/>
          <w:color w:val="333333"/>
          <w:sz w:val="20"/>
          <w:szCs w:val="20"/>
        </w:rPr>
        <w:t>, while the last is a federal fund. By number of funds, this is more than any other country in the GCC and globally, second only to the US which has several smaller-sized state-level SWFs.</w:t>
      </w:r>
    </w:p>
    <w:p w:rsidR="00C24EC8" w:rsidRPr="00C24EC8" w:rsidRDefault="00C24EC8" w:rsidP="00C24EC8">
      <w:pPr>
        <w:shd w:val="clear" w:color="auto" w:fill="FFFFFF"/>
        <w:spacing w:after="300" w:line="270" w:lineRule="atLeast"/>
        <w:rPr>
          <w:rFonts w:ascii="Arial" w:eastAsia="Times New Roman" w:hAnsi="Arial" w:cs="Arial"/>
          <w:color w:val="333333"/>
          <w:sz w:val="20"/>
          <w:szCs w:val="20"/>
        </w:rPr>
      </w:pPr>
      <w:r w:rsidRPr="00C24EC8">
        <w:rPr>
          <w:rFonts w:ascii="Arial" w:eastAsia="Times New Roman" w:hAnsi="Arial" w:cs="Arial"/>
          <w:color w:val="333333"/>
          <w:sz w:val="20"/>
          <w:szCs w:val="20"/>
        </w:rPr>
        <w:t xml:space="preserve">In total, the UAE’s SWFs have assets of just over $1 trillion, the bulk of which are accounted for by the ADIA ($773 billion). The remaining Abu Dhabi SWFs are the Abu Dhabi Investment Council ($90 billion), the International Petroleum Investment Company ($68 billion) and </w:t>
      </w:r>
      <w:proofErr w:type="spellStart"/>
      <w:r w:rsidRPr="00C24EC8">
        <w:rPr>
          <w:rFonts w:ascii="Arial" w:eastAsia="Times New Roman" w:hAnsi="Arial" w:cs="Arial"/>
          <w:color w:val="333333"/>
          <w:sz w:val="20"/>
          <w:szCs w:val="20"/>
        </w:rPr>
        <w:t>Mubadala</w:t>
      </w:r>
      <w:proofErr w:type="spellEnd"/>
      <w:r w:rsidRPr="00C24EC8">
        <w:rPr>
          <w:rFonts w:ascii="Arial" w:eastAsia="Times New Roman" w:hAnsi="Arial" w:cs="Arial"/>
          <w:color w:val="333333"/>
          <w:sz w:val="20"/>
          <w:szCs w:val="20"/>
        </w:rPr>
        <w:t xml:space="preserve"> ($61 billion).</w:t>
      </w:r>
    </w:p>
    <w:p w:rsidR="00C24EC8" w:rsidRPr="00C24EC8" w:rsidRDefault="00C24EC8" w:rsidP="00C24EC8">
      <w:pPr>
        <w:shd w:val="clear" w:color="auto" w:fill="FFFFFF"/>
        <w:spacing w:after="300" w:line="270" w:lineRule="atLeast"/>
        <w:rPr>
          <w:rFonts w:ascii="Arial" w:eastAsia="Times New Roman" w:hAnsi="Arial" w:cs="Arial"/>
          <w:color w:val="333333"/>
          <w:sz w:val="20"/>
          <w:szCs w:val="20"/>
        </w:rPr>
      </w:pPr>
      <w:r w:rsidRPr="00C24EC8">
        <w:rPr>
          <w:rFonts w:ascii="Arial" w:eastAsia="Times New Roman" w:hAnsi="Arial" w:cs="Arial"/>
          <w:color w:val="333333"/>
          <w:sz w:val="20"/>
          <w:szCs w:val="20"/>
        </w:rPr>
        <w:t xml:space="preserve">The assets of the Investment Corporation of Dubai amount to $70 billion while those of the federal Emirates Investment Authority stand at $15 billion. The </w:t>
      </w:r>
      <w:proofErr w:type="spellStart"/>
      <w:r w:rsidRPr="00C24EC8">
        <w:rPr>
          <w:rFonts w:ascii="Arial" w:eastAsia="Times New Roman" w:hAnsi="Arial" w:cs="Arial"/>
          <w:color w:val="333333"/>
          <w:sz w:val="20"/>
          <w:szCs w:val="20"/>
        </w:rPr>
        <w:t>Ras</w:t>
      </w:r>
      <w:proofErr w:type="spellEnd"/>
      <w:r w:rsidRPr="00C24EC8">
        <w:rPr>
          <w:rFonts w:ascii="Arial" w:eastAsia="Times New Roman" w:hAnsi="Arial" w:cs="Arial"/>
          <w:color w:val="333333"/>
          <w:sz w:val="20"/>
          <w:szCs w:val="20"/>
        </w:rPr>
        <w:t xml:space="preserve"> Al </w:t>
      </w:r>
      <w:proofErr w:type="spellStart"/>
      <w:r w:rsidRPr="00C24EC8">
        <w:rPr>
          <w:rFonts w:ascii="Arial" w:eastAsia="Times New Roman" w:hAnsi="Arial" w:cs="Arial"/>
          <w:color w:val="333333"/>
          <w:sz w:val="20"/>
          <w:szCs w:val="20"/>
        </w:rPr>
        <w:t>Khaimah</w:t>
      </w:r>
      <w:proofErr w:type="spellEnd"/>
      <w:r w:rsidRPr="00C24EC8">
        <w:rPr>
          <w:rFonts w:ascii="Arial" w:eastAsia="Times New Roman" w:hAnsi="Arial" w:cs="Arial"/>
          <w:color w:val="333333"/>
          <w:sz w:val="20"/>
          <w:szCs w:val="20"/>
        </w:rPr>
        <w:t xml:space="preserve"> Investment Authority has $1 billion in assets.</w:t>
      </w:r>
    </w:p>
    <w:p w:rsidR="00C24EC8" w:rsidRPr="00C24EC8" w:rsidRDefault="00C24EC8" w:rsidP="00C24EC8">
      <w:pPr>
        <w:shd w:val="clear" w:color="auto" w:fill="FFFFFF"/>
        <w:spacing w:after="300" w:line="270" w:lineRule="atLeast"/>
        <w:rPr>
          <w:rFonts w:ascii="Arial" w:eastAsia="Times New Roman" w:hAnsi="Arial" w:cs="Arial"/>
          <w:color w:val="333333"/>
          <w:sz w:val="20"/>
          <w:szCs w:val="20"/>
        </w:rPr>
      </w:pPr>
      <w:r w:rsidRPr="00C24EC8">
        <w:rPr>
          <w:rFonts w:ascii="Arial" w:eastAsia="Times New Roman" w:hAnsi="Arial" w:cs="Arial"/>
          <w:color w:val="333333"/>
          <w:sz w:val="20"/>
          <w:szCs w:val="20"/>
        </w:rPr>
        <w:t>Regional SWFs are estimated to have substantial exposure to euro-denominated financial assets. Thus, the continued depreciation of the euro will certainly weigh on the value of their investments.</w:t>
      </w:r>
    </w:p>
    <w:p w:rsidR="00C24EC8" w:rsidRPr="00C24EC8" w:rsidRDefault="00C24EC8" w:rsidP="00C24EC8">
      <w:pPr>
        <w:shd w:val="clear" w:color="auto" w:fill="FFFFFF"/>
        <w:spacing w:after="300" w:line="270" w:lineRule="atLeast"/>
        <w:rPr>
          <w:rFonts w:ascii="Arial" w:eastAsia="Times New Roman" w:hAnsi="Arial" w:cs="Arial"/>
          <w:color w:val="333333"/>
          <w:sz w:val="20"/>
          <w:szCs w:val="20"/>
        </w:rPr>
      </w:pPr>
      <w:r w:rsidRPr="00C24EC8">
        <w:rPr>
          <w:rFonts w:ascii="Arial" w:eastAsia="Times New Roman" w:hAnsi="Arial" w:cs="Arial"/>
          <w:color w:val="333333"/>
          <w:sz w:val="20"/>
          <w:szCs w:val="20"/>
        </w:rPr>
        <w:t xml:space="preserve">Gulf SWFs have a conservative investment approach and </w:t>
      </w:r>
      <w:proofErr w:type="spellStart"/>
      <w:r w:rsidRPr="00C24EC8">
        <w:rPr>
          <w:rFonts w:ascii="Arial" w:eastAsia="Times New Roman" w:hAnsi="Arial" w:cs="Arial"/>
          <w:color w:val="333333"/>
          <w:sz w:val="20"/>
          <w:szCs w:val="20"/>
        </w:rPr>
        <w:t>favour</w:t>
      </w:r>
      <w:proofErr w:type="spellEnd"/>
      <w:r w:rsidRPr="00C24EC8">
        <w:rPr>
          <w:rFonts w:ascii="Arial" w:eastAsia="Times New Roman" w:hAnsi="Arial" w:cs="Arial"/>
          <w:color w:val="333333"/>
          <w:sz w:val="20"/>
          <w:szCs w:val="20"/>
        </w:rPr>
        <w:t xml:space="preserve"> exposure to mature markets. Emerging market exposure has historically been taken more selectively, though in recent years SWFs have increased their focus here both in response to the financial crisis in North America and Europe and in an effort to capture higher yields.</w:t>
      </w:r>
    </w:p>
    <w:p w:rsidR="006A7A13" w:rsidRDefault="006A7A13"/>
    <w:sectPr w:rsidR="006A7A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EC8"/>
    <w:rsid w:val="006A7A13"/>
    <w:rsid w:val="00C24E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BC1889-D31D-43EB-80E2-358666395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link w:val="Heading1Char"/>
    <w:uiPriority w:val="9"/>
    <w:qFormat/>
    <w:rsid w:val="00C24E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C24E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EC8"/>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C24EC8"/>
    <w:rPr>
      <w:rFonts w:ascii="Times New Roman" w:eastAsia="Times New Roman" w:hAnsi="Times New Roman" w:cs="Times New Roman"/>
      <w:b/>
      <w:bCs/>
      <w:sz w:val="27"/>
      <w:szCs w:val="27"/>
    </w:rPr>
  </w:style>
  <w:style w:type="paragraph" w:customStyle="1" w:styleId="caption">
    <w:name w:val="caption"/>
    <w:basedOn w:val="Normal"/>
    <w:rsid w:val="00C24E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me">
    <w:name w:val="time"/>
    <w:basedOn w:val="DefaultParagraphFont"/>
    <w:rsid w:val="00C24EC8"/>
  </w:style>
  <w:style w:type="character" w:styleId="Hyperlink">
    <w:name w:val="Hyperlink"/>
    <w:basedOn w:val="DefaultParagraphFont"/>
    <w:uiPriority w:val="99"/>
    <w:semiHidden/>
    <w:unhideWhenUsed/>
    <w:rsid w:val="00C24EC8"/>
    <w:rPr>
      <w:color w:val="0000FF"/>
      <w:u w:val="single"/>
    </w:rPr>
  </w:style>
  <w:style w:type="paragraph" w:styleId="NormalWeb">
    <w:name w:val="Normal (Web)"/>
    <w:basedOn w:val="Normal"/>
    <w:uiPriority w:val="99"/>
    <w:semiHidden/>
    <w:unhideWhenUsed/>
    <w:rsid w:val="00C24E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4283738">
      <w:bodyDiv w:val="1"/>
      <w:marLeft w:val="0"/>
      <w:marRight w:val="0"/>
      <w:marTop w:val="0"/>
      <w:marBottom w:val="0"/>
      <w:divBdr>
        <w:top w:val="none" w:sz="0" w:space="0" w:color="auto"/>
        <w:left w:val="none" w:sz="0" w:space="0" w:color="auto"/>
        <w:bottom w:val="none" w:sz="0" w:space="0" w:color="auto"/>
        <w:right w:val="none" w:sz="0" w:space="0" w:color="auto"/>
      </w:divBdr>
      <w:divsChild>
        <w:div w:id="346295881">
          <w:marLeft w:val="0"/>
          <w:marRight w:val="0"/>
          <w:marTop w:val="0"/>
          <w:marBottom w:val="75"/>
          <w:divBdr>
            <w:top w:val="none" w:sz="0" w:space="0" w:color="auto"/>
            <w:left w:val="none" w:sz="0" w:space="0" w:color="auto"/>
            <w:bottom w:val="none" w:sz="0" w:space="0" w:color="auto"/>
            <w:right w:val="none" w:sz="0" w:space="0" w:color="auto"/>
          </w:divBdr>
          <w:divsChild>
            <w:div w:id="1189486845">
              <w:marLeft w:val="0"/>
              <w:marRight w:val="0"/>
              <w:marTop w:val="0"/>
              <w:marBottom w:val="0"/>
              <w:divBdr>
                <w:top w:val="none" w:sz="0" w:space="0" w:color="auto"/>
                <w:left w:val="none" w:sz="0" w:space="0" w:color="auto"/>
                <w:bottom w:val="none" w:sz="0" w:space="0" w:color="auto"/>
                <w:right w:val="none" w:sz="0" w:space="0" w:color="auto"/>
              </w:divBdr>
            </w:div>
          </w:divsChild>
        </w:div>
        <w:div w:id="1439178701">
          <w:marLeft w:val="0"/>
          <w:marRight w:val="0"/>
          <w:marTop w:val="0"/>
          <w:marBottom w:val="225"/>
          <w:divBdr>
            <w:top w:val="single" w:sz="6" w:space="8" w:color="E7E7E7"/>
            <w:left w:val="none" w:sz="0" w:space="0" w:color="auto"/>
            <w:bottom w:val="none" w:sz="0" w:space="0" w:color="auto"/>
            <w:right w:val="none" w:sz="0" w:space="0" w:color="auto"/>
          </w:divBdr>
          <w:divsChild>
            <w:div w:id="290986842">
              <w:marLeft w:val="0"/>
              <w:marRight w:val="-375"/>
              <w:marTop w:val="0"/>
              <w:marBottom w:val="0"/>
              <w:divBdr>
                <w:top w:val="none" w:sz="0" w:space="0" w:color="auto"/>
                <w:left w:val="none" w:sz="0" w:space="0" w:color="auto"/>
                <w:bottom w:val="none" w:sz="0" w:space="0" w:color="auto"/>
                <w:right w:val="none" w:sz="0" w:space="0" w:color="auto"/>
              </w:divBdr>
            </w:div>
          </w:divsChild>
        </w:div>
        <w:div w:id="488398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ulfnews.com/writers/babu-das-augustine" TargetMode="External"/><Relationship Id="rId5" Type="http://schemas.openxmlformats.org/officeDocument/2006/relationships/image" Target="media/image1.png"/><Relationship Id="rId4" Type="http://schemas.openxmlformats.org/officeDocument/2006/relationships/hyperlink" Target="http://gulfnew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roaa ibrahim</dc:creator>
  <cp:keywords/>
  <dc:description/>
  <cp:lastModifiedBy>roaa ibrahim</cp:lastModifiedBy>
  <cp:revision>1</cp:revision>
  <dcterms:created xsi:type="dcterms:W3CDTF">2016-03-20T19:38:00Z</dcterms:created>
  <dcterms:modified xsi:type="dcterms:W3CDTF">2016-03-20T19:39:00Z</dcterms:modified>
</cp:coreProperties>
</file>