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5D9" w:rsidRPr="004165D9" w:rsidRDefault="004165D9" w:rsidP="004165D9">
      <w:pPr>
        <w:shd w:val="clear" w:color="auto" w:fill="FFFFFF"/>
        <w:spacing w:after="150" w:line="240" w:lineRule="auto"/>
        <w:outlineLvl w:val="0"/>
        <w:rPr>
          <w:rFonts w:ascii="Times New Roman" w:eastAsia="Times New Roman" w:hAnsi="Times New Roman" w:cs="Times New Roman"/>
          <w:b/>
          <w:bCs/>
          <w:color w:val="002F60"/>
          <w:kern w:val="36"/>
          <w:sz w:val="48"/>
          <w:szCs w:val="48"/>
        </w:rPr>
      </w:pPr>
      <w:r w:rsidRPr="004165D9">
        <w:rPr>
          <w:rFonts w:ascii="Times New Roman" w:eastAsia="Times New Roman" w:hAnsi="Times New Roman" w:cs="Times New Roman"/>
          <w:b/>
          <w:bCs/>
          <w:color w:val="002F60"/>
          <w:kern w:val="36"/>
          <w:sz w:val="48"/>
          <w:szCs w:val="48"/>
        </w:rPr>
        <w:t xml:space="preserve">BP extends scope of Oman’s </w:t>
      </w:r>
      <w:proofErr w:type="spellStart"/>
      <w:r w:rsidRPr="004165D9">
        <w:rPr>
          <w:rFonts w:ascii="Times New Roman" w:eastAsia="Times New Roman" w:hAnsi="Times New Roman" w:cs="Times New Roman"/>
          <w:b/>
          <w:bCs/>
          <w:color w:val="002F60"/>
          <w:kern w:val="36"/>
          <w:sz w:val="48"/>
          <w:szCs w:val="48"/>
        </w:rPr>
        <w:t>Khazzan</w:t>
      </w:r>
      <w:proofErr w:type="spellEnd"/>
      <w:r w:rsidRPr="004165D9">
        <w:rPr>
          <w:rFonts w:ascii="Times New Roman" w:eastAsia="Times New Roman" w:hAnsi="Times New Roman" w:cs="Times New Roman"/>
          <w:b/>
          <w:bCs/>
          <w:color w:val="002F60"/>
          <w:kern w:val="36"/>
          <w:sz w:val="48"/>
          <w:szCs w:val="48"/>
        </w:rPr>
        <w:t xml:space="preserve"> gas development with new agreement</w:t>
      </w:r>
    </w:p>
    <w:p w:rsidR="004165D9" w:rsidRPr="004165D9" w:rsidRDefault="004165D9" w:rsidP="004165D9">
      <w:pPr>
        <w:shd w:val="clear" w:color="auto" w:fill="FFFFFF"/>
        <w:spacing w:after="0" w:line="300" w:lineRule="atLeast"/>
        <w:rPr>
          <w:rFonts w:ascii="Arial" w:eastAsia="Times New Roman" w:hAnsi="Arial" w:cs="Arial"/>
          <w:color w:val="333333"/>
          <w:sz w:val="18"/>
          <w:szCs w:val="18"/>
        </w:rPr>
      </w:pPr>
      <w:r w:rsidRPr="004165D9">
        <w:rPr>
          <w:rFonts w:ascii="Arial" w:eastAsia="Times New Roman" w:hAnsi="Arial" w:cs="Arial"/>
          <w:b/>
          <w:bCs/>
          <w:caps/>
          <w:color w:val="333333"/>
          <w:sz w:val="18"/>
          <w:szCs w:val="18"/>
        </w:rPr>
        <w:t>2/14/2016</w:t>
      </w:r>
    </w:p>
    <w:p w:rsidR="004165D9" w:rsidRPr="004165D9" w:rsidRDefault="004165D9" w:rsidP="004165D9">
      <w:pPr>
        <w:shd w:val="clear" w:color="auto" w:fill="FFFFFF"/>
        <w:spacing w:after="100" w:afterAutospacing="1" w:line="300" w:lineRule="atLeast"/>
        <w:rPr>
          <w:rFonts w:ascii="Arial" w:eastAsia="Times New Roman" w:hAnsi="Arial" w:cs="Arial"/>
          <w:color w:val="333333"/>
          <w:sz w:val="21"/>
          <w:szCs w:val="21"/>
        </w:rPr>
      </w:pPr>
      <w:r w:rsidRPr="004165D9">
        <w:rPr>
          <w:rFonts w:ascii="Arial" w:eastAsia="Times New Roman" w:hAnsi="Arial" w:cs="Arial"/>
          <w:color w:val="333333"/>
          <w:sz w:val="21"/>
          <w:szCs w:val="21"/>
        </w:rPr>
        <w:t>MUSCAT, Oman -- BP and Oman Oil have signed a heads of agreement with the government of Oman committing to amend the Oman Block 61 exploration and </w:t>
      </w:r>
      <w:hyperlink r:id="rId4" w:history="1">
        <w:r w:rsidRPr="004165D9">
          <w:rPr>
            <w:rFonts w:ascii="Arial" w:eastAsia="Times New Roman" w:hAnsi="Arial" w:cs="Arial"/>
            <w:b/>
            <w:bCs/>
            <w:color w:val="F26322"/>
            <w:sz w:val="21"/>
            <w:szCs w:val="21"/>
            <w:u w:val="single"/>
          </w:rPr>
          <w:t>production</w:t>
        </w:r>
      </w:hyperlink>
      <w:r w:rsidRPr="004165D9">
        <w:rPr>
          <w:rFonts w:ascii="Arial" w:eastAsia="Times New Roman" w:hAnsi="Arial" w:cs="Arial"/>
          <w:color w:val="333333"/>
          <w:sz w:val="21"/>
          <w:szCs w:val="21"/>
        </w:rPr>
        <w:t xml:space="preserve"> sharing agreement (EPSA), extending the license area of the block and enabling a further development of the major </w:t>
      </w:r>
      <w:proofErr w:type="spellStart"/>
      <w:r w:rsidRPr="004165D9">
        <w:rPr>
          <w:rFonts w:ascii="Arial" w:eastAsia="Times New Roman" w:hAnsi="Arial" w:cs="Arial"/>
          <w:color w:val="333333"/>
          <w:sz w:val="21"/>
          <w:szCs w:val="21"/>
        </w:rPr>
        <w:t>Khazzan</w:t>
      </w:r>
      <w:proofErr w:type="spellEnd"/>
      <w:r w:rsidRPr="004165D9">
        <w:rPr>
          <w:rFonts w:ascii="Arial" w:eastAsia="Times New Roman" w:hAnsi="Arial" w:cs="Arial"/>
          <w:color w:val="333333"/>
          <w:sz w:val="21"/>
          <w:szCs w:val="21"/>
        </w:rPr>
        <w:t xml:space="preserve"> tight gas field. BP is the operator of Block 61 with a 60% interest, and Oman Oil holds the other 40%.</w:t>
      </w:r>
      <w:bookmarkStart w:id="0" w:name="_GoBack"/>
      <w:bookmarkEnd w:id="0"/>
      <w:r w:rsidRPr="004165D9">
        <w:rPr>
          <w:rFonts w:ascii="Arial" w:eastAsia="Times New Roman" w:hAnsi="Arial" w:cs="Arial"/>
          <w:color w:val="333333"/>
          <w:sz w:val="21"/>
          <w:szCs w:val="21"/>
        </w:rPr>
        <w:br/>
      </w:r>
      <w:r w:rsidRPr="004165D9">
        <w:rPr>
          <w:rFonts w:ascii="Arial" w:eastAsia="Times New Roman" w:hAnsi="Arial" w:cs="Arial"/>
          <w:color w:val="333333"/>
          <w:sz w:val="21"/>
          <w:szCs w:val="21"/>
        </w:rPr>
        <w:br/>
        <w:t>Under the amended EPSA, the extension will add a further 1,000-plus km</w:t>
      </w:r>
      <w:r w:rsidRPr="004165D9">
        <w:rPr>
          <w:rFonts w:ascii="Arial" w:eastAsia="Times New Roman" w:hAnsi="Arial" w:cs="Arial"/>
          <w:color w:val="333333"/>
          <w:sz w:val="16"/>
          <w:szCs w:val="16"/>
          <w:vertAlign w:val="superscript"/>
        </w:rPr>
        <w:t>2</w:t>
      </w:r>
      <w:r w:rsidRPr="004165D9">
        <w:rPr>
          <w:rFonts w:ascii="Arial" w:eastAsia="Times New Roman" w:hAnsi="Arial" w:cs="Arial"/>
          <w:color w:val="333333"/>
          <w:sz w:val="21"/>
          <w:szCs w:val="21"/>
        </w:rPr>
        <w:t> to the south and west of the original 2,700 km</w:t>
      </w:r>
      <w:r w:rsidRPr="004165D9">
        <w:rPr>
          <w:rFonts w:ascii="Arial" w:eastAsia="Times New Roman" w:hAnsi="Arial" w:cs="Arial"/>
          <w:color w:val="333333"/>
          <w:sz w:val="16"/>
          <w:szCs w:val="16"/>
          <w:vertAlign w:val="superscript"/>
        </w:rPr>
        <w:t>2</w:t>
      </w:r>
      <w:r w:rsidRPr="004165D9">
        <w:rPr>
          <w:rFonts w:ascii="Arial" w:eastAsia="Times New Roman" w:hAnsi="Arial" w:cs="Arial"/>
          <w:color w:val="333333"/>
          <w:sz w:val="21"/>
          <w:szCs w:val="21"/>
        </w:rPr>
        <w:t>Block 61. The extension will allow a second phase of development, accessing additional resources in the area that have been identified by </w:t>
      </w:r>
      <w:hyperlink r:id="rId5" w:history="1">
        <w:r w:rsidRPr="004165D9">
          <w:rPr>
            <w:rFonts w:ascii="Arial" w:eastAsia="Times New Roman" w:hAnsi="Arial" w:cs="Arial"/>
            <w:b/>
            <w:bCs/>
            <w:color w:val="F26322"/>
            <w:sz w:val="21"/>
            <w:szCs w:val="21"/>
            <w:u w:val="single"/>
          </w:rPr>
          <w:t>drilling</w:t>
        </w:r>
      </w:hyperlink>
      <w:r w:rsidRPr="004165D9">
        <w:rPr>
          <w:rFonts w:ascii="Arial" w:eastAsia="Times New Roman" w:hAnsi="Arial" w:cs="Arial"/>
          <w:color w:val="333333"/>
          <w:sz w:val="21"/>
          <w:szCs w:val="21"/>
        </w:rPr>
        <w:t> activity within the original block. Development of this additional resource is subject to final approval of the government of Oman and of BP; both expected in 2017.</w:t>
      </w:r>
      <w:r w:rsidRPr="004165D9">
        <w:rPr>
          <w:rFonts w:ascii="Arial" w:eastAsia="Times New Roman" w:hAnsi="Arial" w:cs="Arial"/>
          <w:color w:val="333333"/>
          <w:sz w:val="21"/>
          <w:szCs w:val="21"/>
        </w:rPr>
        <w:br/>
      </w:r>
      <w:r w:rsidRPr="004165D9">
        <w:rPr>
          <w:rFonts w:ascii="Arial" w:eastAsia="Times New Roman" w:hAnsi="Arial" w:cs="Arial"/>
          <w:color w:val="333333"/>
          <w:sz w:val="21"/>
          <w:szCs w:val="21"/>
        </w:rPr>
        <w:br/>
        <w:t xml:space="preserve">The agreement was signed in Muscat by His Excellency Dr. Mohammed Al </w:t>
      </w:r>
      <w:proofErr w:type="spellStart"/>
      <w:r w:rsidRPr="004165D9">
        <w:rPr>
          <w:rFonts w:ascii="Arial" w:eastAsia="Times New Roman" w:hAnsi="Arial" w:cs="Arial"/>
          <w:color w:val="333333"/>
          <w:sz w:val="21"/>
          <w:szCs w:val="21"/>
        </w:rPr>
        <w:t>Rumhy</w:t>
      </w:r>
      <w:proofErr w:type="spellEnd"/>
      <w:r w:rsidRPr="004165D9">
        <w:rPr>
          <w:rFonts w:ascii="Arial" w:eastAsia="Times New Roman" w:hAnsi="Arial" w:cs="Arial"/>
          <w:color w:val="333333"/>
          <w:sz w:val="21"/>
          <w:szCs w:val="21"/>
        </w:rPr>
        <w:t>, minister of oil and gas of the Sultanate of Oman, Bob Dudley, BP Group chief executive, and John Malcolm, executive managing director of Oman Oil E&amp;P. </w:t>
      </w:r>
      <w:r w:rsidRPr="004165D9">
        <w:rPr>
          <w:rFonts w:ascii="Arial" w:eastAsia="Times New Roman" w:hAnsi="Arial" w:cs="Arial"/>
          <w:color w:val="333333"/>
          <w:sz w:val="21"/>
          <w:szCs w:val="21"/>
        </w:rPr>
        <w:br/>
      </w:r>
      <w:r w:rsidRPr="004165D9">
        <w:rPr>
          <w:rFonts w:ascii="Arial" w:eastAsia="Times New Roman" w:hAnsi="Arial" w:cs="Arial"/>
          <w:color w:val="333333"/>
          <w:sz w:val="21"/>
          <w:szCs w:val="21"/>
        </w:rPr>
        <w:br/>
        <w:t>“</w:t>
      </w:r>
      <w:proofErr w:type="spellStart"/>
      <w:r w:rsidRPr="004165D9">
        <w:rPr>
          <w:rFonts w:ascii="Arial" w:eastAsia="Times New Roman" w:hAnsi="Arial" w:cs="Arial"/>
          <w:color w:val="333333"/>
          <w:sz w:val="21"/>
          <w:szCs w:val="21"/>
        </w:rPr>
        <w:t>Khazzan</w:t>
      </w:r>
      <w:proofErr w:type="spellEnd"/>
      <w:r w:rsidRPr="004165D9">
        <w:rPr>
          <w:rFonts w:ascii="Arial" w:eastAsia="Times New Roman" w:hAnsi="Arial" w:cs="Arial"/>
          <w:color w:val="333333"/>
          <w:sz w:val="21"/>
          <w:szCs w:val="21"/>
        </w:rPr>
        <w:t xml:space="preserve"> is a major resource with the potential to produce gas for Oman for decades. This expansion of its development will build on the success we are already seeing in our work on the first phase, working closely with our Omani partners and applying BP’s leading </w:t>
      </w:r>
      <w:hyperlink r:id="rId6" w:history="1">
        <w:r w:rsidRPr="004165D9">
          <w:rPr>
            <w:rFonts w:ascii="Arial" w:eastAsia="Times New Roman" w:hAnsi="Arial" w:cs="Arial"/>
            <w:b/>
            <w:bCs/>
            <w:color w:val="F26322"/>
            <w:sz w:val="21"/>
            <w:szCs w:val="21"/>
            <w:u w:val="single"/>
          </w:rPr>
          <w:t>technology</w:t>
        </w:r>
      </w:hyperlink>
      <w:r w:rsidRPr="004165D9">
        <w:rPr>
          <w:rFonts w:ascii="Arial" w:eastAsia="Times New Roman" w:hAnsi="Arial" w:cs="Arial"/>
          <w:color w:val="333333"/>
          <w:sz w:val="21"/>
          <w:szCs w:val="21"/>
        </w:rPr>
        <w:t> and extensive tight gas experience,” Dudley said.</w:t>
      </w:r>
      <w:r w:rsidRPr="004165D9">
        <w:rPr>
          <w:rFonts w:ascii="Arial" w:eastAsia="Times New Roman" w:hAnsi="Arial" w:cs="Arial"/>
          <w:color w:val="333333"/>
          <w:sz w:val="21"/>
          <w:szCs w:val="21"/>
        </w:rPr>
        <w:br/>
      </w:r>
      <w:r w:rsidRPr="004165D9">
        <w:rPr>
          <w:rFonts w:ascii="Arial" w:eastAsia="Times New Roman" w:hAnsi="Arial" w:cs="Arial"/>
          <w:color w:val="333333"/>
          <w:sz w:val="21"/>
          <w:szCs w:val="21"/>
        </w:rPr>
        <w:br/>
        <w:t xml:space="preserve">The </w:t>
      </w:r>
      <w:proofErr w:type="spellStart"/>
      <w:r w:rsidRPr="004165D9">
        <w:rPr>
          <w:rFonts w:ascii="Arial" w:eastAsia="Times New Roman" w:hAnsi="Arial" w:cs="Arial"/>
          <w:color w:val="333333"/>
          <w:sz w:val="21"/>
          <w:szCs w:val="21"/>
        </w:rPr>
        <w:t>Khazzan</w:t>
      </w:r>
      <w:proofErr w:type="spellEnd"/>
      <w:r w:rsidRPr="004165D9">
        <w:rPr>
          <w:rFonts w:ascii="Arial" w:eastAsia="Times New Roman" w:hAnsi="Arial" w:cs="Arial"/>
          <w:color w:val="333333"/>
          <w:sz w:val="21"/>
          <w:szCs w:val="21"/>
        </w:rPr>
        <w:t xml:space="preserve"> reservoirs in Block 61 represent one of the Middle East’s largest </w:t>
      </w:r>
      <w:hyperlink r:id="rId7" w:history="1">
        <w:r w:rsidRPr="004165D9">
          <w:rPr>
            <w:rFonts w:ascii="Arial" w:eastAsia="Times New Roman" w:hAnsi="Arial" w:cs="Arial"/>
            <w:b/>
            <w:bCs/>
            <w:color w:val="F26322"/>
            <w:sz w:val="21"/>
            <w:szCs w:val="21"/>
            <w:u w:val="single"/>
          </w:rPr>
          <w:t>unconventional</w:t>
        </w:r>
      </w:hyperlink>
      <w:r w:rsidRPr="004165D9">
        <w:rPr>
          <w:rFonts w:ascii="Arial" w:eastAsia="Times New Roman" w:hAnsi="Arial" w:cs="Arial"/>
          <w:color w:val="333333"/>
          <w:sz w:val="21"/>
          <w:szCs w:val="21"/>
        </w:rPr>
        <w:t xml:space="preserve"> tight gas accumulations, with the potential to be a major new source of gas supply for Oman over many decades. Production from </w:t>
      </w:r>
      <w:proofErr w:type="spellStart"/>
      <w:r w:rsidRPr="004165D9">
        <w:rPr>
          <w:rFonts w:ascii="Arial" w:eastAsia="Times New Roman" w:hAnsi="Arial" w:cs="Arial"/>
          <w:color w:val="333333"/>
          <w:sz w:val="21"/>
          <w:szCs w:val="21"/>
        </w:rPr>
        <w:t>Khazzan</w:t>
      </w:r>
      <w:proofErr w:type="spellEnd"/>
      <w:r w:rsidRPr="004165D9">
        <w:rPr>
          <w:rFonts w:ascii="Arial" w:eastAsia="Times New Roman" w:hAnsi="Arial" w:cs="Arial"/>
          <w:color w:val="333333"/>
          <w:sz w:val="21"/>
          <w:szCs w:val="21"/>
        </w:rPr>
        <w:t xml:space="preserve"> will make a significant contribution to ensuring continuing stable and long-term domestic supplies of gas for Oman. Combined </w:t>
      </w:r>
      <w:proofErr w:type="spellStart"/>
      <w:r w:rsidRPr="004165D9">
        <w:rPr>
          <w:rFonts w:ascii="Arial" w:eastAsia="Times New Roman" w:hAnsi="Arial" w:cs="Arial"/>
          <w:color w:val="333333"/>
          <w:sz w:val="21"/>
          <w:szCs w:val="21"/>
        </w:rPr>
        <w:t>plateau</w:t>
      </w:r>
      <w:hyperlink r:id="rId8" w:history="1">
        <w:r w:rsidRPr="004165D9">
          <w:rPr>
            <w:rFonts w:ascii="Arial" w:eastAsia="Times New Roman" w:hAnsi="Arial" w:cs="Arial"/>
            <w:b/>
            <w:bCs/>
            <w:color w:val="F26322"/>
            <w:sz w:val="21"/>
            <w:szCs w:val="21"/>
            <w:u w:val="single"/>
          </w:rPr>
          <w:t>production</w:t>
        </w:r>
        <w:proofErr w:type="spellEnd"/>
      </w:hyperlink>
      <w:r w:rsidRPr="004165D9">
        <w:rPr>
          <w:rFonts w:ascii="Arial" w:eastAsia="Times New Roman" w:hAnsi="Arial" w:cs="Arial"/>
          <w:color w:val="333333"/>
          <w:sz w:val="21"/>
          <w:szCs w:val="21"/>
        </w:rPr>
        <w:t xml:space="preserve"> from Phases 1 and 2 is expected to total approximately 1.5 </w:t>
      </w:r>
      <w:proofErr w:type="spellStart"/>
      <w:r w:rsidRPr="004165D9">
        <w:rPr>
          <w:rFonts w:ascii="Arial" w:eastAsia="Times New Roman" w:hAnsi="Arial" w:cs="Arial"/>
          <w:color w:val="333333"/>
          <w:sz w:val="21"/>
          <w:szCs w:val="21"/>
        </w:rPr>
        <w:t>Bcfgd</w:t>
      </w:r>
      <w:proofErr w:type="spellEnd"/>
      <w:r w:rsidRPr="004165D9">
        <w:rPr>
          <w:rFonts w:ascii="Arial" w:eastAsia="Times New Roman" w:hAnsi="Arial" w:cs="Arial"/>
          <w:color w:val="333333"/>
          <w:sz w:val="21"/>
          <w:szCs w:val="21"/>
        </w:rPr>
        <w:t>, equivalent to around 40% of Oman’s current total domestic gas </w:t>
      </w:r>
      <w:hyperlink r:id="rId9" w:history="1">
        <w:r w:rsidRPr="004165D9">
          <w:rPr>
            <w:rFonts w:ascii="Arial" w:eastAsia="Times New Roman" w:hAnsi="Arial" w:cs="Arial"/>
            <w:b/>
            <w:bCs/>
            <w:color w:val="F26322"/>
            <w:sz w:val="21"/>
            <w:szCs w:val="21"/>
            <w:u w:val="single"/>
          </w:rPr>
          <w:t>production</w:t>
        </w:r>
      </w:hyperlink>
      <w:r w:rsidRPr="004165D9">
        <w:rPr>
          <w:rFonts w:ascii="Arial" w:eastAsia="Times New Roman" w:hAnsi="Arial" w:cs="Arial"/>
          <w:color w:val="333333"/>
          <w:sz w:val="21"/>
          <w:szCs w:val="21"/>
        </w:rPr>
        <w:t>.</w:t>
      </w:r>
      <w:r w:rsidRPr="004165D9">
        <w:rPr>
          <w:rFonts w:ascii="Arial" w:eastAsia="Times New Roman" w:hAnsi="Arial" w:cs="Arial"/>
          <w:color w:val="333333"/>
          <w:sz w:val="21"/>
          <w:szCs w:val="21"/>
        </w:rPr>
        <w:br/>
      </w:r>
      <w:r w:rsidRPr="004165D9">
        <w:rPr>
          <w:rFonts w:ascii="Arial" w:eastAsia="Times New Roman" w:hAnsi="Arial" w:cs="Arial"/>
          <w:color w:val="333333"/>
          <w:sz w:val="21"/>
          <w:szCs w:val="21"/>
        </w:rPr>
        <w:br/>
        <w:t>The Phase 1 </w:t>
      </w:r>
      <w:hyperlink r:id="rId10" w:history="1">
        <w:r w:rsidRPr="004165D9">
          <w:rPr>
            <w:rFonts w:ascii="Arial" w:eastAsia="Times New Roman" w:hAnsi="Arial" w:cs="Arial"/>
            <w:b/>
            <w:bCs/>
            <w:color w:val="F26322"/>
            <w:sz w:val="21"/>
            <w:szCs w:val="21"/>
            <w:u w:val="single"/>
          </w:rPr>
          <w:t>project</w:t>
        </w:r>
      </w:hyperlink>
      <w:r w:rsidRPr="004165D9">
        <w:rPr>
          <w:rFonts w:ascii="Arial" w:eastAsia="Times New Roman" w:hAnsi="Arial" w:cs="Arial"/>
          <w:color w:val="333333"/>
          <w:sz w:val="21"/>
          <w:szCs w:val="21"/>
        </w:rPr>
        <w:t xml:space="preserve">, sanctioned in December 2013, remains on schedule to deliver first gas in late 2017. Subject </w:t>
      </w:r>
      <w:proofErr w:type="spellStart"/>
      <w:r w:rsidRPr="004165D9">
        <w:rPr>
          <w:rFonts w:ascii="Arial" w:eastAsia="Times New Roman" w:hAnsi="Arial" w:cs="Arial"/>
          <w:color w:val="333333"/>
          <w:sz w:val="21"/>
          <w:szCs w:val="21"/>
        </w:rPr>
        <w:t>to</w:t>
      </w:r>
      <w:hyperlink r:id="rId11" w:history="1">
        <w:r w:rsidRPr="004165D9">
          <w:rPr>
            <w:rFonts w:ascii="Arial" w:eastAsia="Times New Roman" w:hAnsi="Arial" w:cs="Arial"/>
            <w:b/>
            <w:bCs/>
            <w:color w:val="F26322"/>
            <w:sz w:val="21"/>
            <w:szCs w:val="21"/>
            <w:u w:val="single"/>
          </w:rPr>
          <w:t>completion</w:t>
        </w:r>
        <w:proofErr w:type="spellEnd"/>
      </w:hyperlink>
      <w:r w:rsidRPr="004165D9">
        <w:rPr>
          <w:rFonts w:ascii="Arial" w:eastAsia="Times New Roman" w:hAnsi="Arial" w:cs="Arial"/>
          <w:color w:val="333333"/>
          <w:sz w:val="21"/>
          <w:szCs w:val="21"/>
        </w:rPr>
        <w:t xml:space="preserve"> of the agreements and final sanction, the new </w:t>
      </w:r>
      <w:proofErr w:type="spellStart"/>
      <w:r w:rsidRPr="004165D9">
        <w:rPr>
          <w:rFonts w:ascii="Arial" w:eastAsia="Times New Roman" w:hAnsi="Arial" w:cs="Arial"/>
          <w:color w:val="333333"/>
          <w:sz w:val="21"/>
          <w:szCs w:val="21"/>
        </w:rPr>
        <w:t>Khazzan</w:t>
      </w:r>
      <w:proofErr w:type="spellEnd"/>
      <w:r w:rsidRPr="004165D9">
        <w:rPr>
          <w:rFonts w:ascii="Arial" w:eastAsia="Times New Roman" w:hAnsi="Arial" w:cs="Arial"/>
          <w:color w:val="333333"/>
          <w:sz w:val="21"/>
          <w:szCs w:val="21"/>
        </w:rPr>
        <w:t xml:space="preserve"> Phase 2 </w:t>
      </w:r>
      <w:hyperlink r:id="rId12" w:history="1">
        <w:r w:rsidRPr="004165D9">
          <w:rPr>
            <w:rFonts w:ascii="Arial" w:eastAsia="Times New Roman" w:hAnsi="Arial" w:cs="Arial"/>
            <w:b/>
            <w:bCs/>
            <w:color w:val="F26322"/>
            <w:sz w:val="21"/>
            <w:szCs w:val="21"/>
            <w:u w:val="single"/>
          </w:rPr>
          <w:t>project</w:t>
        </w:r>
      </w:hyperlink>
      <w:r w:rsidRPr="004165D9">
        <w:rPr>
          <w:rFonts w:ascii="Arial" w:eastAsia="Times New Roman" w:hAnsi="Arial" w:cs="Arial"/>
          <w:color w:val="333333"/>
          <w:sz w:val="21"/>
          <w:szCs w:val="21"/>
        </w:rPr>
        <w:t xml:space="preserve"> will come </w:t>
      </w:r>
      <w:proofErr w:type="spellStart"/>
      <w:r w:rsidRPr="004165D9">
        <w:rPr>
          <w:rFonts w:ascii="Arial" w:eastAsia="Times New Roman" w:hAnsi="Arial" w:cs="Arial"/>
          <w:color w:val="333333"/>
          <w:sz w:val="21"/>
          <w:szCs w:val="21"/>
        </w:rPr>
        <w:t>onstream</w:t>
      </w:r>
      <w:proofErr w:type="spellEnd"/>
      <w:r w:rsidRPr="004165D9">
        <w:rPr>
          <w:rFonts w:ascii="Arial" w:eastAsia="Times New Roman" w:hAnsi="Arial" w:cs="Arial"/>
          <w:color w:val="333333"/>
          <w:sz w:val="21"/>
          <w:szCs w:val="21"/>
        </w:rPr>
        <w:t xml:space="preserve"> from 2020. </w:t>
      </w:r>
      <w:r w:rsidRPr="004165D9">
        <w:rPr>
          <w:rFonts w:ascii="Arial" w:eastAsia="Times New Roman" w:hAnsi="Arial" w:cs="Arial"/>
          <w:color w:val="333333"/>
          <w:sz w:val="21"/>
          <w:szCs w:val="21"/>
        </w:rPr>
        <w:br/>
      </w:r>
      <w:r w:rsidRPr="004165D9">
        <w:rPr>
          <w:rFonts w:ascii="Arial" w:eastAsia="Times New Roman" w:hAnsi="Arial" w:cs="Arial"/>
          <w:color w:val="333333"/>
          <w:sz w:val="21"/>
          <w:szCs w:val="21"/>
        </w:rPr>
        <w:br/>
        <w:t xml:space="preserve">The two phases are expected to produce 1.5 </w:t>
      </w:r>
      <w:proofErr w:type="spellStart"/>
      <w:r w:rsidRPr="004165D9">
        <w:rPr>
          <w:rFonts w:ascii="Arial" w:eastAsia="Times New Roman" w:hAnsi="Arial" w:cs="Arial"/>
          <w:color w:val="333333"/>
          <w:sz w:val="21"/>
          <w:szCs w:val="21"/>
        </w:rPr>
        <w:t>Bcfgd</w:t>
      </w:r>
      <w:proofErr w:type="spellEnd"/>
      <w:r w:rsidRPr="004165D9">
        <w:rPr>
          <w:rFonts w:ascii="Arial" w:eastAsia="Times New Roman" w:hAnsi="Arial" w:cs="Arial"/>
          <w:color w:val="333333"/>
          <w:sz w:val="21"/>
          <w:szCs w:val="21"/>
        </w:rPr>
        <w:t xml:space="preserve"> through development of 10.5 </w:t>
      </w:r>
      <w:proofErr w:type="spellStart"/>
      <w:r w:rsidRPr="004165D9">
        <w:rPr>
          <w:rFonts w:ascii="Arial" w:eastAsia="Times New Roman" w:hAnsi="Arial" w:cs="Arial"/>
          <w:color w:val="333333"/>
          <w:sz w:val="21"/>
          <w:szCs w:val="21"/>
        </w:rPr>
        <w:t>Tcf</w:t>
      </w:r>
      <w:proofErr w:type="spellEnd"/>
      <w:r w:rsidRPr="004165D9">
        <w:rPr>
          <w:rFonts w:ascii="Arial" w:eastAsia="Times New Roman" w:hAnsi="Arial" w:cs="Arial"/>
          <w:color w:val="333333"/>
          <w:sz w:val="21"/>
          <w:szCs w:val="21"/>
        </w:rPr>
        <w:t xml:space="preserve"> of recoverable gas resources. This will involve construction of a three-train central processing facility with associated gathering and export systems and </w:t>
      </w:r>
      <w:proofErr w:type="spellStart"/>
      <w:r w:rsidRPr="004165D9">
        <w:rPr>
          <w:rFonts w:ascii="Arial" w:eastAsia="Times New Roman" w:hAnsi="Arial" w:cs="Arial"/>
          <w:color w:val="333333"/>
          <w:sz w:val="21"/>
          <w:szCs w:val="21"/>
        </w:rPr>
        <w:fldChar w:fldCharType="begin"/>
      </w:r>
      <w:r w:rsidRPr="004165D9">
        <w:rPr>
          <w:rFonts w:ascii="Arial" w:eastAsia="Times New Roman" w:hAnsi="Arial" w:cs="Arial"/>
          <w:color w:val="333333"/>
          <w:sz w:val="21"/>
          <w:szCs w:val="21"/>
        </w:rPr>
        <w:instrText xml:space="preserve"> HYPERLINK "http://www.worldoil.com/news/2016/2/14/bp-extends-scope-of-oman-s-khazzan-gas-development-with-new-agreement" </w:instrText>
      </w:r>
      <w:r w:rsidRPr="004165D9">
        <w:rPr>
          <w:rFonts w:ascii="Arial" w:eastAsia="Times New Roman" w:hAnsi="Arial" w:cs="Arial"/>
          <w:color w:val="333333"/>
          <w:sz w:val="21"/>
          <w:szCs w:val="21"/>
        </w:rPr>
        <w:fldChar w:fldCharType="separate"/>
      </w:r>
      <w:r w:rsidRPr="004165D9">
        <w:rPr>
          <w:rFonts w:ascii="Arial" w:eastAsia="Times New Roman" w:hAnsi="Arial" w:cs="Arial"/>
          <w:b/>
          <w:bCs/>
          <w:color w:val="F26322"/>
          <w:sz w:val="21"/>
          <w:szCs w:val="21"/>
          <w:u w:val="single"/>
        </w:rPr>
        <w:t>drilling</w:t>
      </w:r>
      <w:r w:rsidRPr="004165D9">
        <w:rPr>
          <w:rFonts w:ascii="Arial" w:eastAsia="Times New Roman" w:hAnsi="Arial" w:cs="Arial"/>
          <w:color w:val="333333"/>
          <w:sz w:val="21"/>
          <w:szCs w:val="21"/>
        </w:rPr>
        <w:fldChar w:fldCharType="end"/>
      </w:r>
      <w:r w:rsidRPr="004165D9">
        <w:rPr>
          <w:rFonts w:ascii="Arial" w:eastAsia="Times New Roman" w:hAnsi="Arial" w:cs="Arial"/>
          <w:color w:val="333333"/>
          <w:sz w:val="21"/>
          <w:szCs w:val="21"/>
        </w:rPr>
        <w:t>around</w:t>
      </w:r>
      <w:proofErr w:type="spellEnd"/>
      <w:r w:rsidRPr="004165D9">
        <w:rPr>
          <w:rFonts w:ascii="Arial" w:eastAsia="Times New Roman" w:hAnsi="Arial" w:cs="Arial"/>
          <w:color w:val="333333"/>
          <w:sz w:val="21"/>
          <w:szCs w:val="21"/>
        </w:rPr>
        <w:t xml:space="preserve"> 325 wells over a 15-year period. Improved reservoir performance, </w:t>
      </w:r>
      <w:hyperlink r:id="rId13" w:history="1">
        <w:r w:rsidRPr="004165D9">
          <w:rPr>
            <w:rFonts w:ascii="Arial" w:eastAsia="Times New Roman" w:hAnsi="Arial" w:cs="Arial"/>
            <w:b/>
            <w:bCs/>
            <w:color w:val="F26322"/>
            <w:sz w:val="21"/>
            <w:szCs w:val="21"/>
            <w:u w:val="single"/>
          </w:rPr>
          <w:t>drilling</w:t>
        </w:r>
      </w:hyperlink>
      <w:r w:rsidRPr="004165D9">
        <w:rPr>
          <w:rFonts w:ascii="Arial" w:eastAsia="Times New Roman" w:hAnsi="Arial" w:cs="Arial"/>
          <w:color w:val="333333"/>
          <w:sz w:val="21"/>
          <w:szCs w:val="21"/>
        </w:rPr>
        <w:t> efficiencies and other improvements have reduced the well count by around 100 wells from the original Phase 1 plan.</w:t>
      </w:r>
    </w:p>
    <w:p w:rsidR="00F138C4" w:rsidRDefault="00F138C4"/>
    <w:sectPr w:rsidR="00F13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5D9"/>
    <w:rsid w:val="004165D9"/>
    <w:rsid w:val="00F138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E4BD0A-E3AD-407C-8807-C7EB6F18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4165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5D9"/>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165D9"/>
    <w:rPr>
      <w:color w:val="0000FF"/>
      <w:u w:val="single"/>
    </w:rPr>
  </w:style>
  <w:style w:type="paragraph" w:styleId="NormalWeb">
    <w:name w:val="Normal (Web)"/>
    <w:basedOn w:val="Normal"/>
    <w:uiPriority w:val="99"/>
    <w:semiHidden/>
    <w:unhideWhenUsed/>
    <w:rsid w:val="004165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16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71241">
      <w:bodyDiv w:val="1"/>
      <w:marLeft w:val="0"/>
      <w:marRight w:val="0"/>
      <w:marTop w:val="0"/>
      <w:marBottom w:val="0"/>
      <w:divBdr>
        <w:top w:val="none" w:sz="0" w:space="0" w:color="auto"/>
        <w:left w:val="none" w:sz="0" w:space="0" w:color="auto"/>
        <w:bottom w:val="none" w:sz="0" w:space="0" w:color="auto"/>
        <w:right w:val="none" w:sz="0" w:space="0" w:color="auto"/>
      </w:divBdr>
      <w:divsChild>
        <w:div w:id="90668341">
          <w:marLeft w:val="0"/>
          <w:marRight w:val="0"/>
          <w:marTop w:val="225"/>
          <w:marBottom w:val="225"/>
          <w:divBdr>
            <w:top w:val="single" w:sz="6" w:space="4" w:color="002F60"/>
            <w:left w:val="none" w:sz="0" w:space="0" w:color="auto"/>
            <w:bottom w:val="single" w:sz="6" w:space="4" w:color="002F60"/>
            <w:right w:val="none" w:sz="0" w:space="0" w:color="auto"/>
          </w:divBdr>
          <w:divsChild>
            <w:div w:id="1817145479">
              <w:marLeft w:val="0"/>
              <w:marRight w:val="0"/>
              <w:marTop w:val="0"/>
              <w:marBottom w:val="0"/>
              <w:divBdr>
                <w:top w:val="none" w:sz="0" w:space="0" w:color="auto"/>
                <w:left w:val="none" w:sz="0" w:space="0" w:color="auto"/>
                <w:bottom w:val="none" w:sz="0" w:space="0" w:color="auto"/>
                <w:right w:val="none" w:sz="0" w:space="0" w:color="auto"/>
              </w:divBdr>
              <w:divsChild>
                <w:div w:id="156101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oil.com/news/2016/2/14/bp-extends-scope-of-oman-s-khazzan-gas-development-with-new-agreement" TargetMode="External"/><Relationship Id="rId13" Type="http://schemas.openxmlformats.org/officeDocument/2006/relationships/hyperlink" Target="http://www.worldoil.com/news/2016/2/14/bp-extends-scope-of-oman-s-khazzan-gas-development-with-new-agreement" TargetMode="External"/><Relationship Id="rId3" Type="http://schemas.openxmlformats.org/officeDocument/2006/relationships/webSettings" Target="webSettings.xml"/><Relationship Id="rId7" Type="http://schemas.openxmlformats.org/officeDocument/2006/relationships/hyperlink" Target="http://www.worldoil.com/news/2016/2/14/bp-extends-scope-of-oman-s-khazzan-gas-development-with-new-agreement" TargetMode="External"/><Relationship Id="rId12" Type="http://schemas.openxmlformats.org/officeDocument/2006/relationships/hyperlink" Target="http://www.worldoil.com/news/2016/2/14/bp-extends-scope-of-oman-s-khazzan-gas-development-with-new-agree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orldoil.com/news/2016/2/14/bp-extends-scope-of-oman-s-khazzan-gas-development-with-new-agreement" TargetMode="External"/><Relationship Id="rId11" Type="http://schemas.openxmlformats.org/officeDocument/2006/relationships/hyperlink" Target="http://www.worldoil.com/news/2016/2/14/bp-extends-scope-of-oman-s-khazzan-gas-development-with-new-agreement" TargetMode="External"/><Relationship Id="rId5" Type="http://schemas.openxmlformats.org/officeDocument/2006/relationships/hyperlink" Target="http://www.worldoil.com/news/2016/2/14/bp-extends-scope-of-oman-s-khazzan-gas-development-with-new-agreement" TargetMode="External"/><Relationship Id="rId15" Type="http://schemas.openxmlformats.org/officeDocument/2006/relationships/theme" Target="theme/theme1.xml"/><Relationship Id="rId10" Type="http://schemas.openxmlformats.org/officeDocument/2006/relationships/hyperlink" Target="http://www.worldoil.com/news/2016/2/14/bp-extends-scope-of-oman-s-khazzan-gas-development-with-new-agreement" TargetMode="External"/><Relationship Id="rId4" Type="http://schemas.openxmlformats.org/officeDocument/2006/relationships/hyperlink" Target="http://www.worldoil.com/news/2016/2/14/bp-extends-scope-of-oman-s-khazzan-gas-development-with-new-agreement" TargetMode="External"/><Relationship Id="rId9" Type="http://schemas.openxmlformats.org/officeDocument/2006/relationships/hyperlink" Target="http://www.worldoil.com/news/2016/2/14/bp-extends-scope-of-oman-s-khazzan-gas-development-with-new-agree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roaa ibrahim</dc:creator>
  <cp:keywords/>
  <dc:description/>
  <cp:lastModifiedBy>roaa ibrahim</cp:lastModifiedBy>
  <cp:revision>1</cp:revision>
  <dcterms:created xsi:type="dcterms:W3CDTF">2016-04-11T19:18:00Z</dcterms:created>
  <dcterms:modified xsi:type="dcterms:W3CDTF">2016-04-11T19:18:00Z</dcterms:modified>
</cp:coreProperties>
</file>