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8937FC">
      <w:pPr>
        <w:pStyle w:val="z-TopofForm"/>
        <w:divId w:val="1650398752"/>
      </w:pPr>
      <w:r>
        <w:t>Top of Form</w:t>
      </w:r>
    </w:p>
    <w:p w:rsidR="00000000" w:rsidRDefault="008937FC">
      <w:pPr>
        <w:spacing w:before="0" w:beforeAutospacing="0" w:after="0" w:afterAutospacing="0"/>
        <w:divId w:val="1650398752"/>
        <w:rPr>
          <w:rFonts w:eastAsia="Times New Roman"/>
          <w:sz w:val="12"/>
          <w:szCs w:val="12"/>
          <w:lang/>
        </w:rPr>
      </w:pPr>
      <w:r>
        <w:rPr>
          <w:rFonts w:eastAsia="Times New Roman"/>
          <w:sz w:val="12"/>
          <w:szCs w:val="12"/>
          <w:lang/>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in;height:18.2pt" o:ole="">
            <v:imagedata r:id="rId5" o:title=""/>
          </v:shape>
          <w:control r:id="rId6" w:name="DefaultOcxName" w:shapeid="_x0000_i1060"/>
        </w:object>
      </w:r>
      <w:r>
        <w:rPr>
          <w:rFonts w:eastAsia="Times New Roman"/>
          <w:sz w:val="12"/>
          <w:szCs w:val="12"/>
          <w:lang/>
        </w:rPr>
        <w:object w:dxaOrig="1440" w:dyaOrig="1440">
          <v:shape id="_x0000_i1063" type="#_x0000_t75" style="width:1in;height:18.2pt" o:ole="">
            <v:imagedata r:id="rId7" o:title=""/>
          </v:shape>
          <w:control r:id="rId8" w:name="DefaultOcxName1" w:shapeid="_x0000_i1063"/>
        </w:object>
      </w:r>
    </w:p>
    <w:tbl>
      <w:tblPr>
        <w:tblW w:w="5000" w:type="pct"/>
        <w:tblCellSpacing w:w="15" w:type="dxa"/>
        <w:tblCellMar>
          <w:top w:w="40" w:type="dxa"/>
          <w:left w:w="40" w:type="dxa"/>
          <w:bottom w:w="40" w:type="dxa"/>
          <w:right w:w="40" w:type="dxa"/>
        </w:tblCellMar>
        <w:tblLook w:val="04A0"/>
      </w:tblPr>
      <w:tblGrid>
        <w:gridCol w:w="587"/>
        <w:gridCol w:w="7942"/>
        <w:gridCol w:w="587"/>
      </w:tblGrid>
      <w:tr w:rsidR="00000000">
        <w:trPr>
          <w:divId w:val="1650398752"/>
          <w:tblCellSpacing w:w="15" w:type="dxa"/>
        </w:trPr>
        <w:tc>
          <w:tcPr>
            <w:tcW w:w="0" w:type="auto"/>
            <w:gridSpan w:val="3"/>
            <w:tcMar>
              <w:top w:w="15" w:type="dxa"/>
              <w:left w:w="15" w:type="dxa"/>
              <w:bottom w:w="15" w:type="dxa"/>
              <w:right w:w="15" w:type="dxa"/>
            </w:tcMar>
            <w:vAlign w:val="center"/>
            <w:hideMark/>
          </w:tcPr>
          <w:p w:rsidR="00000000" w:rsidRDefault="008937FC">
            <w:pPr>
              <w:spacing w:before="0" w:beforeAutospacing="0" w:after="0" w:afterAutospacing="0"/>
              <w:jc w:val="center"/>
              <w:rPr>
                <w:rFonts w:eastAsia="Times New Roman"/>
                <w:sz w:val="12"/>
                <w:szCs w:val="12"/>
              </w:rPr>
            </w:pPr>
          </w:p>
        </w:tc>
      </w:tr>
      <w:tr w:rsidR="00000000">
        <w:trPr>
          <w:divId w:val="1650398752"/>
          <w:tblCellSpacing w:w="15" w:type="dxa"/>
        </w:trPr>
        <w:tc>
          <w:tcPr>
            <w:tcW w:w="0" w:type="auto"/>
            <w:tcMar>
              <w:top w:w="15" w:type="dxa"/>
              <w:left w:w="15" w:type="dxa"/>
              <w:bottom w:w="15" w:type="dxa"/>
              <w:right w:w="15" w:type="dxa"/>
            </w:tcMar>
            <w:vAlign w:val="center"/>
            <w:hideMark/>
          </w:tcPr>
          <w:p w:rsidR="00000000" w:rsidRDefault="008937FC">
            <w:pPr>
              <w:spacing w:before="0" w:beforeAutospacing="0" w:after="0" w:afterAutospacing="0"/>
              <w:jc w:val="center"/>
              <w:rPr>
                <w:rFonts w:eastAsia="Times New Roman"/>
                <w:sz w:val="12"/>
                <w:szCs w:val="12"/>
              </w:rPr>
            </w:pPr>
          </w:p>
        </w:tc>
        <w:tc>
          <w:tcPr>
            <w:tcW w:w="7912" w:type="dxa"/>
            <w:tcMar>
              <w:top w:w="15" w:type="dxa"/>
              <w:left w:w="15" w:type="dxa"/>
              <w:bottom w:w="15" w:type="dxa"/>
              <w:right w:w="15" w:type="dxa"/>
            </w:tcMar>
            <w:vAlign w:val="center"/>
            <w:hideMark/>
          </w:tcPr>
          <w:tbl>
            <w:tblPr>
              <w:tblW w:w="5000" w:type="pct"/>
              <w:tblCellSpacing w:w="0" w:type="dxa"/>
              <w:tblCellMar>
                <w:top w:w="40" w:type="dxa"/>
                <w:left w:w="40" w:type="dxa"/>
                <w:bottom w:w="40" w:type="dxa"/>
                <w:right w:w="40" w:type="dxa"/>
              </w:tblCellMar>
              <w:tblLook w:val="04A0"/>
            </w:tblPr>
            <w:tblGrid>
              <w:gridCol w:w="7882"/>
            </w:tblGrid>
            <w:tr w:rsidR="00000000">
              <w:trPr>
                <w:divId w:val="1956667241"/>
                <w:tblCellSpacing w:w="0" w:type="dxa"/>
              </w:trPr>
              <w:tc>
                <w:tcPr>
                  <w:tcW w:w="0" w:type="auto"/>
                  <w:tcMar>
                    <w:top w:w="30" w:type="dxa"/>
                    <w:left w:w="30" w:type="dxa"/>
                    <w:bottom w:w="30" w:type="dxa"/>
                    <w:right w:w="30" w:type="dxa"/>
                  </w:tcMar>
                  <w:vAlign w:val="bottom"/>
                  <w:hideMark/>
                </w:tcPr>
                <w:tbl>
                  <w:tblPr>
                    <w:tblW w:w="0" w:type="auto"/>
                    <w:tblCellSpacing w:w="0" w:type="dxa"/>
                    <w:tblCellMar>
                      <w:left w:w="0" w:type="dxa"/>
                      <w:right w:w="0" w:type="dxa"/>
                    </w:tblCellMar>
                    <w:tblLook w:val="04A0"/>
                  </w:tblPr>
                  <w:tblGrid>
                    <w:gridCol w:w="6"/>
                    <w:gridCol w:w="513"/>
                    <w:gridCol w:w="158"/>
                  </w:tblGrid>
                  <w:tr w:rsidR="00000000">
                    <w:trPr>
                      <w:tblCellSpacing w:w="0" w:type="dxa"/>
                    </w:trPr>
                    <w:tc>
                      <w:tcPr>
                        <w:tcW w:w="0" w:type="auto"/>
                        <w:vAlign w:val="center"/>
                        <w:hideMark/>
                      </w:tcPr>
                      <w:p w:rsidR="00000000" w:rsidRDefault="008937FC">
                        <w:pPr>
                          <w:spacing w:before="0" w:beforeAutospacing="0" w:after="0" w:afterAutospacing="0"/>
                          <w:rPr>
                            <w:rFonts w:eastAsia="Times New Roman"/>
                            <w:sz w:val="12"/>
                            <w:szCs w:val="12"/>
                          </w:rPr>
                        </w:pPr>
                      </w:p>
                    </w:tc>
                    <w:tc>
                      <w:tcPr>
                        <w:tcW w:w="0" w:type="auto"/>
                        <w:vAlign w:val="center"/>
                        <w:hideMark/>
                      </w:tcPr>
                      <w:p w:rsidR="00000000" w:rsidRDefault="008937FC">
                        <w:pPr>
                          <w:spacing w:before="0" w:beforeAutospacing="0" w:after="0" w:afterAutospacing="0"/>
                          <w:rPr>
                            <w:rFonts w:eastAsia="Times New Roman"/>
                            <w:sz w:val="12"/>
                            <w:szCs w:val="12"/>
                          </w:rPr>
                        </w:pPr>
                        <w:r>
                          <w:rPr>
                            <w:rFonts w:eastAsia="Times New Roman"/>
                            <w:noProof/>
                            <w:sz w:val="12"/>
                            <w:szCs w:val="12"/>
                          </w:rPr>
                          <w:drawing>
                            <wp:inline distT="0" distB="0" distL="0" distR="0">
                              <wp:extent cx="306705" cy="306705"/>
                              <wp:effectExtent l="19050" t="0" r="0" b="0"/>
                              <wp:docPr id="3" name="mainimage1" descr="QatarLegis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image1" descr="QatarLegislations"/>
                                      <pic:cNvPicPr>
                                        <a:picLocks noChangeAspect="1" noChangeArrowheads="1"/>
                                      </pic:cNvPicPr>
                                    </pic:nvPicPr>
                                    <pic:blipFill>
                                      <a:blip r:link="rId9" cstate="print"/>
                                      <a:srcRect/>
                                      <a:stretch>
                                        <a:fillRect/>
                                      </a:stretch>
                                    </pic:blipFill>
                                    <pic:spPr bwMode="auto">
                                      <a:xfrm>
                                        <a:off x="0" y="0"/>
                                        <a:ext cx="306705" cy="306705"/>
                                      </a:xfrm>
                                      <a:prstGeom prst="rect">
                                        <a:avLst/>
                                      </a:prstGeom>
                                      <a:noFill/>
                                      <a:ln w="9525">
                                        <a:noFill/>
                                        <a:miter lim="800000"/>
                                        <a:headEnd/>
                                        <a:tailEnd/>
                                      </a:ln>
                                    </pic:spPr>
                                  </pic:pic>
                                </a:graphicData>
                              </a:graphic>
                            </wp:inline>
                          </w:drawing>
                        </w:r>
                      </w:p>
                    </w:tc>
                    <w:tc>
                      <w:tcPr>
                        <w:tcW w:w="158" w:type="dxa"/>
                        <w:vAlign w:val="center"/>
                        <w:hideMark/>
                      </w:tcPr>
                      <w:p w:rsidR="00000000" w:rsidRDefault="008937FC">
                        <w:pPr>
                          <w:spacing w:before="0" w:beforeAutospacing="0" w:after="0" w:afterAutospacing="0"/>
                          <w:rPr>
                            <w:rFonts w:eastAsia="Times New Roman"/>
                            <w:sz w:val="12"/>
                            <w:szCs w:val="12"/>
                          </w:rPr>
                        </w:pPr>
                      </w:p>
                    </w:tc>
                  </w:tr>
                </w:tbl>
                <w:p w:rsidR="00000000" w:rsidRDefault="008937FC">
                  <w:pPr>
                    <w:spacing w:before="0" w:beforeAutospacing="0" w:after="0" w:afterAutospacing="0"/>
                    <w:rPr>
                      <w:rFonts w:eastAsia="Times New Roman"/>
                      <w:sz w:val="12"/>
                      <w:szCs w:val="12"/>
                    </w:rPr>
                  </w:pPr>
                </w:p>
              </w:tc>
            </w:tr>
            <w:tr w:rsidR="00000000">
              <w:trPr>
                <w:divId w:val="1956667241"/>
                <w:tblCellSpacing w:w="0" w:type="dxa"/>
              </w:trPr>
              <w:tc>
                <w:tcPr>
                  <w:tcW w:w="0" w:type="auto"/>
                  <w:vAlign w:val="center"/>
                  <w:hideMark/>
                </w:tcPr>
                <w:p w:rsidR="00000000" w:rsidRDefault="008937FC">
                  <w:pPr>
                    <w:spacing w:before="0" w:beforeAutospacing="0" w:after="0" w:afterAutospacing="0"/>
                    <w:jc w:val="center"/>
                    <w:rPr>
                      <w:rFonts w:eastAsia="Times New Roman"/>
                      <w:b/>
                      <w:bCs/>
                      <w:color w:val="000080"/>
                      <w:sz w:val="16"/>
                      <w:szCs w:val="16"/>
                    </w:rPr>
                  </w:pPr>
                </w:p>
              </w:tc>
            </w:tr>
            <w:tr w:rsidR="00000000">
              <w:trPr>
                <w:divId w:val="1956667241"/>
                <w:tblCellSpacing w:w="0" w:type="dxa"/>
              </w:trPr>
              <w:tc>
                <w:tcPr>
                  <w:tcW w:w="0" w:type="auto"/>
                  <w:vAlign w:val="center"/>
                  <w:hideMark/>
                </w:tcPr>
                <w:p w:rsidR="00000000" w:rsidRDefault="008937FC">
                  <w:pPr>
                    <w:spacing w:before="0" w:beforeAutospacing="0" w:after="0" w:afterAutospacing="0"/>
                    <w:jc w:val="center"/>
                    <w:rPr>
                      <w:rFonts w:eastAsia="Times New Roman"/>
                      <w:b/>
                      <w:bCs/>
                      <w:color w:val="8E073E"/>
                    </w:rPr>
                  </w:pPr>
                  <w:r>
                    <w:rPr>
                      <w:rFonts w:eastAsia="Times New Roman"/>
                      <w:b/>
                      <w:bCs/>
                      <w:color w:val="8E073E"/>
                    </w:rPr>
                    <w:t xml:space="preserve">Law No. 3 of 2007 On the Exploitation of Natural Resources 3 / 2007 </w:t>
                  </w:r>
                </w:p>
              </w:tc>
            </w:tr>
            <w:tr w:rsidR="00000000">
              <w:trPr>
                <w:divId w:val="1956667241"/>
                <w:tblCellSpacing w:w="0" w:type="dxa"/>
              </w:trPr>
              <w:tc>
                <w:tcPr>
                  <w:tcW w:w="0" w:type="auto"/>
                  <w:vAlign w:val="center"/>
                  <w:hideMark/>
                </w:tcPr>
                <w:p w:rsidR="00000000" w:rsidRDefault="008937FC">
                  <w:pPr>
                    <w:spacing w:before="0" w:beforeAutospacing="0" w:after="0" w:afterAutospacing="0"/>
                    <w:jc w:val="center"/>
                    <w:rPr>
                      <w:rFonts w:eastAsia="Times New Roman"/>
                      <w:sz w:val="12"/>
                      <w:szCs w:val="12"/>
                    </w:rPr>
                  </w:pPr>
                  <w:r>
                    <w:rPr>
                      <w:rFonts w:eastAsia="Times New Roman"/>
                      <w:sz w:val="12"/>
                      <w:szCs w:val="12"/>
                    </w:rPr>
                    <w:t xml:space="preserve">Number of Articles: 29 </w:t>
                  </w:r>
                </w:p>
              </w:tc>
            </w:tr>
            <w:tr w:rsidR="00000000">
              <w:trPr>
                <w:divId w:val="1956667241"/>
                <w:tblCellSpacing w:w="0" w:type="dxa"/>
              </w:trPr>
              <w:tc>
                <w:tcPr>
                  <w:tcW w:w="0" w:type="auto"/>
                  <w:vAlign w:val="center"/>
                  <w:hideMark/>
                </w:tcPr>
                <w:p w:rsidR="00000000" w:rsidRDefault="008937FC">
                  <w:pPr>
                    <w:rPr>
                      <w:rFonts w:eastAsia="Times New Roman"/>
                      <w:sz w:val="12"/>
                      <w:szCs w:val="12"/>
                    </w:rPr>
                  </w:pPr>
                </w:p>
              </w:tc>
            </w:tr>
            <w:tr w:rsidR="00000000">
              <w:trPr>
                <w:divId w:val="1956667241"/>
                <w:tblCellSpacing w:w="0" w:type="dxa"/>
              </w:trPr>
              <w:tc>
                <w:tcPr>
                  <w:tcW w:w="0" w:type="auto"/>
                  <w:vAlign w:val="center"/>
                  <w:hideMark/>
                </w:tcPr>
                <w:p w:rsidR="00000000" w:rsidRDefault="008937FC">
                  <w:pPr>
                    <w:spacing w:before="0" w:beforeAutospacing="0" w:after="0" w:afterAutospacing="0"/>
                    <w:rPr>
                      <w:rFonts w:eastAsia="Times New Roman"/>
                      <w:b/>
                      <w:bCs/>
                      <w:color w:val="313131"/>
                      <w:sz w:val="14"/>
                      <w:szCs w:val="14"/>
                    </w:rPr>
                  </w:pPr>
                  <w:r>
                    <w:rPr>
                      <w:rFonts w:eastAsia="Times New Roman"/>
                      <w:b/>
                      <w:bCs/>
                      <w:color w:val="313131"/>
                      <w:sz w:val="14"/>
                      <w:szCs w:val="14"/>
                      <w:u w:val="single"/>
                    </w:rPr>
                    <w:t>Table of Content</w:t>
                  </w:r>
                  <w:r>
                    <w:rPr>
                      <w:rFonts w:eastAsia="Times New Roman"/>
                      <w:b/>
                      <w:bCs/>
                      <w:color w:val="313131"/>
                      <w:sz w:val="14"/>
                      <w:szCs w:val="14"/>
                    </w:rPr>
                    <w:t xml:space="preserve"> </w:t>
                  </w:r>
                </w:p>
              </w:tc>
            </w:tr>
            <w:tr w:rsidR="00000000">
              <w:trPr>
                <w:divId w:val="1956667241"/>
                <w:tblCellSpacing w:w="0" w:type="dxa"/>
              </w:trPr>
              <w:tc>
                <w:tcPr>
                  <w:tcW w:w="0" w:type="auto"/>
                  <w:vAlign w:val="center"/>
                  <w:hideMark/>
                </w:tcPr>
                <w:p w:rsidR="00000000" w:rsidRDefault="008937FC">
                  <w:pPr>
                    <w:pStyle w:val="NormalWeb"/>
                    <w:rPr>
                      <w:sz w:val="12"/>
                      <w:szCs w:val="12"/>
                    </w:rPr>
                  </w:pPr>
                  <w:hyperlink w:anchor="Section_9597" w:history="1">
                    <w:r>
                      <w:rPr>
                        <w:rStyle w:val="Hyperlink"/>
                      </w:rPr>
                      <w:t>Articles (1-29)</w:t>
                    </w:r>
                  </w:hyperlink>
                </w:p>
              </w:tc>
            </w:tr>
            <w:tr w:rsidR="00000000">
              <w:trPr>
                <w:divId w:val="1956667241"/>
                <w:tblCellSpacing w:w="0" w:type="dxa"/>
              </w:trPr>
              <w:tc>
                <w:tcPr>
                  <w:tcW w:w="0" w:type="auto"/>
                  <w:vAlign w:val="center"/>
                  <w:hideMark/>
                </w:tcPr>
                <w:p w:rsidR="00000000" w:rsidRDefault="008937FC">
                  <w:pPr>
                    <w:pStyle w:val="NormalWeb"/>
                    <w:spacing w:after="240" w:afterAutospacing="0"/>
                    <w:rPr>
                      <w:color w:val="313131"/>
                      <w:sz w:val="16"/>
                      <w:szCs w:val="16"/>
                    </w:rPr>
                  </w:pPr>
                </w:p>
                <w:p w:rsidR="00000000" w:rsidRDefault="008937FC">
                  <w:pPr>
                    <w:spacing w:before="0" w:beforeAutospacing="0" w:after="0" w:afterAutospacing="0"/>
                    <w:divId w:val="1346009813"/>
                    <w:rPr>
                      <w:rFonts w:eastAsia="Times New Roman"/>
                      <w:color w:val="313131"/>
                      <w:sz w:val="16"/>
                      <w:szCs w:val="16"/>
                    </w:rPr>
                  </w:pPr>
                  <w:r>
                    <w:rPr>
                      <w:rFonts w:eastAsia="Times New Roman"/>
                      <w:color w:val="313131"/>
                      <w:sz w:val="16"/>
                      <w:szCs w:val="16"/>
                    </w:rPr>
                    <w:t>We, Tamim Bin Hamad Al-Thani, Deputy Emir of the State of Qatar; </w:t>
                  </w:r>
                </w:p>
                <w:p w:rsidR="00000000" w:rsidRDefault="008937FC">
                  <w:pPr>
                    <w:spacing w:before="0" w:beforeAutospacing="0" w:after="0" w:afterAutospacing="0"/>
                    <w:divId w:val="1346009813"/>
                    <w:rPr>
                      <w:rFonts w:eastAsia="Times New Roman"/>
                      <w:color w:val="313131"/>
                      <w:sz w:val="16"/>
                      <w:szCs w:val="16"/>
                    </w:rPr>
                  </w:pPr>
                  <w:r>
                    <w:rPr>
                      <w:rFonts w:eastAsia="Times New Roman"/>
                      <w:color w:val="313131"/>
                      <w:sz w:val="16"/>
                      <w:szCs w:val="16"/>
                    </w:rPr>
                    <w:t>Having perused the Constitution;</w:t>
                  </w:r>
                </w:p>
                <w:p w:rsidR="00000000" w:rsidRDefault="008937FC">
                  <w:pPr>
                    <w:spacing w:before="0" w:beforeAutospacing="0" w:after="0" w:afterAutospacing="0"/>
                    <w:divId w:val="1346009813"/>
                    <w:rPr>
                      <w:rFonts w:eastAsia="Times New Roman"/>
                      <w:color w:val="313131"/>
                      <w:sz w:val="16"/>
                      <w:szCs w:val="16"/>
                    </w:rPr>
                  </w:pPr>
                  <w:r>
                    <w:rPr>
                      <w:rFonts w:eastAsia="Times New Roman"/>
                      <w:color w:val="313131"/>
                      <w:sz w:val="16"/>
                      <w:szCs w:val="16"/>
                    </w:rPr>
                    <w:t>Law No. 2 of 1962 on the regulation of the general fiscal policy in Qatar, as amended by Decree Law No. 19 of 1996;</w:t>
                  </w:r>
                </w:p>
                <w:p w:rsidR="00000000" w:rsidRDefault="008937FC">
                  <w:pPr>
                    <w:spacing w:before="0" w:beforeAutospacing="0" w:after="0" w:afterAutospacing="0"/>
                    <w:divId w:val="1346009813"/>
                    <w:rPr>
                      <w:rFonts w:eastAsia="Times New Roman"/>
                      <w:color w:val="313131"/>
                      <w:sz w:val="16"/>
                      <w:szCs w:val="16"/>
                    </w:rPr>
                  </w:pPr>
                  <w:r>
                    <w:rPr>
                      <w:rFonts w:eastAsia="Times New Roman"/>
                      <w:color w:val="313131"/>
                      <w:sz w:val="16"/>
                      <w:szCs w:val="16"/>
                    </w:rPr>
                    <w:t>Decree Law No. 10 of 1974, pertaining to the establishment of Qatar Petroleum and amending laws thereof;</w:t>
                  </w:r>
                </w:p>
                <w:p w:rsidR="00000000" w:rsidRDefault="008937FC">
                  <w:pPr>
                    <w:spacing w:before="0" w:beforeAutospacing="0" w:after="0" w:afterAutospacing="0"/>
                    <w:divId w:val="1346009813"/>
                    <w:rPr>
                      <w:rFonts w:eastAsia="Times New Roman"/>
                      <w:color w:val="313131"/>
                      <w:sz w:val="16"/>
                      <w:szCs w:val="16"/>
                    </w:rPr>
                  </w:pPr>
                  <w:r>
                    <w:rPr>
                      <w:rFonts w:eastAsia="Times New Roman"/>
                      <w:color w:val="313131"/>
                      <w:sz w:val="16"/>
                      <w:szCs w:val="16"/>
                    </w:rPr>
                    <w:t>Decree-Law No. 4 of 1977 in respect</w:t>
                  </w:r>
                  <w:r>
                    <w:rPr>
                      <w:rFonts w:eastAsia="Times New Roman"/>
                      <w:color w:val="313131"/>
                      <w:sz w:val="16"/>
                      <w:szCs w:val="16"/>
                    </w:rPr>
                    <w:t xml:space="preserve"> of the conservation of petroleum resources, as amended by Decree-Law No. 35 of 2002;</w:t>
                  </w:r>
                </w:p>
                <w:p w:rsidR="00000000" w:rsidRDefault="008937FC">
                  <w:pPr>
                    <w:spacing w:before="0" w:beforeAutospacing="0" w:after="0" w:afterAutospacing="0"/>
                    <w:divId w:val="1346009813"/>
                    <w:rPr>
                      <w:rFonts w:eastAsia="Times New Roman"/>
                      <w:color w:val="313131"/>
                      <w:sz w:val="16"/>
                      <w:szCs w:val="16"/>
                    </w:rPr>
                  </w:pPr>
                  <w:r>
                    <w:rPr>
                      <w:rFonts w:eastAsia="Times New Roman"/>
                      <w:color w:val="313131"/>
                      <w:sz w:val="16"/>
                      <w:szCs w:val="16"/>
                    </w:rPr>
                    <w:t>Law No. 23 of 2005 in respect of the regulation of the Ministry of Municipal Affairs and Agriculture, pursuant to regulation of the Ministry of Municipal Affairs and Agri</w:t>
                  </w:r>
                  <w:r>
                    <w:rPr>
                      <w:rFonts w:eastAsia="Times New Roman"/>
                      <w:color w:val="313131"/>
                      <w:sz w:val="16"/>
                      <w:szCs w:val="16"/>
                    </w:rPr>
                    <w:t>culture and the terms of reference thereto, as amended by Law No. 10 of 2006;</w:t>
                  </w:r>
                </w:p>
                <w:p w:rsidR="00000000" w:rsidRDefault="008937FC">
                  <w:pPr>
                    <w:spacing w:before="0" w:beforeAutospacing="0" w:after="0" w:afterAutospacing="0"/>
                    <w:divId w:val="1346009813"/>
                    <w:rPr>
                      <w:rFonts w:eastAsia="Times New Roman"/>
                      <w:color w:val="313131"/>
                      <w:sz w:val="16"/>
                      <w:szCs w:val="16"/>
                    </w:rPr>
                  </w:pPr>
                  <w:r>
                    <w:rPr>
                      <w:rFonts w:eastAsia="Times New Roman"/>
                      <w:color w:val="313131"/>
                      <w:sz w:val="16"/>
                      <w:szCs w:val="16"/>
                    </w:rPr>
                    <w:t>Decree No. 40 of 1992 on the determination of the State of Qatar’s Territorial Waters and the adjacent region thereof;</w:t>
                  </w:r>
                </w:p>
                <w:p w:rsidR="00000000" w:rsidRDefault="008937FC">
                  <w:pPr>
                    <w:spacing w:before="0" w:beforeAutospacing="0" w:after="0" w:afterAutospacing="0"/>
                    <w:divId w:val="1346009813"/>
                    <w:rPr>
                      <w:rFonts w:eastAsia="Times New Roman"/>
                      <w:color w:val="313131"/>
                      <w:sz w:val="16"/>
                      <w:szCs w:val="16"/>
                    </w:rPr>
                  </w:pPr>
                  <w:r>
                    <w:rPr>
                      <w:rFonts w:eastAsia="Times New Roman"/>
                      <w:color w:val="313131"/>
                      <w:sz w:val="16"/>
                      <w:szCs w:val="16"/>
                    </w:rPr>
                    <w:t>The United Nations Convention on the Law of the Sea (UNCLOS</w:t>
                  </w:r>
                  <w:r>
                    <w:rPr>
                      <w:rFonts w:eastAsia="Times New Roman"/>
                      <w:color w:val="313131"/>
                      <w:sz w:val="16"/>
                      <w:szCs w:val="16"/>
                    </w:rPr>
                    <w:t>) of 1982, ratified by Decree No. 41 of 2003;</w:t>
                  </w:r>
                </w:p>
                <w:p w:rsidR="00000000" w:rsidRDefault="008937FC">
                  <w:pPr>
                    <w:spacing w:before="0" w:beforeAutospacing="0" w:after="0" w:afterAutospacing="0"/>
                    <w:divId w:val="1346009813"/>
                    <w:rPr>
                      <w:rFonts w:eastAsia="Times New Roman"/>
                      <w:color w:val="313131"/>
                      <w:sz w:val="16"/>
                      <w:szCs w:val="16"/>
                    </w:rPr>
                  </w:pPr>
                  <w:r>
                    <w:rPr>
                      <w:rFonts w:eastAsia="Times New Roman"/>
                      <w:color w:val="313131"/>
                      <w:sz w:val="16"/>
                      <w:szCs w:val="16"/>
                    </w:rPr>
                    <w:t>The proposal of the Second Deputy Prime Minister, Minister of Energy and Industry;</w:t>
                  </w:r>
                </w:p>
                <w:p w:rsidR="00000000" w:rsidRDefault="008937FC">
                  <w:pPr>
                    <w:spacing w:before="0" w:beforeAutospacing="0" w:after="0" w:afterAutospacing="0"/>
                    <w:divId w:val="1346009813"/>
                    <w:rPr>
                      <w:rFonts w:eastAsia="Times New Roman"/>
                      <w:color w:val="313131"/>
                      <w:sz w:val="16"/>
                      <w:szCs w:val="16"/>
                    </w:rPr>
                  </w:pPr>
                  <w:r>
                    <w:rPr>
                      <w:rFonts w:eastAsia="Times New Roman"/>
                      <w:color w:val="313131"/>
                      <w:sz w:val="16"/>
                      <w:szCs w:val="16"/>
                    </w:rPr>
                    <w:t>The draft law submitted by the Council of Ministers; and</w:t>
                  </w:r>
                </w:p>
                <w:p w:rsidR="00000000" w:rsidRDefault="008937FC">
                  <w:pPr>
                    <w:spacing w:before="0" w:beforeAutospacing="0" w:after="0" w:afterAutospacing="0"/>
                    <w:divId w:val="1346009813"/>
                    <w:rPr>
                      <w:rFonts w:eastAsia="Times New Roman"/>
                      <w:color w:val="313131"/>
                      <w:sz w:val="16"/>
                      <w:szCs w:val="16"/>
                    </w:rPr>
                  </w:pPr>
                  <w:r>
                    <w:rPr>
                      <w:rFonts w:eastAsia="Times New Roman"/>
                      <w:color w:val="313131"/>
                      <w:sz w:val="16"/>
                      <w:szCs w:val="16"/>
                    </w:rPr>
                    <w:t xml:space="preserve">Having consulted the </w:t>
                  </w:r>
                  <w:r>
                    <w:rPr>
                      <w:rStyle w:val="Emphasis"/>
                      <w:rFonts w:eastAsia="Times New Roman"/>
                      <w:color w:val="313131"/>
                      <w:sz w:val="16"/>
                      <w:szCs w:val="16"/>
                    </w:rPr>
                    <w:t>Shura</w:t>
                  </w:r>
                  <w:r>
                    <w:rPr>
                      <w:rFonts w:eastAsia="Times New Roman"/>
                      <w:color w:val="313131"/>
                      <w:sz w:val="16"/>
                      <w:szCs w:val="16"/>
                    </w:rPr>
                    <w:t xml:space="preserve"> Council;</w:t>
                  </w:r>
                </w:p>
                <w:p w:rsidR="00000000" w:rsidRDefault="008937FC">
                  <w:pPr>
                    <w:spacing w:before="0" w:beforeAutospacing="0" w:after="0" w:afterAutospacing="0"/>
                    <w:divId w:val="1346009813"/>
                    <w:rPr>
                      <w:rFonts w:eastAsia="Times New Roman"/>
                      <w:color w:val="313131"/>
                      <w:sz w:val="16"/>
                      <w:szCs w:val="16"/>
                    </w:rPr>
                  </w:pPr>
                  <w:r>
                    <w:rPr>
                      <w:rFonts w:eastAsia="Times New Roman"/>
                      <w:color w:val="313131"/>
                      <w:sz w:val="16"/>
                      <w:szCs w:val="16"/>
                    </w:rPr>
                    <w:t>Hereby promulgate the following La</w:t>
                  </w:r>
                  <w:r>
                    <w:rPr>
                      <w:rFonts w:eastAsia="Times New Roman"/>
                      <w:color w:val="313131"/>
                      <w:sz w:val="16"/>
                      <w:szCs w:val="16"/>
                    </w:rPr>
                    <w:t>w: </w:t>
                  </w:r>
                </w:p>
              </w:tc>
            </w:tr>
            <w:tr w:rsidR="00000000">
              <w:trPr>
                <w:divId w:val="1956667241"/>
                <w:tblCellSpacing w:w="0" w:type="dxa"/>
              </w:trPr>
              <w:tc>
                <w:tcPr>
                  <w:tcW w:w="0" w:type="auto"/>
                  <w:vAlign w:val="center"/>
                  <w:hideMark/>
                </w:tcPr>
                <w:p w:rsidR="00000000" w:rsidRDefault="007B3F44">
                  <w:pPr>
                    <w:spacing w:before="0" w:beforeAutospacing="0" w:after="0" w:afterAutospacing="0"/>
                    <w:rPr>
                      <w:rFonts w:eastAsia="Times New Roman"/>
                      <w:sz w:val="12"/>
                      <w:szCs w:val="12"/>
                    </w:rPr>
                  </w:pPr>
                  <w:r>
                    <w:rPr>
                      <w:rFonts w:eastAsia="Times New Roman"/>
                      <w:sz w:val="12"/>
                      <w:szCs w:val="12"/>
                    </w:rPr>
                    <w:pict>
                      <v:rect id="_x0000_i1028" style="width:0;height:1.5pt" o:hralign="center" o:hrstd="t" o:hr="t" fillcolor="#a0a0a0" stroked="f"/>
                    </w:pict>
                  </w:r>
                </w:p>
              </w:tc>
            </w:tr>
            <w:bookmarkStart w:id="0" w:name="Section_9597"/>
            <w:tr w:rsidR="00000000">
              <w:trPr>
                <w:divId w:val="1956667241"/>
                <w:tblCellSpacing w:w="0" w:type="dxa"/>
              </w:trPr>
              <w:tc>
                <w:tcPr>
                  <w:tcW w:w="0" w:type="auto"/>
                  <w:vAlign w:val="center"/>
                  <w:hideMark/>
                </w:tcPr>
                <w:p w:rsidR="00000000" w:rsidRDefault="008937FC">
                  <w:pPr>
                    <w:pStyle w:val="NormalWeb"/>
                    <w:jc w:val="both"/>
                    <w:rPr>
                      <w:sz w:val="12"/>
                      <w:szCs w:val="12"/>
                    </w:rPr>
                  </w:pPr>
                  <w:r>
                    <w:rPr>
                      <w:b/>
                      <w:bCs/>
                      <w:sz w:val="14"/>
                      <w:szCs w:val="14"/>
                      <w:u w:val="single"/>
                    </w:rPr>
                    <w:fldChar w:fldCharType="begin"/>
                  </w:r>
                  <w:r>
                    <w:rPr>
                      <w:b/>
                      <w:bCs/>
                      <w:sz w:val="14"/>
                      <w:szCs w:val="14"/>
                      <w:u w:val="single"/>
                    </w:rPr>
                    <w:instrText xml:space="preserve"> </w:instrText>
                  </w:r>
                  <w:r>
                    <w:rPr>
                      <w:b/>
                      <w:bCs/>
                      <w:sz w:val="14"/>
                      <w:szCs w:val="14"/>
                      <w:u w:val="single"/>
                    </w:rPr>
                    <w:instrText>HYPERLINK ""</w:instrText>
                  </w:r>
                  <w:r>
                    <w:rPr>
                      <w:b/>
                      <w:bCs/>
                      <w:sz w:val="14"/>
                      <w:szCs w:val="14"/>
                      <w:u w:val="single"/>
                    </w:rPr>
                    <w:instrText xml:space="preserve"> </w:instrText>
                  </w:r>
                  <w:r>
                    <w:rPr>
                      <w:b/>
                      <w:bCs/>
                      <w:sz w:val="14"/>
                      <w:szCs w:val="14"/>
                      <w:u w:val="single"/>
                    </w:rPr>
                    <w:fldChar w:fldCharType="separate"/>
                  </w:r>
                  <w:r>
                    <w:rPr>
                      <w:rStyle w:val="Hyperlink"/>
                      <w:b/>
                      <w:bCs/>
                      <w:sz w:val="14"/>
                      <w:szCs w:val="14"/>
                    </w:rPr>
                    <w:t>Articles</w:t>
                  </w:r>
                  <w:r>
                    <w:rPr>
                      <w:b/>
                      <w:bCs/>
                      <w:sz w:val="14"/>
                      <w:szCs w:val="14"/>
                      <w:u w:val="single"/>
                    </w:rPr>
                    <w:fldChar w:fldCharType="end"/>
                  </w:r>
                  <w:bookmarkEnd w:id="0"/>
                </w:p>
                <w:p w:rsidR="00000000" w:rsidRDefault="008937FC">
                  <w:pPr>
                    <w:pStyle w:val="NormalWeb"/>
                    <w:jc w:val="both"/>
                    <w:rPr>
                      <w:sz w:val="12"/>
                      <w:szCs w:val="12"/>
                    </w:rPr>
                  </w:pPr>
                  <w:r>
                    <w:rPr>
                      <w:sz w:val="14"/>
                      <w:szCs w:val="14"/>
                    </w:rPr>
                    <w:t xml:space="preserve">Article </w:t>
                  </w:r>
                  <w:r>
                    <w:rPr>
                      <w:sz w:val="16"/>
                      <w:szCs w:val="16"/>
                    </w:rPr>
                    <w:t xml:space="preserve">1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838959063"/>
                          <w:rPr>
                            <w:rFonts w:eastAsia="Times New Roman"/>
                            <w:sz w:val="12"/>
                            <w:szCs w:val="12"/>
                          </w:rPr>
                        </w:pPr>
                        <w:r>
                          <w:rPr>
                            <w:rStyle w:val="st1"/>
                            <w:rFonts w:eastAsia="Times New Roman"/>
                            <w:sz w:val="12"/>
                            <w:szCs w:val="12"/>
                          </w:rPr>
                          <w:t xml:space="preserve"> In the </w:t>
                        </w:r>
                        <w:r>
                          <w:rPr>
                            <w:rStyle w:val="st1"/>
                            <w:rFonts w:eastAsia="Times New Roman"/>
                            <w:b/>
                            <w:bCs/>
                            <w:sz w:val="12"/>
                            <w:szCs w:val="12"/>
                          </w:rPr>
                          <w:t>application</w:t>
                        </w:r>
                        <w:r>
                          <w:rPr>
                            <w:rStyle w:val="st1"/>
                            <w:rFonts w:eastAsia="Times New Roman"/>
                            <w:sz w:val="12"/>
                            <w:szCs w:val="12"/>
                          </w:rPr>
                          <w:t xml:space="preserve"> of the provisions of this L</w:t>
                        </w:r>
                        <w:r>
                          <w:rPr>
                            <w:rStyle w:val="st1"/>
                            <w:rFonts w:eastAsia="Times New Roman"/>
                            <w:b/>
                            <w:bCs/>
                            <w:sz w:val="12"/>
                            <w:szCs w:val="12"/>
                          </w:rPr>
                          <w:t>aw, unless</w:t>
                        </w:r>
                        <w:r>
                          <w:rPr>
                            <w:rStyle w:val="st1"/>
                            <w:rFonts w:eastAsia="Times New Roman"/>
                            <w:sz w:val="12"/>
                            <w:szCs w:val="12"/>
                          </w:rPr>
                          <w:t xml:space="preserve"> the context requires </w:t>
                        </w:r>
                        <w:r>
                          <w:rPr>
                            <w:rStyle w:val="st1"/>
                            <w:rFonts w:eastAsia="Times New Roman"/>
                            <w:b/>
                            <w:bCs/>
                            <w:sz w:val="12"/>
                            <w:szCs w:val="12"/>
                          </w:rPr>
                          <w:t>otherwise, the following words and expressions shall have</w:t>
                        </w:r>
                        <w:r>
                          <w:rPr>
                            <w:rStyle w:val="st1"/>
                            <w:rFonts w:eastAsia="Times New Roman"/>
                            <w:sz w:val="12"/>
                            <w:szCs w:val="12"/>
                          </w:rPr>
                          <w:t xml:space="preserve"> the </w:t>
                        </w:r>
                        <w:r>
                          <w:rPr>
                            <w:rStyle w:val="st1"/>
                            <w:rFonts w:eastAsia="Times New Roman"/>
                            <w:b/>
                            <w:bCs/>
                            <w:sz w:val="12"/>
                            <w:szCs w:val="12"/>
                          </w:rPr>
                          <w:t>meaning assigned</w:t>
                        </w:r>
                        <w:r>
                          <w:rPr>
                            <w:rStyle w:val="st1"/>
                            <w:rFonts w:eastAsia="Times New Roman"/>
                            <w:sz w:val="12"/>
                            <w:szCs w:val="12"/>
                          </w:rPr>
                          <w:t xml:space="preserve"> </w:t>
                        </w:r>
                        <w:r>
                          <w:rPr>
                            <w:rStyle w:val="st1"/>
                            <w:rFonts w:eastAsia="Times New Roman"/>
                            <w:sz w:val="12"/>
                            <w:szCs w:val="12"/>
                          </w:rPr>
                          <w:t xml:space="preserve">to each of </w:t>
                        </w:r>
                        <w:r>
                          <w:rPr>
                            <w:rStyle w:val="st1"/>
                            <w:rFonts w:eastAsia="Times New Roman"/>
                            <w:b/>
                            <w:bCs/>
                            <w:sz w:val="12"/>
                            <w:szCs w:val="12"/>
                          </w:rPr>
                          <w:t>them</w:t>
                        </w:r>
                        <w:r>
                          <w:rPr>
                            <w:rStyle w:val="st1"/>
                            <w:rFonts w:eastAsia="Times New Roman"/>
                            <w:sz w:val="12"/>
                            <w:szCs w:val="12"/>
                          </w:rPr>
                          <w:t>:</w:t>
                        </w:r>
                      </w:p>
                      <w:p w:rsidR="00000000" w:rsidRDefault="008937FC">
                        <w:pPr>
                          <w:spacing w:before="0" w:beforeAutospacing="0" w:after="0" w:afterAutospacing="0"/>
                          <w:divId w:val="1480271104"/>
                          <w:rPr>
                            <w:rFonts w:eastAsia="Times New Roman"/>
                            <w:sz w:val="12"/>
                            <w:szCs w:val="12"/>
                          </w:rPr>
                        </w:pPr>
                        <w:r>
                          <w:rPr>
                            <w:rStyle w:val="st1"/>
                            <w:rFonts w:eastAsia="Times New Roman"/>
                            <w:sz w:val="12"/>
                            <w:szCs w:val="12"/>
                          </w:rPr>
                          <w:t> </w:t>
                        </w:r>
                      </w:p>
                      <w:p w:rsidR="00000000" w:rsidRDefault="008937FC">
                        <w:pPr>
                          <w:spacing w:before="0" w:beforeAutospacing="0" w:after="0" w:afterAutospacing="0"/>
                          <w:divId w:val="284123"/>
                          <w:rPr>
                            <w:rFonts w:eastAsia="Times New Roman"/>
                            <w:sz w:val="12"/>
                            <w:szCs w:val="12"/>
                          </w:rPr>
                        </w:pPr>
                        <w:r>
                          <w:rPr>
                            <w:rStyle w:val="st1"/>
                            <w:rFonts w:eastAsia="Times New Roman"/>
                            <w:sz w:val="12"/>
                            <w:szCs w:val="12"/>
                          </w:rPr>
                          <w:t>“The Ministry” means theMinistry of Energy and Industry;</w:t>
                        </w:r>
                      </w:p>
                      <w:p w:rsidR="00000000" w:rsidRDefault="008937FC">
                        <w:pPr>
                          <w:spacing w:before="0" w:beforeAutospacing="0" w:after="0" w:afterAutospacing="0"/>
                          <w:divId w:val="1401126273"/>
                          <w:rPr>
                            <w:rFonts w:eastAsia="Times New Roman"/>
                            <w:sz w:val="12"/>
                            <w:szCs w:val="12"/>
                          </w:rPr>
                        </w:pPr>
                        <w:r>
                          <w:rPr>
                            <w:rStyle w:val="st1"/>
                            <w:rFonts w:eastAsia="Times New Roman"/>
                            <w:sz w:val="12"/>
                            <w:szCs w:val="12"/>
                          </w:rPr>
                          <w:t>“The Minister” means the Minister of Energy and Industry;</w:t>
                        </w:r>
                      </w:p>
                      <w:p w:rsidR="00000000" w:rsidRDefault="008937FC">
                        <w:pPr>
                          <w:spacing w:before="0" w:beforeAutospacing="0" w:after="0" w:afterAutospacing="0"/>
                          <w:divId w:val="1829205510"/>
                          <w:rPr>
                            <w:rFonts w:eastAsia="Times New Roman"/>
                            <w:sz w:val="12"/>
                            <w:szCs w:val="12"/>
                          </w:rPr>
                        </w:pPr>
                        <w:r>
                          <w:rPr>
                            <w:rStyle w:val="st1"/>
                            <w:rFonts w:eastAsia="Times New Roman"/>
                            <w:sz w:val="12"/>
                            <w:szCs w:val="12"/>
                          </w:rPr>
                          <w:t>“Natural resources” means all natural, non-living materials, whether metallic or non-metallic, occurring on, in or beneath</w:t>
                        </w:r>
                        <w:r>
                          <w:rPr>
                            <w:rStyle w:val="st1"/>
                            <w:rFonts w:eastAsia="Times New Roman"/>
                            <w:sz w:val="12"/>
                            <w:szCs w:val="12"/>
                          </w:rPr>
                          <w:t xml:space="preserve"> the soil surface, territorial waters, continental shelf, or exclusive economic zone of the State. Such materials include all minerals and substances thereof, precious stones, similar stones, and stones used for decorative purposes, soil, sand, mares and t</w:t>
                        </w:r>
                        <w:r>
                          <w:rPr>
                            <w:rStyle w:val="st1"/>
                            <w:rFonts w:eastAsia="Times New Roman"/>
                            <w:sz w:val="12"/>
                            <w:szCs w:val="12"/>
                          </w:rPr>
                          <w:t>he material used in building construction, road construction and filling;</w:t>
                        </w:r>
                      </w:p>
                      <w:p w:rsidR="00000000" w:rsidRDefault="008937FC">
                        <w:pPr>
                          <w:spacing w:before="0" w:beforeAutospacing="0" w:after="0" w:afterAutospacing="0"/>
                          <w:divId w:val="1716539771"/>
                          <w:rPr>
                            <w:rFonts w:eastAsia="Times New Roman"/>
                            <w:sz w:val="12"/>
                            <w:szCs w:val="12"/>
                          </w:rPr>
                        </w:pPr>
                        <w:r>
                          <w:rPr>
                            <w:rStyle w:val="st1"/>
                            <w:rFonts w:eastAsia="Times New Roman"/>
                            <w:sz w:val="12"/>
                            <w:szCs w:val="12"/>
                          </w:rPr>
                          <w:t>“Petrol” means all natural hydrocarbon material in its solid, liquid or gaseous state, or any material that can be produced from or beneath the surface of the soil, including natural</w:t>
                        </w:r>
                        <w:r>
                          <w:rPr>
                            <w:rStyle w:val="st1"/>
                            <w:rFonts w:eastAsia="Times New Roman"/>
                            <w:sz w:val="12"/>
                            <w:szCs w:val="12"/>
                          </w:rPr>
                          <w:t xml:space="preserve"> gas;</w:t>
                        </w:r>
                      </w:p>
                      <w:p w:rsidR="00000000" w:rsidRDefault="008937FC">
                        <w:pPr>
                          <w:spacing w:before="0" w:beforeAutospacing="0" w:after="0" w:afterAutospacing="0"/>
                          <w:divId w:val="1948542584"/>
                          <w:rPr>
                            <w:rFonts w:eastAsia="Times New Roman"/>
                            <w:sz w:val="12"/>
                            <w:szCs w:val="12"/>
                          </w:rPr>
                        </w:pPr>
                        <w:r>
                          <w:rPr>
                            <w:rStyle w:val="st1"/>
                            <w:rFonts w:eastAsia="Times New Roman"/>
                            <w:sz w:val="12"/>
                            <w:szCs w:val="12"/>
                          </w:rPr>
                          <w:t>“Petroleum operations” means petroleum exploration and prospection; development of petroleum fields; drilling and maintenance of wells; petroleum production, treatment, refining, storage, transportation, and shipment; the construction of  the necessa</w:t>
                        </w:r>
                        <w:r>
                          <w:rPr>
                            <w:rStyle w:val="st1"/>
                            <w:rFonts w:eastAsia="Times New Roman"/>
                            <w:sz w:val="12"/>
                            <w:szCs w:val="12"/>
                          </w:rPr>
                          <w:t xml:space="preserve">ry utilities for energy, water, accommodation and camps as well as the installation and operation of utilities, in addition to any other utilities, installations or equipment required for the abovementioned purposes, including all facets of administrative </w:t>
                        </w:r>
                        <w:r>
                          <w:rPr>
                            <w:rStyle w:val="st1"/>
                            <w:rFonts w:eastAsia="Times New Roman"/>
                            <w:sz w:val="12"/>
                            <w:szCs w:val="12"/>
                          </w:rPr>
                          <w:t>or supplementary activities, and activities necessary in achieving the aforementioned purposes;</w:t>
                        </w:r>
                      </w:p>
                      <w:p w:rsidR="00000000" w:rsidRDefault="008937FC">
                        <w:pPr>
                          <w:spacing w:before="0" w:beforeAutospacing="0" w:after="0" w:afterAutospacing="0"/>
                          <w:divId w:val="816847530"/>
                          <w:rPr>
                            <w:rFonts w:eastAsia="Times New Roman"/>
                            <w:sz w:val="12"/>
                            <w:szCs w:val="12"/>
                          </w:rPr>
                        </w:pPr>
                        <w:r>
                          <w:rPr>
                            <w:rStyle w:val="st1"/>
                            <w:rFonts w:eastAsia="Times New Roman"/>
                            <w:sz w:val="12"/>
                            <w:szCs w:val="12"/>
                          </w:rPr>
                          <w:t>“Executor of petroleum operations” means any natural or legal person who is authorized legally to conduct any of the petroleum operations;</w:t>
                        </w:r>
                      </w:p>
                      <w:p w:rsidR="00000000" w:rsidRDefault="008937FC">
                        <w:pPr>
                          <w:spacing w:before="0" w:beforeAutospacing="0" w:after="0" w:afterAutospacing="0"/>
                          <w:divId w:val="1923372764"/>
                          <w:rPr>
                            <w:rFonts w:eastAsia="Times New Roman"/>
                            <w:sz w:val="12"/>
                            <w:szCs w:val="12"/>
                          </w:rPr>
                        </w:pPr>
                        <w:r>
                          <w:rPr>
                            <w:rStyle w:val="st1"/>
                            <w:rFonts w:eastAsia="Times New Roman"/>
                            <w:sz w:val="12"/>
                            <w:szCs w:val="12"/>
                          </w:rPr>
                          <w:t>“Reconnaissance” mean</w:t>
                        </w:r>
                        <w:r>
                          <w:rPr>
                            <w:rStyle w:val="st1"/>
                            <w:rFonts w:eastAsia="Times New Roman"/>
                            <w:sz w:val="12"/>
                            <w:szCs w:val="12"/>
                          </w:rPr>
                          <w:t>s the aerial, terrestrial and sea survey of or search in any area for purposes of verification of the existence of natural resources therein. This survey includes all aspects of exploration such as economic, technical and geological studies;</w:t>
                        </w:r>
                      </w:p>
                      <w:p w:rsidR="00000000" w:rsidRDefault="008937FC">
                        <w:pPr>
                          <w:spacing w:before="0" w:beforeAutospacing="0" w:after="0" w:afterAutospacing="0"/>
                          <w:divId w:val="1440103263"/>
                          <w:rPr>
                            <w:rFonts w:eastAsia="Times New Roman"/>
                            <w:sz w:val="12"/>
                            <w:szCs w:val="12"/>
                          </w:rPr>
                        </w:pPr>
                        <w:r>
                          <w:rPr>
                            <w:rStyle w:val="st1"/>
                            <w:rFonts w:eastAsia="Times New Roman"/>
                            <w:sz w:val="12"/>
                            <w:szCs w:val="12"/>
                          </w:rPr>
                          <w:t>“Minerals” mea</w:t>
                        </w:r>
                        <w:r>
                          <w:rPr>
                            <w:rStyle w:val="st1"/>
                            <w:rFonts w:eastAsia="Times New Roman"/>
                            <w:sz w:val="12"/>
                            <w:szCs w:val="12"/>
                          </w:rPr>
                          <w:t>ns all raw minerals that have economic value, with the exception of petrol;</w:t>
                        </w:r>
                      </w:p>
                      <w:p w:rsidR="00000000" w:rsidRDefault="008937FC">
                        <w:pPr>
                          <w:spacing w:before="0" w:beforeAutospacing="0" w:after="0" w:afterAutospacing="0"/>
                          <w:divId w:val="1311254646"/>
                          <w:rPr>
                            <w:rFonts w:eastAsia="Times New Roman"/>
                            <w:sz w:val="12"/>
                            <w:szCs w:val="12"/>
                          </w:rPr>
                        </w:pPr>
                        <w:r>
                          <w:rPr>
                            <w:rStyle w:val="st1"/>
                            <w:rFonts w:eastAsia="Times New Roman"/>
                            <w:sz w:val="12"/>
                            <w:szCs w:val="12"/>
                          </w:rPr>
                          <w:t>“Exploration” means any activity pursuant to the search for and reconnaissance of petroleum, minerals and mare resources in order to verify their existence and identify their quant</w:t>
                        </w:r>
                        <w:r>
                          <w:rPr>
                            <w:rStyle w:val="st1"/>
                            <w:rFonts w:eastAsia="Times New Roman"/>
                            <w:sz w:val="12"/>
                            <w:szCs w:val="12"/>
                          </w:rPr>
                          <w:t>ity and quality. This activity includes the necessary drilling, analysis and detailed studies;</w:t>
                        </w:r>
                      </w:p>
                      <w:p w:rsidR="00000000" w:rsidRDefault="008937FC">
                        <w:pPr>
                          <w:spacing w:before="0" w:beforeAutospacing="0" w:after="0" w:afterAutospacing="0"/>
                          <w:divId w:val="1354307338"/>
                          <w:rPr>
                            <w:rFonts w:eastAsia="Times New Roman"/>
                            <w:sz w:val="12"/>
                            <w:szCs w:val="12"/>
                          </w:rPr>
                        </w:pPr>
                        <w:r>
                          <w:rPr>
                            <w:rStyle w:val="st1"/>
                            <w:rFonts w:eastAsia="Times New Roman"/>
                            <w:sz w:val="12"/>
                            <w:szCs w:val="12"/>
                          </w:rPr>
                          <w:t xml:space="preserve">“Discovery” means notification of the existence of minerals or minerals with exploitable quantities. This notification shall be submitted to the Minister by the </w:t>
                        </w:r>
                        <w:r>
                          <w:rPr>
                            <w:rStyle w:val="st1"/>
                            <w:rFonts w:eastAsia="Times New Roman"/>
                            <w:sz w:val="12"/>
                            <w:szCs w:val="12"/>
                          </w:rPr>
                          <w:t>discoverer. The location shall be identified on the specific technical maps.</w:t>
                        </w:r>
                      </w:p>
                      <w:p w:rsidR="00000000" w:rsidRDefault="008937FC">
                        <w:pPr>
                          <w:spacing w:before="0" w:beforeAutospacing="0" w:after="0" w:afterAutospacing="0"/>
                          <w:divId w:val="1641496028"/>
                          <w:rPr>
                            <w:rFonts w:eastAsia="Times New Roman"/>
                            <w:sz w:val="12"/>
                            <w:szCs w:val="12"/>
                          </w:rPr>
                        </w:pPr>
                        <w:r>
                          <w:rPr>
                            <w:rStyle w:val="st1"/>
                            <w:rFonts w:eastAsia="Times New Roman"/>
                            <w:sz w:val="12"/>
                            <w:szCs w:val="12"/>
                          </w:rPr>
                          <w:t xml:space="preserve">“Mining operations” means any necessary activity aimed at exploring and extracting minerals and mare materials, or their extracted  substances, or any procedure relating thereto, </w:t>
                        </w:r>
                        <w:r>
                          <w:rPr>
                            <w:rStyle w:val="st1"/>
                            <w:rFonts w:eastAsia="Times New Roman"/>
                            <w:sz w:val="12"/>
                            <w:szCs w:val="12"/>
                          </w:rPr>
                          <w:t>including drilling, constructing of tunnels, water-wells, dams, sewage facilities and water tanks, as well as the installation of railways, pipelines, assembly of equipment and construction of buildings for exploration or the housing of staff. It also incl</w:t>
                        </w:r>
                        <w:r>
                          <w:rPr>
                            <w:rStyle w:val="st1"/>
                            <w:rFonts w:eastAsia="Times New Roman"/>
                            <w:sz w:val="12"/>
                            <w:szCs w:val="12"/>
                          </w:rPr>
                          <w:t>udes investment in manufacturing and the preparation of minerals for marketing;</w:t>
                        </w:r>
                      </w:p>
                      <w:p w:rsidR="00000000" w:rsidRDefault="008937FC">
                        <w:pPr>
                          <w:spacing w:before="0" w:beforeAutospacing="0" w:after="0" w:afterAutospacing="0"/>
                          <w:divId w:val="1239634735"/>
                          <w:rPr>
                            <w:rFonts w:eastAsia="Times New Roman"/>
                            <w:sz w:val="12"/>
                            <w:szCs w:val="12"/>
                          </w:rPr>
                        </w:pPr>
                        <w:r>
                          <w:rPr>
                            <w:rStyle w:val="st1"/>
                            <w:rFonts w:eastAsia="Times New Roman"/>
                            <w:sz w:val="12"/>
                            <w:szCs w:val="12"/>
                          </w:rPr>
                          <w:t>“Mine” means any place wherein any mining operation is conducted for the purpose of exploration for minerals;</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29"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2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305430235"/>
                          <w:rPr>
                            <w:rFonts w:eastAsia="Times New Roman"/>
                            <w:sz w:val="12"/>
                            <w:szCs w:val="12"/>
                          </w:rPr>
                        </w:pPr>
                        <w:r>
                          <w:rPr>
                            <w:rStyle w:val="st1"/>
                            <w:rFonts w:eastAsia="Times New Roman"/>
                            <w:sz w:val="12"/>
                            <w:szCs w:val="12"/>
                          </w:rPr>
                          <w:t> </w:t>
                        </w:r>
                        <w:r>
                          <w:rPr>
                            <w:rStyle w:val="st1"/>
                            <w:rFonts w:eastAsia="Times New Roman"/>
                            <w:sz w:val="12"/>
                            <w:szCs w:val="12"/>
                          </w:rPr>
                          <w:t>All of the natural wealth and resources shall be deemed to be owned by the State, and no exploitation, transfer or trade of these resources shall be permitted unless within the scope of this Law.</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30"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3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520"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34641312"/>
                          <w:rPr>
                            <w:rFonts w:eastAsia="Times New Roman"/>
                            <w:sz w:val="12"/>
                            <w:szCs w:val="12"/>
                          </w:rPr>
                        </w:pPr>
                        <w:r>
                          <w:rPr>
                            <w:rStyle w:val="st1"/>
                            <w:rFonts w:eastAsia="Times New Roman"/>
                            <w:sz w:val="12"/>
                            <w:szCs w:val="12"/>
                          </w:rPr>
                          <w:t> </w:t>
                        </w:r>
                      </w:p>
                      <w:p w:rsidR="00000000" w:rsidRDefault="008937FC">
                        <w:pPr>
                          <w:spacing w:before="0" w:beforeAutospacing="0" w:after="0" w:afterAutospacing="0"/>
                          <w:divId w:val="2039815722"/>
                          <w:rPr>
                            <w:rFonts w:eastAsia="Times New Roman"/>
                            <w:sz w:val="12"/>
                            <w:szCs w:val="12"/>
                          </w:rPr>
                        </w:pPr>
                        <w:r>
                          <w:rPr>
                            <w:rStyle w:val="st1"/>
                            <w:rFonts w:eastAsia="Times New Roman"/>
                            <w:sz w:val="12"/>
                            <w:szCs w:val="12"/>
                          </w:rPr>
                          <w:t>Conc</w:t>
                        </w:r>
                        <w:r>
                          <w:rPr>
                            <w:rStyle w:val="st1"/>
                            <w:rFonts w:eastAsia="Times New Roman"/>
                            <w:sz w:val="12"/>
                            <w:szCs w:val="12"/>
                          </w:rPr>
                          <w:t>ession rights to exploit natural resources, with the exception of petrol, soil, sand, mare material and its substances that are used in activities of construction, road construction and filling, and any amendment of the conditions of such concession, scope</w:t>
                        </w:r>
                        <w:r>
                          <w:rPr>
                            <w:rStyle w:val="st1"/>
                            <w:rFonts w:eastAsia="Times New Roman"/>
                            <w:sz w:val="12"/>
                            <w:szCs w:val="12"/>
                          </w:rPr>
                          <w:t xml:space="preserve"> and royalty thereof, shall be granted through a decision issued by the Minister and approved by the Council of Ministers.  Royalties shall only be granted for a limited period. </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31"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4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358772859"/>
                          <w:rPr>
                            <w:rFonts w:eastAsia="Times New Roman"/>
                            <w:sz w:val="12"/>
                            <w:szCs w:val="12"/>
                          </w:rPr>
                        </w:pPr>
                        <w:r>
                          <w:rPr>
                            <w:rStyle w:val="st1"/>
                            <w:rFonts w:eastAsia="Times New Roman"/>
                            <w:sz w:val="12"/>
                            <w:szCs w:val="12"/>
                          </w:rPr>
                          <w:t> </w:t>
                        </w:r>
                        <w:r>
                          <w:rPr>
                            <w:rStyle w:val="st1"/>
                            <w:rFonts w:eastAsia="Times New Roman"/>
                            <w:sz w:val="12"/>
                            <w:szCs w:val="12"/>
                          </w:rPr>
                          <w:t>Qatar Petroleum shall have the general exclusive concession rights of reconnaissance, exploration and production of oil and natural gas, together with other hydrocarbon materials and its substances. It shall have the right to invest and develop resources t</w:t>
                        </w:r>
                        <w:r>
                          <w:rPr>
                            <w:rStyle w:val="st1"/>
                            <w:rFonts w:eastAsia="Times New Roman"/>
                            <w:sz w:val="12"/>
                            <w:szCs w:val="12"/>
                          </w:rPr>
                          <w:t xml:space="preserve">herein. Qatar Petroleum is authorized to grant licenses to any natural or legal person for the conduct of any petroleum operations pursuant to regulating provisions of Qatar Petroleum. </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32"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5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421804135"/>
                          <w:rPr>
                            <w:rFonts w:eastAsia="Times New Roman"/>
                            <w:sz w:val="12"/>
                            <w:szCs w:val="12"/>
                          </w:rPr>
                        </w:pPr>
                        <w:r>
                          <w:rPr>
                            <w:rStyle w:val="st1"/>
                            <w:rFonts w:eastAsia="Times New Roman"/>
                            <w:sz w:val="12"/>
                            <w:szCs w:val="12"/>
                          </w:rPr>
                          <w:t> </w:t>
                        </w:r>
                      </w:p>
                      <w:p w:rsidR="00000000" w:rsidRDefault="008937FC">
                        <w:pPr>
                          <w:spacing w:before="0" w:beforeAutospacing="0" w:after="0" w:afterAutospacing="0"/>
                          <w:divId w:val="1386098128"/>
                          <w:rPr>
                            <w:rFonts w:eastAsia="Times New Roman"/>
                            <w:sz w:val="12"/>
                            <w:szCs w:val="12"/>
                          </w:rPr>
                        </w:pPr>
                        <w:r>
                          <w:rPr>
                            <w:rStyle w:val="st1"/>
                            <w:rFonts w:eastAsia="Times New Roman"/>
                            <w:sz w:val="12"/>
                            <w:szCs w:val="12"/>
                          </w:rPr>
                          <w:t>The Ministry o</w:t>
                        </w:r>
                        <w:r>
                          <w:rPr>
                            <w:rStyle w:val="st1"/>
                            <w:rFonts w:eastAsia="Times New Roman"/>
                            <w:sz w:val="12"/>
                            <w:szCs w:val="12"/>
                          </w:rPr>
                          <w:t>f Municipal Affairs and Agriculture is mandated, in coordination with the relevant authorities, to grant a license to any natural or legal person to explore, transport or exploit soil, sand, mare materials and its substances that are used in building const</w:t>
                        </w:r>
                        <w:r>
                          <w:rPr>
                            <w:rStyle w:val="st1"/>
                            <w:rFonts w:eastAsia="Times New Roman"/>
                            <w:sz w:val="12"/>
                            <w:szCs w:val="12"/>
                          </w:rPr>
                          <w:t>ruction, road construction and filling, pursuant to conditions and procedures issued by the Minister of Municipal Affairs and Agriculture.</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33"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6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350686019"/>
                          <w:rPr>
                            <w:rFonts w:eastAsia="Times New Roman"/>
                            <w:sz w:val="12"/>
                            <w:szCs w:val="12"/>
                          </w:rPr>
                        </w:pPr>
                        <w:r>
                          <w:rPr>
                            <w:rStyle w:val="st1"/>
                            <w:rFonts w:eastAsia="Times New Roman"/>
                            <w:sz w:val="12"/>
                            <w:szCs w:val="12"/>
                          </w:rPr>
                          <w:t> </w:t>
                        </w:r>
                        <w:r>
                          <w:rPr>
                            <w:rStyle w:val="st1"/>
                            <w:rFonts w:eastAsia="Times New Roman"/>
                            <w:sz w:val="12"/>
                            <w:szCs w:val="12"/>
                          </w:rPr>
                          <w:t>Exploration, transfer or exploitation of soil, sand, mare materials and its substances that are used in building construction, road construction and filling is prohibited without a license issued by the Ministry of Municipal Affairs and Agriculture. The li</w:t>
                        </w:r>
                        <w:r>
                          <w:rPr>
                            <w:rStyle w:val="st1"/>
                            <w:rFonts w:eastAsia="Times New Roman"/>
                            <w:sz w:val="12"/>
                            <w:szCs w:val="12"/>
                          </w:rPr>
                          <w:t xml:space="preserve">censee shall commit to abide by the conditions specified in the license. </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34"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7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384642437"/>
                          <w:rPr>
                            <w:rFonts w:eastAsia="Times New Roman"/>
                            <w:sz w:val="12"/>
                            <w:szCs w:val="12"/>
                          </w:rPr>
                        </w:pPr>
                        <w:r>
                          <w:rPr>
                            <w:rStyle w:val="st1"/>
                            <w:rFonts w:eastAsia="Times New Roman"/>
                            <w:sz w:val="12"/>
                            <w:szCs w:val="12"/>
                          </w:rPr>
                          <w:t> </w:t>
                        </w:r>
                        <w:r>
                          <w:rPr>
                            <w:rStyle w:val="st1"/>
                            <w:rFonts w:eastAsia="Times New Roman"/>
                            <w:sz w:val="12"/>
                            <w:szCs w:val="12"/>
                          </w:rPr>
                          <w:t>The Minister is entitled, on behalf of the government, to grant a license to natural or legal persons for reconnaissance and exploration of natural resources, other than petrol, in accordance with the rules and conditions stipulated by the Council of Minis</w:t>
                        </w:r>
                        <w:r>
                          <w:rPr>
                            <w:rStyle w:val="st1"/>
                            <w:rFonts w:eastAsia="Times New Roman"/>
                            <w:sz w:val="12"/>
                            <w:szCs w:val="12"/>
                          </w:rPr>
                          <w:t>ters.</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35"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8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735349014"/>
                          <w:rPr>
                            <w:rFonts w:eastAsia="Times New Roman"/>
                            <w:sz w:val="12"/>
                            <w:szCs w:val="12"/>
                          </w:rPr>
                        </w:pPr>
                        <w:r>
                          <w:rPr>
                            <w:rStyle w:val="st1"/>
                            <w:rFonts w:eastAsia="Times New Roman"/>
                            <w:sz w:val="12"/>
                            <w:szCs w:val="12"/>
                          </w:rPr>
                          <w:t xml:space="preserve"> Licenses for reconnaissance, exploration, production and mining rights for natural or legal persons shall not be granted to non-Qatari citizens unless pursuant to special agreements concluded by </w:t>
                        </w:r>
                        <w:r>
                          <w:rPr>
                            <w:rStyle w:val="st1"/>
                            <w:rFonts w:eastAsia="Times New Roman"/>
                            <w:sz w:val="12"/>
                            <w:szCs w:val="12"/>
                          </w:rPr>
                          <w:t>the Minister in accordance with the rules and conditions specified by the Council of Ministers.</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36"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9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605846667"/>
                          <w:rPr>
                            <w:rFonts w:eastAsia="Times New Roman"/>
                            <w:sz w:val="12"/>
                            <w:szCs w:val="12"/>
                          </w:rPr>
                        </w:pPr>
                        <w:r>
                          <w:rPr>
                            <w:rStyle w:val="st1"/>
                            <w:rFonts w:eastAsia="Times New Roman"/>
                            <w:sz w:val="12"/>
                            <w:szCs w:val="12"/>
                          </w:rPr>
                          <w:t xml:space="preserve"> Discovery certificate shall be granted by the Minster to whosoever discovers a mineral, or minerals of exploitable quantities, after fulfilling the condition of specifying the location of discovery on </w:t>
                        </w:r>
                        <w:r>
                          <w:rPr>
                            <w:rStyle w:val="st1"/>
                            <w:rFonts w:eastAsia="Times New Roman"/>
                            <w:sz w:val="12"/>
                            <w:szCs w:val="12"/>
                          </w:rPr>
                          <w:t xml:space="preserve">the technical maps. </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37"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10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238104745"/>
                          <w:rPr>
                            <w:rFonts w:eastAsia="Times New Roman"/>
                            <w:sz w:val="12"/>
                            <w:szCs w:val="12"/>
                          </w:rPr>
                        </w:pPr>
                        <w:r>
                          <w:rPr>
                            <w:rStyle w:val="st1"/>
                            <w:rFonts w:eastAsia="Times New Roman"/>
                            <w:sz w:val="12"/>
                            <w:szCs w:val="12"/>
                          </w:rPr>
                          <w:t> Rights to exploit minerals existing in the area for which the license of exploration is granted and the mining right is given, shall be restricted to minerals existing within the</w:t>
                        </w:r>
                        <w:r>
                          <w:rPr>
                            <w:rStyle w:val="st1"/>
                            <w:rFonts w:eastAsia="Times New Roman"/>
                            <w:sz w:val="12"/>
                            <w:szCs w:val="12"/>
                          </w:rPr>
                          <w:t xml:space="preserve"> boundaries of this area. These rights shall not include the remainder of these minerals, their roots or extensions beyond these boundaries.</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38"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11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357001608"/>
                          <w:rPr>
                            <w:rFonts w:eastAsia="Times New Roman"/>
                            <w:sz w:val="12"/>
                            <w:szCs w:val="12"/>
                          </w:rPr>
                        </w:pPr>
                        <w:r>
                          <w:rPr>
                            <w:rStyle w:val="st1"/>
                            <w:rFonts w:eastAsia="Times New Roman"/>
                            <w:sz w:val="12"/>
                            <w:szCs w:val="12"/>
                          </w:rPr>
                          <w:t> </w:t>
                        </w:r>
                        <w:r>
                          <w:rPr>
                            <w:rStyle w:val="st1"/>
                            <w:rFonts w:eastAsia="Times New Roman"/>
                            <w:sz w:val="12"/>
                            <w:szCs w:val="12"/>
                          </w:rPr>
                          <w:t>Activities pertaining to the exploitation of minerals shall include the following:</w:t>
                        </w:r>
                      </w:p>
                      <w:p w:rsidR="00000000" w:rsidRDefault="008937FC">
                        <w:pPr>
                          <w:numPr>
                            <w:ilvl w:val="0"/>
                            <w:numId w:val="1"/>
                          </w:numPr>
                          <w:rPr>
                            <w:rFonts w:eastAsia="Times New Roman"/>
                            <w:sz w:val="12"/>
                            <w:szCs w:val="12"/>
                          </w:rPr>
                        </w:pPr>
                        <w:r>
                          <w:rPr>
                            <w:rStyle w:val="st1"/>
                            <w:rFonts w:eastAsia="Times New Roman"/>
                            <w:sz w:val="12"/>
                            <w:szCs w:val="12"/>
                          </w:rPr>
                          <w:t>Reconnaissance;</w:t>
                        </w:r>
                      </w:p>
                      <w:p w:rsidR="00000000" w:rsidRDefault="008937FC">
                        <w:pPr>
                          <w:numPr>
                            <w:ilvl w:val="0"/>
                            <w:numId w:val="1"/>
                          </w:numPr>
                          <w:rPr>
                            <w:rFonts w:eastAsia="Times New Roman"/>
                            <w:sz w:val="12"/>
                            <w:szCs w:val="12"/>
                          </w:rPr>
                        </w:pPr>
                        <w:r>
                          <w:rPr>
                            <w:rStyle w:val="st1"/>
                            <w:rFonts w:eastAsia="Times New Roman"/>
                            <w:sz w:val="12"/>
                            <w:szCs w:val="12"/>
                          </w:rPr>
                          <w:t>Exploration;</w:t>
                        </w:r>
                      </w:p>
                      <w:p w:rsidR="00000000" w:rsidRDefault="008937FC">
                        <w:pPr>
                          <w:numPr>
                            <w:ilvl w:val="0"/>
                            <w:numId w:val="1"/>
                          </w:numPr>
                          <w:rPr>
                            <w:rFonts w:eastAsia="Times New Roman"/>
                            <w:sz w:val="12"/>
                            <w:szCs w:val="12"/>
                          </w:rPr>
                        </w:pPr>
                        <w:r>
                          <w:rPr>
                            <w:rStyle w:val="st1"/>
                            <w:rFonts w:eastAsia="Times New Roman"/>
                            <w:sz w:val="12"/>
                            <w:szCs w:val="12"/>
                          </w:rPr>
                          <w:t>Mining.</w:t>
                        </w:r>
                      </w:p>
                      <w:p w:rsidR="00000000" w:rsidRDefault="008937FC">
                        <w:pPr>
                          <w:spacing w:before="0" w:beforeAutospacing="0" w:after="0" w:afterAutospacing="0"/>
                          <w:divId w:val="1058242498"/>
                          <w:rPr>
                            <w:rFonts w:eastAsia="Times New Roman"/>
                            <w:sz w:val="12"/>
                            <w:szCs w:val="12"/>
                          </w:rPr>
                        </w:pPr>
                        <w:r>
                          <w:rPr>
                            <w:rStyle w:val="st1"/>
                            <w:rFonts w:eastAsia="Times New Roman"/>
                            <w:sz w:val="12"/>
                            <w:szCs w:val="12"/>
                          </w:rPr>
                          <w:t> </w:t>
                        </w:r>
                      </w:p>
                      <w:p w:rsidR="00000000" w:rsidRDefault="008937FC">
                        <w:pPr>
                          <w:spacing w:before="0" w:beforeAutospacing="0" w:after="0" w:afterAutospacing="0"/>
                          <w:divId w:val="1463308702"/>
                          <w:rPr>
                            <w:rFonts w:eastAsia="Times New Roman"/>
                            <w:sz w:val="12"/>
                            <w:szCs w:val="12"/>
                          </w:rPr>
                        </w:pPr>
                        <w:r>
                          <w:rPr>
                            <w:rStyle w:val="st1"/>
                            <w:rFonts w:eastAsia="Times New Roman"/>
                            <w:sz w:val="12"/>
                            <w:szCs w:val="12"/>
                          </w:rPr>
                          <w:t>A decision by the Council of Ministers shall be issued to determine the necessary conditions and procedures to be fulfilled by those who are entitled to receive these licenses.</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39"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12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217620815"/>
                          <w:rPr>
                            <w:rFonts w:eastAsia="Times New Roman"/>
                            <w:sz w:val="12"/>
                            <w:szCs w:val="12"/>
                          </w:rPr>
                        </w:pPr>
                        <w:r>
                          <w:rPr>
                            <w:rStyle w:val="st1"/>
                            <w:rFonts w:eastAsia="Times New Roman"/>
                            <w:sz w:val="12"/>
                            <w:szCs w:val="12"/>
                          </w:rPr>
                          <w:t> A decision shall be is</w:t>
                        </w:r>
                        <w:r>
                          <w:rPr>
                            <w:rStyle w:val="st1"/>
                            <w:rFonts w:eastAsia="Times New Roman"/>
                            <w:sz w:val="12"/>
                            <w:szCs w:val="12"/>
                          </w:rPr>
                          <w:t>sued by the Council of Ministers to determine fees applicable to licenses for exploration and discovery, certificates of exploration, mining rights and the proceeds of mining production. The Minister of Municipal Affairs and Agriculture shall issue a decis</w:t>
                        </w:r>
                        <w:r>
                          <w:rPr>
                            <w:rStyle w:val="st1"/>
                            <w:rFonts w:eastAsia="Times New Roman"/>
                            <w:sz w:val="12"/>
                            <w:szCs w:val="12"/>
                          </w:rPr>
                          <w:t>ion to determine fees applicable to licenses for production, shipping, soil and sand exploitation, mare materials and their substances that are used in building construction, road construction and filling.</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40"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13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860924640"/>
                          <w:rPr>
                            <w:rFonts w:eastAsia="Times New Roman"/>
                            <w:sz w:val="12"/>
                            <w:szCs w:val="12"/>
                          </w:rPr>
                        </w:pPr>
                        <w:r>
                          <w:rPr>
                            <w:rStyle w:val="st1"/>
                            <w:rFonts w:eastAsia="Times New Roman"/>
                            <w:sz w:val="12"/>
                            <w:szCs w:val="12"/>
                          </w:rPr>
                          <w:t xml:space="preserve"> Upon the grant of an exploration license, the licensee shall have the right to explore within the boundaries of the area specified by the license. The licensee shall be permitted to do the following: </w:t>
                        </w:r>
                      </w:p>
                      <w:p w:rsidR="00000000" w:rsidRDefault="008937FC">
                        <w:pPr>
                          <w:spacing w:before="0" w:beforeAutospacing="0" w:after="0" w:afterAutospacing="0"/>
                          <w:divId w:val="1752123091"/>
                          <w:rPr>
                            <w:rFonts w:eastAsia="Times New Roman"/>
                            <w:sz w:val="12"/>
                            <w:szCs w:val="12"/>
                          </w:rPr>
                        </w:pPr>
                        <w:r>
                          <w:rPr>
                            <w:rStyle w:val="st1"/>
                            <w:rFonts w:eastAsia="Times New Roman"/>
                            <w:sz w:val="12"/>
                            <w:szCs w:val="12"/>
                          </w:rPr>
                          <w:t> </w:t>
                        </w:r>
                      </w:p>
                      <w:p w:rsidR="00000000" w:rsidRDefault="008937FC">
                        <w:pPr>
                          <w:spacing w:before="0" w:beforeAutospacing="0" w:after="0" w:afterAutospacing="0"/>
                          <w:divId w:val="795610075"/>
                          <w:rPr>
                            <w:rFonts w:eastAsia="Times New Roman"/>
                            <w:sz w:val="12"/>
                            <w:szCs w:val="12"/>
                          </w:rPr>
                        </w:pPr>
                        <w:r>
                          <w:rPr>
                            <w:rStyle w:val="st1"/>
                            <w:rFonts w:eastAsia="Times New Roman"/>
                            <w:sz w:val="12"/>
                            <w:szCs w:val="12"/>
                          </w:rPr>
                          <w:t>1. To enter the area, accompanied by agents and workers, to verify the existence of minerals or for purposes of topographical or geological survey in the area.</w:t>
                        </w:r>
                      </w:p>
                      <w:p w:rsidR="00000000" w:rsidRDefault="008937FC">
                        <w:pPr>
                          <w:spacing w:before="0" w:beforeAutospacing="0" w:after="0" w:afterAutospacing="0"/>
                          <w:divId w:val="1532449158"/>
                          <w:rPr>
                            <w:rFonts w:eastAsia="Times New Roman"/>
                            <w:sz w:val="12"/>
                            <w:szCs w:val="12"/>
                          </w:rPr>
                        </w:pPr>
                        <w:r>
                          <w:rPr>
                            <w:rStyle w:val="st1"/>
                            <w:rFonts w:eastAsia="Times New Roman"/>
                            <w:sz w:val="12"/>
                            <w:szCs w:val="12"/>
                          </w:rPr>
                          <w:t xml:space="preserve">2. To drill for and take samples necessary for analysis and testing. </w:t>
                        </w:r>
                      </w:p>
                      <w:p w:rsidR="00000000" w:rsidRDefault="008937FC">
                        <w:pPr>
                          <w:spacing w:before="0" w:beforeAutospacing="0" w:after="0" w:afterAutospacing="0"/>
                          <w:divId w:val="748842668"/>
                          <w:rPr>
                            <w:rFonts w:eastAsia="Times New Roman"/>
                            <w:sz w:val="12"/>
                            <w:szCs w:val="12"/>
                          </w:rPr>
                        </w:pPr>
                        <w:r>
                          <w:rPr>
                            <w:rStyle w:val="st1"/>
                            <w:rFonts w:eastAsia="Times New Roman"/>
                            <w:sz w:val="12"/>
                            <w:szCs w:val="12"/>
                          </w:rPr>
                          <w:t>3. To construct roads a</w:t>
                        </w:r>
                        <w:r>
                          <w:rPr>
                            <w:rStyle w:val="st1"/>
                            <w:rFonts w:eastAsia="Times New Roman"/>
                            <w:sz w:val="12"/>
                            <w:szCs w:val="12"/>
                          </w:rPr>
                          <w:t>nd install equipment necessary for exploration activities.</w:t>
                        </w:r>
                      </w:p>
                      <w:p w:rsidR="00000000" w:rsidRDefault="008937FC">
                        <w:pPr>
                          <w:spacing w:before="0" w:beforeAutospacing="0" w:after="0" w:afterAutospacing="0"/>
                          <w:divId w:val="1762292869"/>
                          <w:rPr>
                            <w:rFonts w:eastAsia="Times New Roman"/>
                            <w:sz w:val="12"/>
                            <w:szCs w:val="12"/>
                          </w:rPr>
                        </w:pPr>
                        <w:r>
                          <w:rPr>
                            <w:rStyle w:val="st1"/>
                            <w:rFonts w:eastAsia="Times New Roman"/>
                            <w:sz w:val="12"/>
                            <w:szCs w:val="12"/>
                          </w:rPr>
                          <w:t xml:space="preserve">4. To construct and maintain buildings necessary for use by the licensee, his workers and agents. </w:t>
                        </w:r>
                      </w:p>
                      <w:p w:rsidR="00000000" w:rsidRDefault="008937FC">
                        <w:pPr>
                          <w:spacing w:before="0" w:beforeAutospacing="0" w:after="0" w:afterAutospacing="0"/>
                          <w:divId w:val="713312415"/>
                          <w:rPr>
                            <w:rFonts w:eastAsia="Times New Roman"/>
                            <w:sz w:val="12"/>
                            <w:szCs w:val="12"/>
                          </w:rPr>
                        </w:pPr>
                        <w:r>
                          <w:rPr>
                            <w:rStyle w:val="st1"/>
                            <w:rFonts w:eastAsia="Times New Roman"/>
                            <w:sz w:val="12"/>
                            <w:szCs w:val="12"/>
                          </w:rPr>
                          <w:t>5. To collect explored and produced materials from mining operations in areas agreed upon by the M</w:t>
                        </w:r>
                        <w:r>
                          <w:rPr>
                            <w:rStyle w:val="st1"/>
                            <w:rFonts w:eastAsia="Times New Roman"/>
                            <w:sz w:val="12"/>
                            <w:szCs w:val="12"/>
                          </w:rPr>
                          <w:t xml:space="preserve">inistry. </w:t>
                        </w:r>
                      </w:p>
                      <w:p w:rsidR="00000000" w:rsidRDefault="008937FC">
                        <w:pPr>
                          <w:spacing w:before="0" w:beforeAutospacing="0" w:after="0" w:afterAutospacing="0"/>
                          <w:divId w:val="133446830"/>
                          <w:rPr>
                            <w:rFonts w:eastAsia="Times New Roman"/>
                            <w:sz w:val="12"/>
                            <w:szCs w:val="12"/>
                          </w:rPr>
                        </w:pPr>
                        <w:r>
                          <w:rPr>
                            <w:rStyle w:val="st1"/>
                            <w:rFonts w:eastAsia="Times New Roman"/>
                            <w:sz w:val="12"/>
                            <w:szCs w:val="12"/>
                          </w:rPr>
                          <w:t>6. To build water pipes, sewage facilities and water tanks, as well as to provide all necessary means of transport.</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41"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14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3214235"/>
                          <w:rPr>
                            <w:rFonts w:eastAsia="Times New Roman"/>
                            <w:sz w:val="12"/>
                            <w:szCs w:val="12"/>
                          </w:rPr>
                        </w:pPr>
                        <w:r>
                          <w:rPr>
                            <w:rStyle w:val="st1"/>
                            <w:rFonts w:eastAsia="Times New Roman"/>
                            <w:sz w:val="12"/>
                            <w:szCs w:val="12"/>
                          </w:rPr>
                          <w:t> </w:t>
                        </w:r>
                        <w:r>
                          <w:rPr>
                            <w:rStyle w:val="st1"/>
                            <w:rFonts w:eastAsia="Times New Roman"/>
                            <w:sz w:val="12"/>
                            <w:szCs w:val="12"/>
                          </w:rPr>
                          <w:t>The Minister may grant mining rights to any natural or legal person who acquired adiscovery certificate and submitted an application for such rights within a period of two years of being granted a license, in accordance with the conditions stipulated by th</w:t>
                        </w:r>
                        <w:r>
                          <w:rPr>
                            <w:rStyle w:val="st1"/>
                            <w:rFonts w:eastAsia="Times New Roman"/>
                            <w:sz w:val="12"/>
                            <w:szCs w:val="12"/>
                          </w:rPr>
                          <w:t>e Council of Ministers.</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42"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15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973370168"/>
                          <w:rPr>
                            <w:rFonts w:eastAsia="Times New Roman"/>
                            <w:sz w:val="12"/>
                            <w:szCs w:val="12"/>
                          </w:rPr>
                        </w:pPr>
                        <w:r>
                          <w:rPr>
                            <w:rStyle w:val="st1"/>
                            <w:rFonts w:eastAsia="Times New Roman"/>
                            <w:sz w:val="12"/>
                            <w:szCs w:val="12"/>
                          </w:rPr>
                          <w:t> </w:t>
                        </w:r>
                        <w:r>
                          <w:rPr>
                            <w:rStyle w:val="st1"/>
                            <w:rFonts w:eastAsia="Times New Roman"/>
                            <w:sz w:val="12"/>
                            <w:szCs w:val="12"/>
                          </w:rPr>
                          <w:t>Where the discovery certificate holder fails to submit an application to be granted mining rights within the aforementioned two-year period, the Minister may grant this right to another natural or legal person, and financially compensate the certificate ho</w:t>
                        </w:r>
                        <w:r>
                          <w:rPr>
                            <w:rStyle w:val="st1"/>
                            <w:rFonts w:eastAsia="Times New Roman"/>
                            <w:sz w:val="12"/>
                            <w:szCs w:val="12"/>
                          </w:rPr>
                          <w:t>lder pursuant to the rules specified by the Council of Ministers.</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43"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16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435008566"/>
                          <w:rPr>
                            <w:rFonts w:eastAsia="Times New Roman"/>
                            <w:sz w:val="12"/>
                            <w:szCs w:val="12"/>
                          </w:rPr>
                        </w:pPr>
                        <w:r>
                          <w:rPr>
                            <w:rStyle w:val="st1"/>
                            <w:rFonts w:eastAsia="Times New Roman"/>
                            <w:sz w:val="12"/>
                            <w:szCs w:val="12"/>
                          </w:rPr>
                          <w:t> </w:t>
                        </w:r>
                        <w:r>
                          <w:rPr>
                            <w:rStyle w:val="st1"/>
                            <w:rFonts w:eastAsia="Times New Roman"/>
                            <w:sz w:val="12"/>
                            <w:szCs w:val="12"/>
                          </w:rPr>
                          <w:t>The owner of mining rights, in addition to the rights of exploration, is entitled to exploit minerals in his/her area, according to the rules specified by a decision of the Council of Ministers.</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44"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17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380445768"/>
                          <w:rPr>
                            <w:rFonts w:eastAsia="Times New Roman"/>
                            <w:sz w:val="12"/>
                            <w:szCs w:val="12"/>
                          </w:rPr>
                        </w:pPr>
                        <w:r>
                          <w:rPr>
                            <w:rStyle w:val="st1"/>
                            <w:rFonts w:eastAsia="Times New Roman"/>
                            <w:sz w:val="12"/>
                            <w:szCs w:val="12"/>
                          </w:rPr>
                          <w:t xml:space="preserve"> The </w:t>
                        </w:r>
                        <w:r>
                          <w:rPr>
                            <w:rStyle w:val="st1"/>
                            <w:rFonts w:eastAsia="Times New Roman"/>
                            <w:sz w:val="12"/>
                            <w:szCs w:val="12"/>
                          </w:rPr>
                          <w:t xml:space="preserve">owner of mining rights shall agree to submit to the Ministry plans, drawings and sketches showing the technical working methods according to the conditions and procedures specified by a decision of the Minister. The owner shall also agree to submit to the </w:t>
                        </w:r>
                        <w:r>
                          <w:rPr>
                            <w:rStyle w:val="st1"/>
                            <w:rFonts w:eastAsia="Times New Roman"/>
                            <w:sz w:val="12"/>
                            <w:szCs w:val="12"/>
                          </w:rPr>
                          <w:t>Ministry two reports, one technical and one financial, on the progress of the licensed work during the month of March each year, containing the following data:</w:t>
                        </w:r>
                      </w:p>
                      <w:p w:rsidR="00000000" w:rsidRDefault="008937FC">
                        <w:pPr>
                          <w:numPr>
                            <w:ilvl w:val="0"/>
                            <w:numId w:val="2"/>
                          </w:numPr>
                          <w:rPr>
                            <w:rFonts w:eastAsia="Times New Roman"/>
                            <w:sz w:val="12"/>
                            <w:szCs w:val="12"/>
                          </w:rPr>
                        </w:pPr>
                        <w:r>
                          <w:rPr>
                            <w:rStyle w:val="st1"/>
                            <w:rFonts w:eastAsia="Times New Roman"/>
                            <w:sz w:val="12"/>
                            <w:szCs w:val="12"/>
                          </w:rPr>
                          <w:t>The amount and value of the minerals extracted during the previous year.</w:t>
                        </w:r>
                      </w:p>
                      <w:p w:rsidR="00000000" w:rsidRDefault="008937FC">
                        <w:pPr>
                          <w:numPr>
                            <w:ilvl w:val="0"/>
                            <w:numId w:val="2"/>
                          </w:numPr>
                          <w:rPr>
                            <w:rFonts w:eastAsia="Times New Roman"/>
                            <w:sz w:val="12"/>
                            <w:szCs w:val="12"/>
                          </w:rPr>
                        </w:pPr>
                        <w:r>
                          <w:rPr>
                            <w:rStyle w:val="st1"/>
                            <w:rFonts w:eastAsia="Times New Roman"/>
                            <w:sz w:val="12"/>
                            <w:szCs w:val="12"/>
                          </w:rPr>
                          <w:t xml:space="preserve">The number of workers, </w:t>
                        </w:r>
                        <w:r>
                          <w:rPr>
                            <w:rStyle w:val="st1"/>
                            <w:rFonts w:eastAsia="Times New Roman"/>
                            <w:sz w:val="12"/>
                            <w:szCs w:val="12"/>
                          </w:rPr>
                          <w:t>technicians and administrators who were employed during that year.</w:t>
                        </w:r>
                      </w:p>
                      <w:p w:rsidR="00000000" w:rsidRDefault="008937FC">
                        <w:pPr>
                          <w:numPr>
                            <w:ilvl w:val="0"/>
                            <w:numId w:val="2"/>
                          </w:numPr>
                          <w:rPr>
                            <w:rFonts w:eastAsia="Times New Roman"/>
                            <w:sz w:val="12"/>
                            <w:szCs w:val="12"/>
                          </w:rPr>
                        </w:pPr>
                        <w:r>
                          <w:rPr>
                            <w:rStyle w:val="st1"/>
                            <w:rFonts w:eastAsia="Times New Roman"/>
                            <w:sz w:val="12"/>
                            <w:szCs w:val="12"/>
                          </w:rPr>
                          <w:t>The programme and action plan for the next year.</w:t>
                        </w:r>
                      </w:p>
                      <w:p w:rsidR="00000000" w:rsidRDefault="008937FC">
                        <w:pPr>
                          <w:numPr>
                            <w:ilvl w:val="0"/>
                            <w:numId w:val="2"/>
                          </w:numPr>
                          <w:rPr>
                            <w:rFonts w:eastAsia="Times New Roman"/>
                            <w:sz w:val="12"/>
                            <w:szCs w:val="12"/>
                          </w:rPr>
                        </w:pPr>
                        <w:r>
                          <w:rPr>
                            <w:rStyle w:val="st2"/>
                            <w:rFonts w:eastAsia="Times New Roman"/>
                            <w:sz w:val="12"/>
                            <w:szCs w:val="12"/>
                          </w:rPr>
                          <w:t xml:space="preserve">The profit and loss account, the detailed and total cost of unit production, and all technical, administrative and financial aspects of the </w:t>
                        </w:r>
                        <w:r>
                          <w:rPr>
                            <w:rStyle w:val="st2"/>
                            <w:rFonts w:eastAsia="Times New Roman"/>
                            <w:sz w:val="12"/>
                            <w:szCs w:val="12"/>
                          </w:rPr>
                          <w:t>project.</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45"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18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414661894"/>
                          <w:rPr>
                            <w:rFonts w:eastAsia="Times New Roman"/>
                            <w:sz w:val="12"/>
                            <w:szCs w:val="12"/>
                          </w:rPr>
                        </w:pPr>
                        <w:r>
                          <w:rPr>
                            <w:rStyle w:val="st1"/>
                            <w:rFonts w:eastAsia="Times New Roman"/>
                            <w:sz w:val="12"/>
                            <w:szCs w:val="12"/>
                          </w:rPr>
                          <w:t> </w:t>
                        </w:r>
                      </w:p>
                      <w:p w:rsidR="00000000" w:rsidRDefault="008937FC">
                        <w:pPr>
                          <w:spacing w:before="0" w:beforeAutospacing="0" w:after="0" w:afterAutospacing="0"/>
                          <w:divId w:val="20516836"/>
                          <w:rPr>
                            <w:rFonts w:eastAsia="Times New Roman"/>
                            <w:sz w:val="12"/>
                            <w:szCs w:val="12"/>
                          </w:rPr>
                        </w:pPr>
                        <w:r>
                          <w:rPr>
                            <w:rStyle w:val="st1"/>
                            <w:rFonts w:eastAsia="Times New Roman"/>
                            <w:sz w:val="12"/>
                            <w:szCs w:val="12"/>
                          </w:rPr>
                          <w:t>The Minister may, in case of violation of the provisions of the preceding Article, order the suspension of the authorization or license for a period specified by him.</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46"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19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633676281"/>
                          <w:rPr>
                            <w:rFonts w:eastAsia="Times New Roman"/>
                            <w:sz w:val="12"/>
                            <w:szCs w:val="12"/>
                          </w:rPr>
                        </w:pPr>
                        <w:r>
                          <w:rPr>
                            <w:rStyle w:val="st1"/>
                            <w:rFonts w:eastAsia="Times New Roman"/>
                            <w:sz w:val="12"/>
                            <w:szCs w:val="12"/>
                          </w:rPr>
                          <w:t> </w:t>
                        </w:r>
                      </w:p>
                      <w:p w:rsidR="00000000" w:rsidRDefault="008937FC">
                        <w:pPr>
                          <w:spacing w:before="0" w:beforeAutospacing="0" w:after="0" w:afterAutospacing="0"/>
                          <w:divId w:val="1667124037"/>
                          <w:rPr>
                            <w:rFonts w:eastAsia="Times New Roman"/>
                            <w:sz w:val="12"/>
                            <w:szCs w:val="12"/>
                          </w:rPr>
                        </w:pPr>
                        <w:r>
                          <w:rPr>
                            <w:rStyle w:val="st1"/>
                            <w:rFonts w:eastAsia="Times New Roman"/>
                            <w:sz w:val="12"/>
                            <w:szCs w:val="12"/>
                          </w:rPr>
                          <w:t>Royalties or mining rights, exploration permits or licenses and discovery certificates granted in accordance with the provisions of this Law may not be assigned to others, unless with the consent of the grantingauthority</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47"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20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587495406"/>
                          <w:rPr>
                            <w:rFonts w:eastAsia="Times New Roman"/>
                            <w:sz w:val="12"/>
                            <w:szCs w:val="12"/>
                          </w:rPr>
                        </w:pPr>
                        <w:r>
                          <w:rPr>
                            <w:rStyle w:val="st1"/>
                            <w:rFonts w:eastAsia="Times New Roman"/>
                            <w:sz w:val="12"/>
                            <w:szCs w:val="12"/>
                          </w:rPr>
                          <w:t xml:space="preserve"> The Minister may prohibit prospecting or mining in any area of the State, for considerations of public interest, whether permanently or for a specified period, and the decision issued in respect thereof shall be published in the </w:t>
                        </w:r>
                        <w:r>
                          <w:rPr>
                            <w:rStyle w:val="st1"/>
                            <w:rFonts w:eastAsia="Times New Roman"/>
                            <w:i/>
                            <w:iCs/>
                            <w:sz w:val="12"/>
                            <w:szCs w:val="12"/>
                          </w:rPr>
                          <w:t>Official Gazette</w:t>
                        </w:r>
                        <w:r>
                          <w:rPr>
                            <w:rStyle w:val="st1"/>
                            <w:rFonts w:eastAsia="Times New Roman"/>
                            <w:sz w:val="12"/>
                            <w:szCs w:val="12"/>
                          </w:rPr>
                          <w:t>.</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48"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21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505291285"/>
                          <w:rPr>
                            <w:rFonts w:eastAsia="Times New Roman"/>
                            <w:sz w:val="12"/>
                            <w:szCs w:val="12"/>
                          </w:rPr>
                        </w:pPr>
                        <w:r>
                          <w:rPr>
                            <w:rStyle w:val="st1"/>
                            <w:rFonts w:eastAsia="Times New Roman"/>
                            <w:sz w:val="12"/>
                            <w:szCs w:val="12"/>
                          </w:rPr>
                          <w:t> Where the owner of mining rights breaches any of the conditions attached to such rights and, after being ordered in writing to rectify the breach within the period specified by the M</w:t>
                        </w:r>
                        <w:r>
                          <w:rPr>
                            <w:rStyle w:val="st1"/>
                            <w:rFonts w:eastAsia="Times New Roman"/>
                            <w:sz w:val="12"/>
                            <w:szCs w:val="12"/>
                          </w:rPr>
                          <w:t>inistry, fails to do so, the Minister may cancel the said mining rights. The owner of such rights may appeal to the Council of Ministers against the Minister's decision within two months from the date of the cancellation, and the decision by the Council of</w:t>
                        </w:r>
                        <w:r>
                          <w:rPr>
                            <w:rStyle w:val="st1"/>
                            <w:rFonts w:eastAsia="Times New Roman"/>
                            <w:sz w:val="12"/>
                            <w:szCs w:val="12"/>
                          </w:rPr>
                          <w:t xml:space="preserve"> Ministers on the appeal shall thereafter be final.</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49"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22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51390540"/>
                          <w:rPr>
                            <w:rFonts w:eastAsia="Times New Roman"/>
                            <w:sz w:val="12"/>
                            <w:szCs w:val="12"/>
                          </w:rPr>
                        </w:pPr>
                        <w:r>
                          <w:rPr>
                            <w:rStyle w:val="st1"/>
                            <w:rFonts w:eastAsia="Times New Roman"/>
                            <w:sz w:val="12"/>
                            <w:szCs w:val="12"/>
                          </w:rPr>
                          <w:t> In case of cancellation of the mining rights, the owner of such rights may not transfer or dispose of any of the assets of the mine, disclose or alt</w:t>
                        </w:r>
                        <w:r>
                          <w:rPr>
                            <w:rStyle w:val="st1"/>
                            <w:rFonts w:eastAsia="Times New Roman"/>
                            <w:sz w:val="12"/>
                            <w:szCs w:val="12"/>
                          </w:rPr>
                          <w:t>er the condition of the mine, particularly with respect to any preventive measures or maintenance of the facilities, without prior written permission from the Ministry.</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50"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23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851261445"/>
                          <w:rPr>
                            <w:rFonts w:eastAsia="Times New Roman"/>
                            <w:sz w:val="12"/>
                            <w:szCs w:val="12"/>
                          </w:rPr>
                        </w:pPr>
                        <w:r>
                          <w:rPr>
                            <w:rStyle w:val="st1"/>
                            <w:rFonts w:eastAsia="Times New Roman"/>
                            <w:sz w:val="12"/>
                            <w:szCs w:val="12"/>
                          </w:rPr>
                          <w:t> </w:t>
                        </w:r>
                        <w:r>
                          <w:rPr>
                            <w:rStyle w:val="st1"/>
                            <w:rFonts w:eastAsia="Times New Roman"/>
                            <w:sz w:val="12"/>
                            <w:szCs w:val="12"/>
                          </w:rPr>
                          <w:t>The employees of the Ministry who shall be assigned the functions of the judicial police shall, pursuant to an order of the Attorney-General and with the consent of the Minister, investigate and provide evidence on offences committed in violation of the pr</w:t>
                        </w:r>
                        <w:r>
                          <w:rPr>
                            <w:rStyle w:val="st1"/>
                            <w:rFonts w:eastAsia="Times New Roman"/>
                            <w:sz w:val="12"/>
                            <w:szCs w:val="12"/>
                          </w:rPr>
                          <w:t>ovisions of this Law and its implementing decisions. To facilitate their functions, these employees shall be empowered as follows:</w:t>
                        </w:r>
                      </w:p>
                      <w:p w:rsidR="00000000" w:rsidRDefault="008937FC">
                        <w:pPr>
                          <w:spacing w:before="0" w:beforeAutospacing="0" w:after="0" w:afterAutospacing="0"/>
                          <w:divId w:val="333459221"/>
                          <w:rPr>
                            <w:rFonts w:eastAsia="Times New Roman"/>
                            <w:sz w:val="12"/>
                            <w:szCs w:val="12"/>
                          </w:rPr>
                        </w:pPr>
                        <w:r>
                          <w:rPr>
                            <w:rStyle w:val="st1"/>
                            <w:rFonts w:eastAsia="Times New Roman"/>
                            <w:sz w:val="12"/>
                            <w:szCs w:val="12"/>
                          </w:rPr>
                          <w:t> </w:t>
                        </w:r>
                      </w:p>
                      <w:p w:rsidR="00000000" w:rsidRDefault="008937FC">
                        <w:pPr>
                          <w:spacing w:before="0" w:beforeAutospacing="0" w:after="0" w:afterAutospacing="0"/>
                          <w:divId w:val="1578516325"/>
                          <w:rPr>
                            <w:rFonts w:eastAsia="Times New Roman"/>
                            <w:sz w:val="12"/>
                            <w:szCs w:val="12"/>
                          </w:rPr>
                        </w:pPr>
                        <w:r>
                          <w:rPr>
                            <w:rStyle w:val="st1"/>
                            <w:rFonts w:eastAsia="Times New Roman"/>
                            <w:sz w:val="12"/>
                            <w:szCs w:val="12"/>
                          </w:rPr>
                          <w:t>1. To gain access to any place utilised for mining and exploration-related activities, and to monitor and inspect it.</w:t>
                        </w:r>
                      </w:p>
                      <w:p w:rsidR="00000000" w:rsidRDefault="008937FC">
                        <w:pPr>
                          <w:spacing w:before="0" w:beforeAutospacing="0" w:after="0" w:afterAutospacing="0"/>
                          <w:divId w:val="659314985"/>
                          <w:rPr>
                            <w:rFonts w:eastAsia="Times New Roman"/>
                            <w:sz w:val="12"/>
                            <w:szCs w:val="12"/>
                          </w:rPr>
                        </w:pPr>
                        <w:r>
                          <w:rPr>
                            <w:rStyle w:val="st1"/>
                            <w:rFonts w:eastAsia="Times New Roman"/>
                            <w:sz w:val="12"/>
                            <w:szCs w:val="12"/>
                          </w:rPr>
                          <w:t>2. To</w:t>
                        </w:r>
                        <w:r>
                          <w:rPr>
                            <w:rStyle w:val="st1"/>
                            <w:rFonts w:eastAsia="Times New Roman"/>
                            <w:sz w:val="12"/>
                            <w:szCs w:val="12"/>
                          </w:rPr>
                          <w:t xml:space="preserve"> investigate and verify the condition of the mines, their ventilation and all other aspects relating to the safety and health of the persons working therein.</w:t>
                        </w:r>
                      </w:p>
                      <w:p w:rsidR="00000000" w:rsidRDefault="008937FC">
                        <w:pPr>
                          <w:spacing w:before="0" w:beforeAutospacing="0" w:after="0" w:afterAutospacing="0"/>
                          <w:divId w:val="274600721"/>
                          <w:rPr>
                            <w:rFonts w:eastAsia="Times New Roman"/>
                            <w:sz w:val="12"/>
                            <w:szCs w:val="12"/>
                          </w:rPr>
                        </w:pPr>
                        <w:r>
                          <w:rPr>
                            <w:rStyle w:val="st1"/>
                            <w:rFonts w:eastAsia="Times New Roman"/>
                            <w:sz w:val="12"/>
                            <w:szCs w:val="12"/>
                          </w:rPr>
                          <w:t>3. To evaluate the conditions of storage of dynamite and to issue orders on its proper and safe st</w:t>
                        </w:r>
                        <w:r>
                          <w:rPr>
                            <w:rStyle w:val="st1"/>
                            <w:rFonts w:eastAsia="Times New Roman"/>
                            <w:sz w:val="12"/>
                            <w:szCs w:val="12"/>
                          </w:rPr>
                          <w:t xml:space="preserve">orage and use. </w:t>
                        </w:r>
                      </w:p>
                      <w:p w:rsidR="00000000" w:rsidRDefault="008937FC">
                        <w:pPr>
                          <w:spacing w:before="0" w:beforeAutospacing="0" w:after="0" w:afterAutospacing="0"/>
                          <w:divId w:val="271205044"/>
                          <w:rPr>
                            <w:rFonts w:eastAsia="Times New Roman"/>
                            <w:sz w:val="12"/>
                            <w:szCs w:val="12"/>
                          </w:rPr>
                        </w:pPr>
                        <w:r>
                          <w:rPr>
                            <w:rStyle w:val="st1"/>
                            <w:rFonts w:eastAsia="Times New Roman"/>
                            <w:sz w:val="12"/>
                            <w:szCs w:val="12"/>
                          </w:rPr>
                          <w:t>4. To examine the external components of the machines used in the exploration and mining, and the condition of all the works and roads.</w:t>
                        </w:r>
                      </w:p>
                      <w:p w:rsidR="00000000" w:rsidRDefault="008937FC">
                        <w:pPr>
                          <w:spacing w:before="0" w:beforeAutospacing="0" w:after="0" w:afterAutospacing="0"/>
                          <w:divId w:val="297928165"/>
                          <w:rPr>
                            <w:rFonts w:eastAsia="Times New Roman"/>
                            <w:sz w:val="12"/>
                            <w:szCs w:val="12"/>
                          </w:rPr>
                        </w:pPr>
                        <w:r>
                          <w:rPr>
                            <w:rStyle w:val="st1"/>
                            <w:rFonts w:eastAsia="Times New Roman"/>
                            <w:sz w:val="12"/>
                            <w:szCs w:val="12"/>
                          </w:rPr>
                          <w:t>5. To examine receipt books, accounts, maps and documents relating to prospecting or mining operations a</w:t>
                        </w:r>
                        <w:r>
                          <w:rPr>
                            <w:rStyle w:val="st1"/>
                            <w:rFonts w:eastAsia="Times New Roman"/>
                            <w:sz w:val="12"/>
                            <w:szCs w:val="12"/>
                          </w:rPr>
                          <w:t>nd all other transactions, and to make copies or summaries thereof.</w:t>
                        </w:r>
                      </w:p>
                      <w:p w:rsidR="00000000" w:rsidRDefault="008937FC">
                        <w:pPr>
                          <w:spacing w:before="0" w:beforeAutospacing="0" w:after="0" w:afterAutospacing="0"/>
                          <w:divId w:val="491221032"/>
                          <w:rPr>
                            <w:rFonts w:eastAsia="Times New Roman"/>
                            <w:sz w:val="12"/>
                            <w:szCs w:val="12"/>
                          </w:rPr>
                        </w:pPr>
                        <w:r>
                          <w:rPr>
                            <w:rStyle w:val="st1"/>
                            <w:rFonts w:eastAsia="Times New Roman"/>
                            <w:sz w:val="12"/>
                            <w:szCs w:val="12"/>
                          </w:rPr>
                          <w:t>6. To exercise all powers necessary to monitor the proper execution of the provisions of this Law and its implementing decisions.</w:t>
                        </w:r>
                      </w:p>
                      <w:p w:rsidR="00000000" w:rsidRDefault="008937FC">
                        <w:pPr>
                          <w:spacing w:before="0" w:beforeAutospacing="0" w:after="0" w:afterAutospacing="0"/>
                          <w:divId w:val="1391415192"/>
                          <w:rPr>
                            <w:rFonts w:eastAsia="Times New Roman"/>
                            <w:sz w:val="12"/>
                            <w:szCs w:val="12"/>
                          </w:rPr>
                        </w:pPr>
                        <w:r>
                          <w:rPr>
                            <w:rStyle w:val="st1"/>
                            <w:rFonts w:eastAsia="Times New Roman"/>
                            <w:sz w:val="12"/>
                            <w:szCs w:val="12"/>
                          </w:rPr>
                          <w:t> </w:t>
                        </w:r>
                      </w:p>
                      <w:p w:rsidR="00000000" w:rsidRDefault="008937FC">
                        <w:pPr>
                          <w:spacing w:before="0" w:beforeAutospacing="0" w:after="0" w:afterAutospacing="0"/>
                          <w:divId w:val="226842078"/>
                          <w:rPr>
                            <w:rFonts w:eastAsia="Times New Roman"/>
                            <w:sz w:val="12"/>
                            <w:szCs w:val="12"/>
                          </w:rPr>
                        </w:pPr>
                        <w:r>
                          <w:rPr>
                            <w:rStyle w:val="st1"/>
                            <w:rFonts w:eastAsia="Times New Roman"/>
                            <w:sz w:val="12"/>
                            <w:szCs w:val="12"/>
                          </w:rPr>
                          <w:t>Such employees who are assigned the functions of the jud</w:t>
                        </w:r>
                        <w:r>
                          <w:rPr>
                            <w:rStyle w:val="st1"/>
                            <w:rFonts w:eastAsia="Times New Roman"/>
                            <w:sz w:val="12"/>
                            <w:szCs w:val="12"/>
                          </w:rPr>
                          <w:t>icial police shall, pursuant to an order of the Attorney-General and with the consent of the Minister, also investigate and provide evidence on offences committed in violation of the provisions of Article 6 of this Law. To facilitate their functions, these</w:t>
                        </w:r>
                        <w:r>
                          <w:rPr>
                            <w:rStyle w:val="st1"/>
                            <w:rFonts w:eastAsia="Times New Roman"/>
                            <w:sz w:val="12"/>
                            <w:szCs w:val="12"/>
                          </w:rPr>
                          <w:t xml:space="preserve"> employees shall have access to monitor and inspect any place used for the extraction, transfer or exploitation of soil, sand and stone materials, together with their derivatives used in works of construction, paving and dumping</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51"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24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236821073"/>
                          <w:rPr>
                            <w:rFonts w:eastAsia="Times New Roman"/>
                            <w:sz w:val="12"/>
                            <w:szCs w:val="12"/>
                          </w:rPr>
                        </w:pPr>
                        <w:r>
                          <w:rPr>
                            <w:rStyle w:val="st1"/>
                            <w:rFonts w:eastAsia="Times New Roman"/>
                            <w:sz w:val="12"/>
                            <w:szCs w:val="12"/>
                          </w:rPr>
                          <w:t> </w:t>
                        </w:r>
                      </w:p>
                      <w:p w:rsidR="00000000" w:rsidRDefault="008937FC">
                        <w:pPr>
                          <w:numPr>
                            <w:ilvl w:val="0"/>
                            <w:numId w:val="3"/>
                          </w:numPr>
                          <w:rPr>
                            <w:rFonts w:eastAsia="Times New Roman"/>
                            <w:sz w:val="12"/>
                            <w:szCs w:val="12"/>
                          </w:rPr>
                        </w:pPr>
                        <w:r>
                          <w:rPr>
                            <w:rStyle w:val="st1"/>
                            <w:rFonts w:eastAsia="Times New Roman"/>
                            <w:sz w:val="12"/>
                            <w:szCs w:val="12"/>
                          </w:rPr>
                          <w:t>Without prejudice to any severer penalty provided for by law, any person who violates the provisions of Articles 2, 6, 10 , 19 or 22 of this Law shall be punished with imprisonment for a term not exceeding one year and/or a fine not exceeding fifty thousan</w:t>
                        </w:r>
                        <w:r>
                          <w:rPr>
                            <w:rStyle w:val="st1"/>
                            <w:rFonts w:eastAsia="Times New Roman"/>
                            <w:sz w:val="12"/>
                            <w:szCs w:val="12"/>
                          </w:rPr>
                          <w:t>d (50.000) Riyals;</w:t>
                        </w:r>
                      </w:p>
                      <w:p w:rsidR="00000000" w:rsidRDefault="008937FC">
                        <w:pPr>
                          <w:numPr>
                            <w:ilvl w:val="0"/>
                            <w:numId w:val="3"/>
                          </w:numPr>
                          <w:rPr>
                            <w:rFonts w:eastAsia="Times New Roman"/>
                            <w:sz w:val="12"/>
                            <w:szCs w:val="12"/>
                          </w:rPr>
                        </w:pPr>
                        <w:r>
                          <w:rPr>
                            <w:rStyle w:val="st1"/>
                            <w:rFonts w:eastAsia="Times New Roman"/>
                            <w:sz w:val="12"/>
                            <w:szCs w:val="12"/>
                          </w:rPr>
                          <w:t>The said punishment shall be compounded in the case of recidivism. An offence shall be deemed repeated if a person commits a similar offence beforefive years have elapsed from the date on which the sentence for the first offence ended; o</w:t>
                        </w:r>
                        <w:r>
                          <w:rPr>
                            <w:rStyle w:val="st1"/>
                            <w:rFonts w:eastAsia="Times New Roman"/>
                            <w:sz w:val="12"/>
                            <w:szCs w:val="12"/>
                          </w:rPr>
                          <w:t>r b within the period of prescription running from the date of commission of the first offence. All offences contemplated in this Law are considered similar in cases of recidivism;</w:t>
                        </w:r>
                      </w:p>
                      <w:p w:rsidR="00000000" w:rsidRDefault="008937FC">
                        <w:pPr>
                          <w:numPr>
                            <w:ilvl w:val="0"/>
                            <w:numId w:val="3"/>
                          </w:numPr>
                          <w:rPr>
                            <w:rFonts w:eastAsia="Times New Roman"/>
                            <w:sz w:val="12"/>
                            <w:szCs w:val="12"/>
                          </w:rPr>
                        </w:pPr>
                        <w:r>
                          <w:rPr>
                            <w:rStyle w:val="st2"/>
                            <w:rFonts w:eastAsia="Times New Roman"/>
                            <w:sz w:val="12"/>
                            <w:szCs w:val="12"/>
                          </w:rPr>
                          <w:t>Where a legal person commits an offence, and without prejudice to the respo</w:t>
                        </w:r>
                        <w:r>
                          <w:rPr>
                            <w:rStyle w:val="st2"/>
                            <w:rFonts w:eastAsia="Times New Roman"/>
                            <w:sz w:val="12"/>
                            <w:szCs w:val="12"/>
                          </w:rPr>
                          <w:t>nsibility of a natural person, such legal person shall be punished by a fine not exceeding two hundred thousand Riyals, and may also be punished by the temporary or permanent cancellation of its permit, license or right.</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52"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25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627510719"/>
                          <w:rPr>
                            <w:rFonts w:eastAsia="Times New Roman"/>
                            <w:sz w:val="12"/>
                            <w:szCs w:val="12"/>
                          </w:rPr>
                        </w:pPr>
                        <w:r>
                          <w:rPr>
                            <w:rStyle w:val="st1"/>
                            <w:rFonts w:eastAsia="Times New Roman"/>
                            <w:sz w:val="12"/>
                            <w:szCs w:val="12"/>
                          </w:rPr>
                          <w:t> Upon the proposal of the Minister, the Council of Ministers may decide that the State bears some of the tax burden on behalf of the concessionaire or the authorized person or licensee, or the holder of the mining rights.</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53"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26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936940615"/>
                          <w:rPr>
                            <w:rFonts w:eastAsia="Times New Roman"/>
                            <w:sz w:val="12"/>
                            <w:szCs w:val="12"/>
                          </w:rPr>
                        </w:pPr>
                        <w:r>
                          <w:rPr>
                            <w:rStyle w:val="st1"/>
                            <w:rFonts w:eastAsia="Times New Roman"/>
                            <w:sz w:val="12"/>
                            <w:szCs w:val="12"/>
                          </w:rPr>
                          <w:t> </w:t>
                        </w:r>
                      </w:p>
                      <w:p w:rsidR="00000000" w:rsidRDefault="008937FC">
                        <w:pPr>
                          <w:spacing w:before="0" w:beforeAutospacing="0" w:after="0" w:afterAutospacing="0"/>
                          <w:divId w:val="1794976026"/>
                          <w:rPr>
                            <w:rFonts w:eastAsia="Times New Roman"/>
                            <w:sz w:val="12"/>
                            <w:szCs w:val="12"/>
                          </w:rPr>
                        </w:pPr>
                        <w:r>
                          <w:rPr>
                            <w:rStyle w:val="st1"/>
                            <w:rFonts w:eastAsia="Times New Roman"/>
                            <w:sz w:val="12"/>
                            <w:szCs w:val="12"/>
                          </w:rPr>
                          <w:t>Rights of concessio</w:t>
                        </w:r>
                        <w:r>
                          <w:rPr>
                            <w:rStyle w:val="st1"/>
                            <w:rFonts w:eastAsia="Times New Roman"/>
                            <w:sz w:val="12"/>
                            <w:szCs w:val="12"/>
                          </w:rPr>
                          <w:t xml:space="preserve">n and mining, prospecting permits, exploration licenses and certificates of discovery granted prior to the validity of this Law or its implementation in accordance with previous agreements shall continue to be valid until the end of the periods specified, </w:t>
                        </w:r>
                        <w:r>
                          <w:rPr>
                            <w:rStyle w:val="st1"/>
                            <w:rFonts w:eastAsia="Times New Roman"/>
                            <w:sz w:val="12"/>
                            <w:szCs w:val="12"/>
                          </w:rPr>
                          <w:t>and can only be renewed in accordance with the provisions of this Law.</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54"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27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275601147"/>
                          <w:rPr>
                            <w:rFonts w:eastAsia="Times New Roman"/>
                            <w:sz w:val="12"/>
                            <w:szCs w:val="12"/>
                          </w:rPr>
                        </w:pPr>
                        <w:r>
                          <w:rPr>
                            <w:rStyle w:val="st1"/>
                            <w:rFonts w:eastAsia="Times New Roman"/>
                            <w:sz w:val="12"/>
                            <w:szCs w:val="12"/>
                          </w:rPr>
                          <w:t> The Minister shall issue the necessary decisions to implement the provisions of this Law.</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55"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28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416436867"/>
                          <w:rPr>
                            <w:rFonts w:eastAsia="Times New Roman"/>
                            <w:sz w:val="12"/>
                            <w:szCs w:val="12"/>
                          </w:rPr>
                        </w:pPr>
                        <w:r>
                          <w:rPr>
                            <w:rStyle w:val="st1"/>
                            <w:rFonts w:eastAsia="Times New Roman"/>
                            <w:sz w:val="12"/>
                            <w:szCs w:val="12"/>
                          </w:rPr>
                          <w:t> Any provision contrary to the provisions of this Law shall be deemed null and void.</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56" style="width:0;height:1.5pt" o:hralign="center" o:hrstd="t" o:hr="t" fillcolor="#a0a0a0" stroked="f"/>
                    </w:pict>
                  </w:r>
                </w:p>
                <w:p w:rsidR="00000000" w:rsidRDefault="008937FC">
                  <w:pPr>
                    <w:pStyle w:val="NormalWeb"/>
                    <w:jc w:val="both"/>
                    <w:rPr>
                      <w:sz w:val="12"/>
                      <w:szCs w:val="12"/>
                    </w:rPr>
                  </w:pPr>
                  <w:r>
                    <w:rPr>
                      <w:sz w:val="12"/>
                      <w:szCs w:val="12"/>
                    </w:rPr>
                    <w:t> </w:t>
                  </w:r>
                </w:p>
                <w:p w:rsidR="00000000" w:rsidRDefault="008937FC">
                  <w:pPr>
                    <w:spacing w:before="0" w:beforeAutospacing="0" w:after="0" w:afterAutospacing="0"/>
                    <w:jc w:val="both"/>
                    <w:rPr>
                      <w:rFonts w:eastAsia="Times New Roman"/>
                      <w:sz w:val="12"/>
                      <w:szCs w:val="12"/>
                    </w:rPr>
                  </w:pPr>
                  <w:r>
                    <w:rPr>
                      <w:rFonts w:eastAsia="Times New Roman"/>
                      <w:sz w:val="14"/>
                      <w:szCs w:val="14"/>
                    </w:rPr>
                    <w:t xml:space="preserve">Article </w:t>
                  </w:r>
                  <w:r>
                    <w:rPr>
                      <w:rFonts w:eastAsia="Times New Roman"/>
                      <w:sz w:val="16"/>
                      <w:szCs w:val="16"/>
                    </w:rPr>
                    <w:t xml:space="preserve">29 </w:t>
                  </w:r>
                </w:p>
                <w:p w:rsidR="00000000" w:rsidRDefault="008937FC">
                  <w:pPr>
                    <w:spacing w:before="0" w:beforeAutospacing="0" w:after="0" w:afterAutospacing="0"/>
                    <w:jc w:val="both"/>
                    <w:rPr>
                      <w:rFonts w:eastAsia="Times New Roman"/>
                      <w:sz w:val="13"/>
                      <w:szCs w:val="13"/>
                    </w:rPr>
                  </w:pPr>
                </w:p>
                <w:tbl>
                  <w:tblPr>
                    <w:tblW w:w="0" w:type="auto"/>
                    <w:tblCellMar>
                      <w:left w:w="0" w:type="dxa"/>
                      <w:right w:w="0" w:type="dxa"/>
                    </w:tblCellMar>
                    <w:tblLook w:val="04A0"/>
                  </w:tblPr>
                  <w:tblGrid>
                    <w:gridCol w:w="7796"/>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8937FC">
                        <w:pPr>
                          <w:spacing w:before="0" w:beforeAutospacing="0" w:after="0" w:afterAutospacing="0"/>
                          <w:divId w:val="1378970491"/>
                          <w:rPr>
                            <w:rFonts w:eastAsia="Times New Roman"/>
                            <w:sz w:val="12"/>
                            <w:szCs w:val="12"/>
                          </w:rPr>
                        </w:pPr>
                        <w:r>
                          <w:rPr>
                            <w:rStyle w:val="st1"/>
                            <w:rFonts w:eastAsia="Times New Roman"/>
                            <w:sz w:val="12"/>
                            <w:szCs w:val="12"/>
                          </w:rPr>
                          <w:t xml:space="preserve"> All concerned parties, each in their respective jurisdictions, shall implement this Law, which shall be published in the </w:t>
                        </w:r>
                        <w:r>
                          <w:rPr>
                            <w:rStyle w:val="st1"/>
                            <w:rFonts w:eastAsia="Times New Roman"/>
                            <w:i/>
                            <w:iCs/>
                            <w:sz w:val="12"/>
                            <w:szCs w:val="12"/>
                          </w:rPr>
                          <w:t>Official Gazette</w:t>
                        </w:r>
                        <w:r>
                          <w:rPr>
                            <w:rStyle w:val="st1"/>
                            <w:rFonts w:eastAsia="Times New Roman"/>
                            <w:sz w:val="12"/>
                            <w:szCs w:val="12"/>
                          </w:rPr>
                          <w:t>.</w:t>
                        </w:r>
                      </w:p>
                    </w:tc>
                  </w:tr>
                </w:tbl>
                <w:p w:rsidR="00000000" w:rsidRDefault="007B3F44">
                  <w:pPr>
                    <w:spacing w:before="0" w:beforeAutospacing="0" w:after="0" w:afterAutospacing="0"/>
                    <w:jc w:val="both"/>
                    <w:rPr>
                      <w:rFonts w:eastAsia="Times New Roman"/>
                      <w:sz w:val="12"/>
                      <w:szCs w:val="12"/>
                    </w:rPr>
                  </w:pPr>
                  <w:r>
                    <w:rPr>
                      <w:rFonts w:eastAsia="Times New Roman"/>
                      <w:sz w:val="12"/>
                      <w:szCs w:val="12"/>
                    </w:rPr>
                    <w:pict>
                      <v:rect id="_x0000_i1057" style="width:0;height:1.5pt" o:hralign="center" o:hrstd="t" o:hr="t" fillcolor="#a0a0a0" stroked="f"/>
                    </w:pict>
                  </w:r>
                </w:p>
                <w:p w:rsidR="00000000" w:rsidRDefault="008937FC">
                  <w:pPr>
                    <w:pStyle w:val="NormalWeb"/>
                    <w:jc w:val="both"/>
                    <w:rPr>
                      <w:sz w:val="12"/>
                      <w:szCs w:val="12"/>
                    </w:rPr>
                  </w:pPr>
                  <w:r>
                    <w:rPr>
                      <w:sz w:val="12"/>
                      <w:szCs w:val="12"/>
                    </w:rPr>
                    <w:t> </w:t>
                  </w:r>
                </w:p>
              </w:tc>
            </w:tr>
          </w:tbl>
          <w:p w:rsidR="00000000" w:rsidRDefault="007B3F44">
            <w:pPr>
              <w:spacing w:before="0" w:beforeAutospacing="0" w:after="0" w:afterAutospacing="0"/>
              <w:rPr>
                <w:rFonts w:eastAsia="Times New Roman"/>
                <w:sz w:val="12"/>
                <w:szCs w:val="12"/>
              </w:rPr>
            </w:pPr>
            <w:r>
              <w:rPr>
                <w:rFonts w:eastAsia="Times New Roman"/>
                <w:sz w:val="12"/>
                <w:szCs w:val="12"/>
              </w:rPr>
              <w:pict>
                <v:rect id="_x0000_i1058" style="width:0;height:.75pt" o:hralign="center" o:hrstd="t" o:hrnoshade="t" o:hr="t" fillcolor="black" stroked="f"/>
              </w:pict>
            </w:r>
          </w:p>
          <w:p w:rsidR="00000000" w:rsidRDefault="008937FC">
            <w:pPr>
              <w:spacing w:before="0" w:beforeAutospacing="0" w:after="0" w:afterAutospacing="0"/>
              <w:jc w:val="center"/>
              <w:rPr>
                <w:rFonts w:eastAsia="Times New Roman"/>
                <w:b/>
                <w:bCs/>
                <w:sz w:val="12"/>
                <w:szCs w:val="12"/>
              </w:rPr>
            </w:pPr>
            <w:r>
              <w:rPr>
                <w:rFonts w:eastAsia="Times New Roman"/>
                <w:b/>
                <w:bCs/>
                <w:sz w:val="12"/>
                <w:szCs w:val="12"/>
              </w:rPr>
              <w:t xml:space="preserve">Please do not consider the material presented above Official </w:t>
            </w:r>
          </w:p>
          <w:p w:rsidR="00000000" w:rsidRDefault="008937FC">
            <w:pPr>
              <w:spacing w:before="0" w:beforeAutospacing="0" w:after="0" w:afterAutospacing="0"/>
              <w:jc w:val="center"/>
              <w:rPr>
                <w:rFonts w:eastAsia="Times New Roman"/>
                <w:b/>
                <w:bCs/>
                <w:sz w:val="12"/>
                <w:szCs w:val="12"/>
              </w:rPr>
            </w:pPr>
            <w:r>
              <w:rPr>
                <w:rFonts w:eastAsia="Times New Roman"/>
                <w:b/>
                <w:bCs/>
                <w:sz w:val="12"/>
                <w:szCs w:val="12"/>
              </w:rPr>
              <w:t>Al Meezan - Qatary Legal Portal</w:t>
            </w:r>
          </w:p>
        </w:tc>
        <w:tc>
          <w:tcPr>
            <w:tcW w:w="0" w:type="auto"/>
            <w:tcMar>
              <w:top w:w="15" w:type="dxa"/>
              <w:left w:w="15" w:type="dxa"/>
              <w:bottom w:w="15" w:type="dxa"/>
              <w:right w:w="15" w:type="dxa"/>
            </w:tcMar>
            <w:vAlign w:val="center"/>
            <w:hideMark/>
          </w:tcPr>
          <w:p w:rsidR="00000000" w:rsidRDefault="008937FC">
            <w:pPr>
              <w:spacing w:before="0" w:beforeAutospacing="0" w:after="0" w:afterAutospacing="0"/>
              <w:jc w:val="center"/>
              <w:rPr>
                <w:rFonts w:eastAsia="Times New Roman"/>
                <w:sz w:val="12"/>
                <w:szCs w:val="12"/>
              </w:rPr>
            </w:pPr>
          </w:p>
        </w:tc>
      </w:tr>
    </w:tbl>
    <w:p w:rsidR="00000000" w:rsidRDefault="008937FC">
      <w:pPr>
        <w:pStyle w:val="z-BottomofForm"/>
        <w:divId w:val="1650398752"/>
      </w:pPr>
      <w:r>
        <w:t>Bottom of Form</w:t>
      </w:r>
    </w:p>
    <w:sectPr w:rsidR="0000000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85F91"/>
    <w:multiLevelType w:val="multilevel"/>
    <w:tmpl w:val="0890E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FC650A5"/>
    <w:multiLevelType w:val="multilevel"/>
    <w:tmpl w:val="2F288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972D74"/>
    <w:multiLevelType w:val="multilevel"/>
    <w:tmpl w:val="12C2E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90"/>
  <w:defaultTabStop w:val="720"/>
  <w:noPunctuationKerning/>
  <w:characterSpacingControl w:val="doNotCompress"/>
  <w:compat/>
  <w:rsids>
    <w:rsidRoot w:val="007B3F44"/>
    <w:rsid w:val="007B3F44"/>
    <w:rsid w:val="008937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00" w:beforeAutospacing="1" w:after="100" w:afterAutospacing="1"/>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b w:val="0"/>
      <w:bCs w:val="0"/>
      <w:strike w:val="0"/>
      <w:dstrike w:val="0"/>
      <w:color w:val="0000FF"/>
      <w:sz w:val="16"/>
      <w:szCs w:val="16"/>
      <w:u w:val="single"/>
      <w:effect w:val="none"/>
    </w:rPr>
  </w:style>
  <w:style w:type="character" w:styleId="FollowedHyperlink">
    <w:name w:val="FollowedHyperlink"/>
    <w:basedOn w:val="DefaultParagraphFont"/>
    <w:uiPriority w:val="99"/>
    <w:semiHidden/>
    <w:unhideWhenUsed/>
    <w:rPr>
      <w:b w:val="0"/>
      <w:bCs w:val="0"/>
      <w:strike w:val="0"/>
      <w:dstrike w:val="0"/>
      <w:color w:val="0000FF"/>
      <w:sz w:val="16"/>
      <w:szCs w:val="16"/>
      <w:u w:val="single"/>
      <w:effect w:val="none"/>
    </w:rPr>
  </w:style>
  <w:style w:type="paragraph" w:styleId="z-TopofForm">
    <w:name w:val="HTML Top of Form"/>
    <w:basedOn w:val="Normal"/>
    <w:next w:val="Normal"/>
    <w:link w:val="z-TopofFormChar"/>
    <w:hidden/>
    <w:uiPriority w:val="99"/>
    <w:semiHidden/>
    <w:unhideWhenUsed/>
    <w:pPr>
      <w:pBdr>
        <w:bottom w:val="single" w:sz="6" w:space="1" w:color="auto"/>
      </w:pBdr>
      <w:spacing w:before="0" w:beforeAutospacing="0" w:after="0" w:afterAutospacing="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eastAsiaTheme="minorEastAsia" w:hAnsi="Arial" w:cs="Arial"/>
      <w:vanish/>
      <w:sz w:val="16"/>
      <w:szCs w:val="16"/>
    </w:rPr>
  </w:style>
  <w:style w:type="paragraph" w:styleId="NormalWeb">
    <w:name w:val="Normal (Web)"/>
    <w:basedOn w:val="Normal"/>
    <w:uiPriority w:val="99"/>
    <w:unhideWhenUsed/>
  </w:style>
  <w:style w:type="character" w:styleId="Emphasis">
    <w:name w:val="Emphasis"/>
    <w:basedOn w:val="DefaultParagraphFont"/>
    <w:uiPriority w:val="20"/>
    <w:qFormat/>
    <w:rPr>
      <w:i/>
      <w:iCs/>
    </w:rPr>
  </w:style>
  <w:style w:type="character" w:customStyle="1" w:styleId="st1">
    <w:name w:val="st1"/>
    <w:basedOn w:val="DefaultParagraphFont"/>
  </w:style>
  <w:style w:type="character" w:customStyle="1" w:styleId="st2">
    <w:name w:val="st2"/>
    <w:basedOn w:val="DefaultParagraphFont"/>
  </w:style>
  <w:style w:type="paragraph" w:styleId="z-BottomofForm">
    <w:name w:val="HTML Bottom of Form"/>
    <w:basedOn w:val="Normal"/>
    <w:next w:val="Normal"/>
    <w:link w:val="z-BottomofFormChar"/>
    <w:hidden/>
    <w:uiPriority w:val="99"/>
    <w:semiHidden/>
    <w:unhideWhenUsed/>
    <w:pPr>
      <w:pBdr>
        <w:top w:val="single" w:sz="6" w:space="1" w:color="auto"/>
      </w:pBdr>
      <w:spacing w:before="0" w:beforeAutospacing="0" w:after="0" w:afterAutospacing="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eastAsiaTheme="minorEastAsia" w:hAnsi="Arial" w:cs="Arial"/>
      <w:vanish/>
      <w:sz w:val="16"/>
      <w:szCs w:val="16"/>
    </w:rPr>
  </w:style>
  <w:style w:type="paragraph" w:styleId="BalloonText">
    <w:name w:val="Balloon Text"/>
    <w:basedOn w:val="Normal"/>
    <w:link w:val="BalloonTextChar"/>
    <w:uiPriority w:val="99"/>
    <w:semiHidden/>
    <w:unhideWhenUsed/>
    <w:rsid w:val="008937F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7FC"/>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0398752">
      <w:bodyDiv w:val="1"/>
      <w:marLeft w:val="40"/>
      <w:marRight w:val="40"/>
      <w:marTop w:val="40"/>
      <w:marBottom w:val="40"/>
      <w:divBdr>
        <w:top w:val="none" w:sz="0" w:space="0" w:color="auto"/>
        <w:left w:val="none" w:sz="0" w:space="0" w:color="auto"/>
        <w:bottom w:val="none" w:sz="0" w:space="0" w:color="auto"/>
        <w:right w:val="none" w:sz="0" w:space="0" w:color="auto"/>
      </w:divBdr>
      <w:divsChild>
        <w:div w:id="1956667241">
          <w:marLeft w:val="0"/>
          <w:marRight w:val="0"/>
          <w:marTop w:val="0"/>
          <w:marBottom w:val="0"/>
          <w:divBdr>
            <w:top w:val="none" w:sz="0" w:space="0" w:color="auto"/>
            <w:left w:val="none" w:sz="0" w:space="0" w:color="auto"/>
            <w:bottom w:val="none" w:sz="0" w:space="0" w:color="auto"/>
            <w:right w:val="none" w:sz="0" w:space="0" w:color="auto"/>
          </w:divBdr>
          <w:divsChild>
            <w:div w:id="1346009813">
              <w:marLeft w:val="0"/>
              <w:marRight w:val="0"/>
              <w:marTop w:val="0"/>
              <w:marBottom w:val="0"/>
              <w:divBdr>
                <w:top w:val="none" w:sz="0" w:space="0" w:color="auto"/>
                <w:left w:val="none" w:sz="0" w:space="0" w:color="auto"/>
                <w:bottom w:val="none" w:sz="0" w:space="0" w:color="auto"/>
                <w:right w:val="none" w:sz="0" w:space="0" w:color="auto"/>
              </w:divBdr>
            </w:div>
            <w:div w:id="1838959063">
              <w:marLeft w:val="0"/>
              <w:marRight w:val="0"/>
              <w:marTop w:val="0"/>
              <w:marBottom w:val="0"/>
              <w:divBdr>
                <w:top w:val="none" w:sz="0" w:space="0" w:color="auto"/>
                <w:left w:val="none" w:sz="0" w:space="0" w:color="auto"/>
                <w:bottom w:val="none" w:sz="0" w:space="0" w:color="auto"/>
                <w:right w:val="none" w:sz="0" w:space="0" w:color="auto"/>
              </w:divBdr>
            </w:div>
            <w:div w:id="1480271104">
              <w:marLeft w:val="0"/>
              <w:marRight w:val="0"/>
              <w:marTop w:val="0"/>
              <w:marBottom w:val="0"/>
              <w:divBdr>
                <w:top w:val="none" w:sz="0" w:space="0" w:color="auto"/>
                <w:left w:val="none" w:sz="0" w:space="0" w:color="auto"/>
                <w:bottom w:val="none" w:sz="0" w:space="0" w:color="auto"/>
                <w:right w:val="none" w:sz="0" w:space="0" w:color="auto"/>
              </w:divBdr>
            </w:div>
            <w:div w:id="284123">
              <w:marLeft w:val="0"/>
              <w:marRight w:val="0"/>
              <w:marTop w:val="0"/>
              <w:marBottom w:val="0"/>
              <w:divBdr>
                <w:top w:val="none" w:sz="0" w:space="0" w:color="auto"/>
                <w:left w:val="none" w:sz="0" w:space="0" w:color="auto"/>
                <w:bottom w:val="none" w:sz="0" w:space="0" w:color="auto"/>
                <w:right w:val="none" w:sz="0" w:space="0" w:color="auto"/>
              </w:divBdr>
            </w:div>
            <w:div w:id="1401126273">
              <w:marLeft w:val="0"/>
              <w:marRight w:val="0"/>
              <w:marTop w:val="0"/>
              <w:marBottom w:val="0"/>
              <w:divBdr>
                <w:top w:val="none" w:sz="0" w:space="0" w:color="auto"/>
                <w:left w:val="none" w:sz="0" w:space="0" w:color="auto"/>
                <w:bottom w:val="none" w:sz="0" w:space="0" w:color="auto"/>
                <w:right w:val="none" w:sz="0" w:space="0" w:color="auto"/>
              </w:divBdr>
            </w:div>
            <w:div w:id="1829205510">
              <w:marLeft w:val="0"/>
              <w:marRight w:val="0"/>
              <w:marTop w:val="0"/>
              <w:marBottom w:val="0"/>
              <w:divBdr>
                <w:top w:val="none" w:sz="0" w:space="0" w:color="auto"/>
                <w:left w:val="none" w:sz="0" w:space="0" w:color="auto"/>
                <w:bottom w:val="none" w:sz="0" w:space="0" w:color="auto"/>
                <w:right w:val="none" w:sz="0" w:space="0" w:color="auto"/>
              </w:divBdr>
            </w:div>
            <w:div w:id="1716539771">
              <w:marLeft w:val="0"/>
              <w:marRight w:val="0"/>
              <w:marTop w:val="0"/>
              <w:marBottom w:val="0"/>
              <w:divBdr>
                <w:top w:val="none" w:sz="0" w:space="0" w:color="auto"/>
                <w:left w:val="none" w:sz="0" w:space="0" w:color="auto"/>
                <w:bottom w:val="none" w:sz="0" w:space="0" w:color="auto"/>
                <w:right w:val="none" w:sz="0" w:space="0" w:color="auto"/>
              </w:divBdr>
            </w:div>
            <w:div w:id="1948542584">
              <w:marLeft w:val="0"/>
              <w:marRight w:val="0"/>
              <w:marTop w:val="0"/>
              <w:marBottom w:val="0"/>
              <w:divBdr>
                <w:top w:val="none" w:sz="0" w:space="0" w:color="auto"/>
                <w:left w:val="none" w:sz="0" w:space="0" w:color="auto"/>
                <w:bottom w:val="none" w:sz="0" w:space="0" w:color="auto"/>
                <w:right w:val="none" w:sz="0" w:space="0" w:color="auto"/>
              </w:divBdr>
            </w:div>
            <w:div w:id="816847530">
              <w:marLeft w:val="0"/>
              <w:marRight w:val="0"/>
              <w:marTop w:val="0"/>
              <w:marBottom w:val="0"/>
              <w:divBdr>
                <w:top w:val="none" w:sz="0" w:space="0" w:color="auto"/>
                <w:left w:val="none" w:sz="0" w:space="0" w:color="auto"/>
                <w:bottom w:val="none" w:sz="0" w:space="0" w:color="auto"/>
                <w:right w:val="none" w:sz="0" w:space="0" w:color="auto"/>
              </w:divBdr>
            </w:div>
            <w:div w:id="1923372764">
              <w:marLeft w:val="0"/>
              <w:marRight w:val="0"/>
              <w:marTop w:val="0"/>
              <w:marBottom w:val="0"/>
              <w:divBdr>
                <w:top w:val="none" w:sz="0" w:space="0" w:color="auto"/>
                <w:left w:val="none" w:sz="0" w:space="0" w:color="auto"/>
                <w:bottom w:val="none" w:sz="0" w:space="0" w:color="auto"/>
                <w:right w:val="none" w:sz="0" w:space="0" w:color="auto"/>
              </w:divBdr>
            </w:div>
            <w:div w:id="1440103263">
              <w:marLeft w:val="0"/>
              <w:marRight w:val="0"/>
              <w:marTop w:val="0"/>
              <w:marBottom w:val="0"/>
              <w:divBdr>
                <w:top w:val="none" w:sz="0" w:space="0" w:color="auto"/>
                <w:left w:val="none" w:sz="0" w:space="0" w:color="auto"/>
                <w:bottom w:val="none" w:sz="0" w:space="0" w:color="auto"/>
                <w:right w:val="none" w:sz="0" w:space="0" w:color="auto"/>
              </w:divBdr>
            </w:div>
            <w:div w:id="1311254646">
              <w:marLeft w:val="0"/>
              <w:marRight w:val="0"/>
              <w:marTop w:val="0"/>
              <w:marBottom w:val="0"/>
              <w:divBdr>
                <w:top w:val="none" w:sz="0" w:space="0" w:color="auto"/>
                <w:left w:val="none" w:sz="0" w:space="0" w:color="auto"/>
                <w:bottom w:val="none" w:sz="0" w:space="0" w:color="auto"/>
                <w:right w:val="none" w:sz="0" w:space="0" w:color="auto"/>
              </w:divBdr>
            </w:div>
            <w:div w:id="1354307338">
              <w:marLeft w:val="0"/>
              <w:marRight w:val="0"/>
              <w:marTop w:val="0"/>
              <w:marBottom w:val="0"/>
              <w:divBdr>
                <w:top w:val="none" w:sz="0" w:space="0" w:color="auto"/>
                <w:left w:val="none" w:sz="0" w:space="0" w:color="auto"/>
                <w:bottom w:val="none" w:sz="0" w:space="0" w:color="auto"/>
                <w:right w:val="none" w:sz="0" w:space="0" w:color="auto"/>
              </w:divBdr>
            </w:div>
            <w:div w:id="1641496028">
              <w:marLeft w:val="0"/>
              <w:marRight w:val="0"/>
              <w:marTop w:val="0"/>
              <w:marBottom w:val="0"/>
              <w:divBdr>
                <w:top w:val="none" w:sz="0" w:space="0" w:color="auto"/>
                <w:left w:val="none" w:sz="0" w:space="0" w:color="auto"/>
                <w:bottom w:val="none" w:sz="0" w:space="0" w:color="auto"/>
                <w:right w:val="none" w:sz="0" w:space="0" w:color="auto"/>
              </w:divBdr>
            </w:div>
            <w:div w:id="1239634735">
              <w:marLeft w:val="0"/>
              <w:marRight w:val="0"/>
              <w:marTop w:val="0"/>
              <w:marBottom w:val="0"/>
              <w:divBdr>
                <w:top w:val="none" w:sz="0" w:space="0" w:color="auto"/>
                <w:left w:val="none" w:sz="0" w:space="0" w:color="auto"/>
                <w:bottom w:val="none" w:sz="0" w:space="0" w:color="auto"/>
                <w:right w:val="none" w:sz="0" w:space="0" w:color="auto"/>
              </w:divBdr>
            </w:div>
            <w:div w:id="1305430235">
              <w:marLeft w:val="0"/>
              <w:marRight w:val="0"/>
              <w:marTop w:val="0"/>
              <w:marBottom w:val="0"/>
              <w:divBdr>
                <w:top w:val="none" w:sz="0" w:space="0" w:color="auto"/>
                <w:left w:val="none" w:sz="0" w:space="0" w:color="auto"/>
                <w:bottom w:val="none" w:sz="0" w:space="0" w:color="auto"/>
                <w:right w:val="none" w:sz="0" w:space="0" w:color="auto"/>
              </w:divBdr>
            </w:div>
            <w:div w:id="134641312">
              <w:marLeft w:val="0"/>
              <w:marRight w:val="0"/>
              <w:marTop w:val="0"/>
              <w:marBottom w:val="0"/>
              <w:divBdr>
                <w:top w:val="none" w:sz="0" w:space="0" w:color="auto"/>
                <w:left w:val="none" w:sz="0" w:space="0" w:color="auto"/>
                <w:bottom w:val="none" w:sz="0" w:space="0" w:color="auto"/>
                <w:right w:val="none" w:sz="0" w:space="0" w:color="auto"/>
              </w:divBdr>
            </w:div>
            <w:div w:id="2039815722">
              <w:marLeft w:val="0"/>
              <w:marRight w:val="0"/>
              <w:marTop w:val="0"/>
              <w:marBottom w:val="0"/>
              <w:divBdr>
                <w:top w:val="none" w:sz="0" w:space="0" w:color="auto"/>
                <w:left w:val="none" w:sz="0" w:space="0" w:color="auto"/>
                <w:bottom w:val="none" w:sz="0" w:space="0" w:color="auto"/>
                <w:right w:val="none" w:sz="0" w:space="0" w:color="auto"/>
              </w:divBdr>
            </w:div>
            <w:div w:id="1358772859">
              <w:marLeft w:val="0"/>
              <w:marRight w:val="0"/>
              <w:marTop w:val="0"/>
              <w:marBottom w:val="0"/>
              <w:divBdr>
                <w:top w:val="none" w:sz="0" w:space="0" w:color="auto"/>
                <w:left w:val="none" w:sz="0" w:space="0" w:color="auto"/>
                <w:bottom w:val="none" w:sz="0" w:space="0" w:color="auto"/>
                <w:right w:val="none" w:sz="0" w:space="0" w:color="auto"/>
              </w:divBdr>
            </w:div>
            <w:div w:id="421804135">
              <w:marLeft w:val="0"/>
              <w:marRight w:val="0"/>
              <w:marTop w:val="0"/>
              <w:marBottom w:val="0"/>
              <w:divBdr>
                <w:top w:val="none" w:sz="0" w:space="0" w:color="auto"/>
                <w:left w:val="none" w:sz="0" w:space="0" w:color="auto"/>
                <w:bottom w:val="none" w:sz="0" w:space="0" w:color="auto"/>
                <w:right w:val="none" w:sz="0" w:space="0" w:color="auto"/>
              </w:divBdr>
            </w:div>
            <w:div w:id="1386098128">
              <w:marLeft w:val="0"/>
              <w:marRight w:val="0"/>
              <w:marTop w:val="0"/>
              <w:marBottom w:val="0"/>
              <w:divBdr>
                <w:top w:val="none" w:sz="0" w:space="0" w:color="auto"/>
                <w:left w:val="none" w:sz="0" w:space="0" w:color="auto"/>
                <w:bottom w:val="none" w:sz="0" w:space="0" w:color="auto"/>
                <w:right w:val="none" w:sz="0" w:space="0" w:color="auto"/>
              </w:divBdr>
            </w:div>
            <w:div w:id="350686019">
              <w:marLeft w:val="0"/>
              <w:marRight w:val="0"/>
              <w:marTop w:val="0"/>
              <w:marBottom w:val="0"/>
              <w:divBdr>
                <w:top w:val="none" w:sz="0" w:space="0" w:color="auto"/>
                <w:left w:val="none" w:sz="0" w:space="0" w:color="auto"/>
                <w:bottom w:val="none" w:sz="0" w:space="0" w:color="auto"/>
                <w:right w:val="none" w:sz="0" w:space="0" w:color="auto"/>
              </w:divBdr>
            </w:div>
            <w:div w:id="384642437">
              <w:marLeft w:val="0"/>
              <w:marRight w:val="0"/>
              <w:marTop w:val="0"/>
              <w:marBottom w:val="0"/>
              <w:divBdr>
                <w:top w:val="none" w:sz="0" w:space="0" w:color="auto"/>
                <w:left w:val="none" w:sz="0" w:space="0" w:color="auto"/>
                <w:bottom w:val="none" w:sz="0" w:space="0" w:color="auto"/>
                <w:right w:val="none" w:sz="0" w:space="0" w:color="auto"/>
              </w:divBdr>
            </w:div>
            <w:div w:id="1735349014">
              <w:marLeft w:val="0"/>
              <w:marRight w:val="0"/>
              <w:marTop w:val="0"/>
              <w:marBottom w:val="0"/>
              <w:divBdr>
                <w:top w:val="none" w:sz="0" w:space="0" w:color="auto"/>
                <w:left w:val="none" w:sz="0" w:space="0" w:color="auto"/>
                <w:bottom w:val="none" w:sz="0" w:space="0" w:color="auto"/>
                <w:right w:val="none" w:sz="0" w:space="0" w:color="auto"/>
              </w:divBdr>
            </w:div>
            <w:div w:id="605846667">
              <w:marLeft w:val="0"/>
              <w:marRight w:val="0"/>
              <w:marTop w:val="0"/>
              <w:marBottom w:val="0"/>
              <w:divBdr>
                <w:top w:val="none" w:sz="0" w:space="0" w:color="auto"/>
                <w:left w:val="none" w:sz="0" w:space="0" w:color="auto"/>
                <w:bottom w:val="none" w:sz="0" w:space="0" w:color="auto"/>
                <w:right w:val="none" w:sz="0" w:space="0" w:color="auto"/>
              </w:divBdr>
            </w:div>
            <w:div w:id="238104745">
              <w:marLeft w:val="0"/>
              <w:marRight w:val="0"/>
              <w:marTop w:val="0"/>
              <w:marBottom w:val="0"/>
              <w:divBdr>
                <w:top w:val="none" w:sz="0" w:space="0" w:color="auto"/>
                <w:left w:val="none" w:sz="0" w:space="0" w:color="auto"/>
                <w:bottom w:val="none" w:sz="0" w:space="0" w:color="auto"/>
                <w:right w:val="none" w:sz="0" w:space="0" w:color="auto"/>
              </w:divBdr>
            </w:div>
            <w:div w:id="1357001608">
              <w:marLeft w:val="0"/>
              <w:marRight w:val="0"/>
              <w:marTop w:val="0"/>
              <w:marBottom w:val="0"/>
              <w:divBdr>
                <w:top w:val="none" w:sz="0" w:space="0" w:color="auto"/>
                <w:left w:val="none" w:sz="0" w:space="0" w:color="auto"/>
                <w:bottom w:val="none" w:sz="0" w:space="0" w:color="auto"/>
                <w:right w:val="none" w:sz="0" w:space="0" w:color="auto"/>
              </w:divBdr>
            </w:div>
            <w:div w:id="1058242498">
              <w:marLeft w:val="0"/>
              <w:marRight w:val="0"/>
              <w:marTop w:val="0"/>
              <w:marBottom w:val="0"/>
              <w:divBdr>
                <w:top w:val="none" w:sz="0" w:space="0" w:color="auto"/>
                <w:left w:val="none" w:sz="0" w:space="0" w:color="auto"/>
                <w:bottom w:val="none" w:sz="0" w:space="0" w:color="auto"/>
                <w:right w:val="none" w:sz="0" w:space="0" w:color="auto"/>
              </w:divBdr>
            </w:div>
            <w:div w:id="1463308702">
              <w:marLeft w:val="0"/>
              <w:marRight w:val="0"/>
              <w:marTop w:val="0"/>
              <w:marBottom w:val="0"/>
              <w:divBdr>
                <w:top w:val="none" w:sz="0" w:space="0" w:color="auto"/>
                <w:left w:val="none" w:sz="0" w:space="0" w:color="auto"/>
                <w:bottom w:val="none" w:sz="0" w:space="0" w:color="auto"/>
                <w:right w:val="none" w:sz="0" w:space="0" w:color="auto"/>
              </w:divBdr>
            </w:div>
            <w:div w:id="1217620815">
              <w:marLeft w:val="0"/>
              <w:marRight w:val="0"/>
              <w:marTop w:val="0"/>
              <w:marBottom w:val="0"/>
              <w:divBdr>
                <w:top w:val="none" w:sz="0" w:space="0" w:color="auto"/>
                <w:left w:val="none" w:sz="0" w:space="0" w:color="auto"/>
                <w:bottom w:val="none" w:sz="0" w:space="0" w:color="auto"/>
                <w:right w:val="none" w:sz="0" w:space="0" w:color="auto"/>
              </w:divBdr>
            </w:div>
            <w:div w:id="1860924640">
              <w:marLeft w:val="0"/>
              <w:marRight w:val="0"/>
              <w:marTop w:val="0"/>
              <w:marBottom w:val="0"/>
              <w:divBdr>
                <w:top w:val="none" w:sz="0" w:space="0" w:color="auto"/>
                <w:left w:val="none" w:sz="0" w:space="0" w:color="auto"/>
                <w:bottom w:val="none" w:sz="0" w:space="0" w:color="auto"/>
                <w:right w:val="none" w:sz="0" w:space="0" w:color="auto"/>
              </w:divBdr>
            </w:div>
            <w:div w:id="1752123091">
              <w:marLeft w:val="0"/>
              <w:marRight w:val="0"/>
              <w:marTop w:val="0"/>
              <w:marBottom w:val="0"/>
              <w:divBdr>
                <w:top w:val="none" w:sz="0" w:space="0" w:color="auto"/>
                <w:left w:val="none" w:sz="0" w:space="0" w:color="auto"/>
                <w:bottom w:val="none" w:sz="0" w:space="0" w:color="auto"/>
                <w:right w:val="none" w:sz="0" w:space="0" w:color="auto"/>
              </w:divBdr>
            </w:div>
            <w:div w:id="795610075">
              <w:marLeft w:val="380"/>
              <w:marRight w:val="0"/>
              <w:marTop w:val="0"/>
              <w:marBottom w:val="0"/>
              <w:divBdr>
                <w:top w:val="none" w:sz="0" w:space="0" w:color="auto"/>
                <w:left w:val="none" w:sz="0" w:space="0" w:color="auto"/>
                <w:bottom w:val="none" w:sz="0" w:space="0" w:color="auto"/>
                <w:right w:val="none" w:sz="0" w:space="0" w:color="auto"/>
              </w:divBdr>
            </w:div>
            <w:div w:id="1532449158">
              <w:marLeft w:val="380"/>
              <w:marRight w:val="0"/>
              <w:marTop w:val="0"/>
              <w:marBottom w:val="0"/>
              <w:divBdr>
                <w:top w:val="none" w:sz="0" w:space="0" w:color="auto"/>
                <w:left w:val="none" w:sz="0" w:space="0" w:color="auto"/>
                <w:bottom w:val="none" w:sz="0" w:space="0" w:color="auto"/>
                <w:right w:val="none" w:sz="0" w:space="0" w:color="auto"/>
              </w:divBdr>
            </w:div>
            <w:div w:id="748842668">
              <w:marLeft w:val="380"/>
              <w:marRight w:val="0"/>
              <w:marTop w:val="0"/>
              <w:marBottom w:val="0"/>
              <w:divBdr>
                <w:top w:val="none" w:sz="0" w:space="0" w:color="auto"/>
                <w:left w:val="none" w:sz="0" w:space="0" w:color="auto"/>
                <w:bottom w:val="none" w:sz="0" w:space="0" w:color="auto"/>
                <w:right w:val="none" w:sz="0" w:space="0" w:color="auto"/>
              </w:divBdr>
            </w:div>
            <w:div w:id="1762292869">
              <w:marLeft w:val="380"/>
              <w:marRight w:val="0"/>
              <w:marTop w:val="0"/>
              <w:marBottom w:val="0"/>
              <w:divBdr>
                <w:top w:val="none" w:sz="0" w:space="0" w:color="auto"/>
                <w:left w:val="none" w:sz="0" w:space="0" w:color="auto"/>
                <w:bottom w:val="none" w:sz="0" w:space="0" w:color="auto"/>
                <w:right w:val="none" w:sz="0" w:space="0" w:color="auto"/>
              </w:divBdr>
            </w:div>
            <w:div w:id="713312415">
              <w:marLeft w:val="380"/>
              <w:marRight w:val="0"/>
              <w:marTop w:val="0"/>
              <w:marBottom w:val="0"/>
              <w:divBdr>
                <w:top w:val="none" w:sz="0" w:space="0" w:color="auto"/>
                <w:left w:val="none" w:sz="0" w:space="0" w:color="auto"/>
                <w:bottom w:val="none" w:sz="0" w:space="0" w:color="auto"/>
                <w:right w:val="none" w:sz="0" w:space="0" w:color="auto"/>
              </w:divBdr>
            </w:div>
            <w:div w:id="133446830">
              <w:marLeft w:val="380"/>
              <w:marRight w:val="0"/>
              <w:marTop w:val="0"/>
              <w:marBottom w:val="0"/>
              <w:divBdr>
                <w:top w:val="none" w:sz="0" w:space="0" w:color="auto"/>
                <w:left w:val="none" w:sz="0" w:space="0" w:color="auto"/>
                <w:bottom w:val="none" w:sz="0" w:space="0" w:color="auto"/>
                <w:right w:val="none" w:sz="0" w:space="0" w:color="auto"/>
              </w:divBdr>
            </w:div>
            <w:div w:id="3214235">
              <w:marLeft w:val="0"/>
              <w:marRight w:val="0"/>
              <w:marTop w:val="0"/>
              <w:marBottom w:val="0"/>
              <w:divBdr>
                <w:top w:val="none" w:sz="0" w:space="0" w:color="auto"/>
                <w:left w:val="none" w:sz="0" w:space="0" w:color="auto"/>
                <w:bottom w:val="none" w:sz="0" w:space="0" w:color="auto"/>
                <w:right w:val="none" w:sz="0" w:space="0" w:color="auto"/>
              </w:divBdr>
            </w:div>
            <w:div w:id="973370168">
              <w:marLeft w:val="0"/>
              <w:marRight w:val="0"/>
              <w:marTop w:val="0"/>
              <w:marBottom w:val="0"/>
              <w:divBdr>
                <w:top w:val="none" w:sz="0" w:space="0" w:color="auto"/>
                <w:left w:val="none" w:sz="0" w:space="0" w:color="auto"/>
                <w:bottom w:val="none" w:sz="0" w:space="0" w:color="auto"/>
                <w:right w:val="none" w:sz="0" w:space="0" w:color="auto"/>
              </w:divBdr>
            </w:div>
            <w:div w:id="1435008566">
              <w:marLeft w:val="0"/>
              <w:marRight w:val="0"/>
              <w:marTop w:val="0"/>
              <w:marBottom w:val="0"/>
              <w:divBdr>
                <w:top w:val="none" w:sz="0" w:space="0" w:color="auto"/>
                <w:left w:val="none" w:sz="0" w:space="0" w:color="auto"/>
                <w:bottom w:val="none" w:sz="0" w:space="0" w:color="auto"/>
                <w:right w:val="none" w:sz="0" w:space="0" w:color="auto"/>
              </w:divBdr>
            </w:div>
            <w:div w:id="380445768">
              <w:marLeft w:val="0"/>
              <w:marRight w:val="0"/>
              <w:marTop w:val="0"/>
              <w:marBottom w:val="0"/>
              <w:divBdr>
                <w:top w:val="none" w:sz="0" w:space="0" w:color="auto"/>
                <w:left w:val="none" w:sz="0" w:space="0" w:color="auto"/>
                <w:bottom w:val="none" w:sz="0" w:space="0" w:color="auto"/>
                <w:right w:val="none" w:sz="0" w:space="0" w:color="auto"/>
              </w:divBdr>
            </w:div>
            <w:div w:id="1414661894">
              <w:marLeft w:val="150"/>
              <w:marRight w:val="0"/>
              <w:marTop w:val="0"/>
              <w:marBottom w:val="0"/>
              <w:divBdr>
                <w:top w:val="none" w:sz="0" w:space="0" w:color="auto"/>
                <w:left w:val="none" w:sz="0" w:space="0" w:color="auto"/>
                <w:bottom w:val="none" w:sz="0" w:space="0" w:color="auto"/>
                <w:right w:val="none" w:sz="0" w:space="0" w:color="auto"/>
              </w:divBdr>
            </w:div>
            <w:div w:id="20516836">
              <w:marLeft w:val="0"/>
              <w:marRight w:val="0"/>
              <w:marTop w:val="0"/>
              <w:marBottom w:val="0"/>
              <w:divBdr>
                <w:top w:val="none" w:sz="0" w:space="0" w:color="auto"/>
                <w:left w:val="none" w:sz="0" w:space="0" w:color="auto"/>
                <w:bottom w:val="none" w:sz="0" w:space="0" w:color="auto"/>
                <w:right w:val="none" w:sz="0" w:space="0" w:color="auto"/>
              </w:divBdr>
            </w:div>
            <w:div w:id="633676281">
              <w:marLeft w:val="0"/>
              <w:marRight w:val="0"/>
              <w:marTop w:val="0"/>
              <w:marBottom w:val="0"/>
              <w:divBdr>
                <w:top w:val="none" w:sz="0" w:space="0" w:color="auto"/>
                <w:left w:val="none" w:sz="0" w:space="0" w:color="auto"/>
                <w:bottom w:val="none" w:sz="0" w:space="0" w:color="auto"/>
                <w:right w:val="none" w:sz="0" w:space="0" w:color="auto"/>
              </w:divBdr>
            </w:div>
            <w:div w:id="1667124037">
              <w:marLeft w:val="0"/>
              <w:marRight w:val="0"/>
              <w:marTop w:val="0"/>
              <w:marBottom w:val="0"/>
              <w:divBdr>
                <w:top w:val="none" w:sz="0" w:space="0" w:color="auto"/>
                <w:left w:val="none" w:sz="0" w:space="0" w:color="auto"/>
                <w:bottom w:val="none" w:sz="0" w:space="0" w:color="auto"/>
                <w:right w:val="none" w:sz="0" w:space="0" w:color="auto"/>
              </w:divBdr>
            </w:div>
            <w:div w:id="587495406">
              <w:marLeft w:val="0"/>
              <w:marRight w:val="0"/>
              <w:marTop w:val="0"/>
              <w:marBottom w:val="0"/>
              <w:divBdr>
                <w:top w:val="none" w:sz="0" w:space="0" w:color="auto"/>
                <w:left w:val="none" w:sz="0" w:space="0" w:color="auto"/>
                <w:bottom w:val="none" w:sz="0" w:space="0" w:color="auto"/>
                <w:right w:val="none" w:sz="0" w:space="0" w:color="auto"/>
              </w:divBdr>
            </w:div>
            <w:div w:id="505291285">
              <w:marLeft w:val="0"/>
              <w:marRight w:val="0"/>
              <w:marTop w:val="0"/>
              <w:marBottom w:val="0"/>
              <w:divBdr>
                <w:top w:val="none" w:sz="0" w:space="0" w:color="auto"/>
                <w:left w:val="none" w:sz="0" w:space="0" w:color="auto"/>
                <w:bottom w:val="none" w:sz="0" w:space="0" w:color="auto"/>
                <w:right w:val="none" w:sz="0" w:space="0" w:color="auto"/>
              </w:divBdr>
            </w:div>
            <w:div w:id="51390540">
              <w:marLeft w:val="0"/>
              <w:marRight w:val="0"/>
              <w:marTop w:val="0"/>
              <w:marBottom w:val="0"/>
              <w:divBdr>
                <w:top w:val="none" w:sz="0" w:space="0" w:color="auto"/>
                <w:left w:val="none" w:sz="0" w:space="0" w:color="auto"/>
                <w:bottom w:val="none" w:sz="0" w:space="0" w:color="auto"/>
                <w:right w:val="none" w:sz="0" w:space="0" w:color="auto"/>
              </w:divBdr>
            </w:div>
            <w:div w:id="1851261445">
              <w:marLeft w:val="0"/>
              <w:marRight w:val="0"/>
              <w:marTop w:val="0"/>
              <w:marBottom w:val="0"/>
              <w:divBdr>
                <w:top w:val="none" w:sz="0" w:space="0" w:color="auto"/>
                <w:left w:val="none" w:sz="0" w:space="0" w:color="auto"/>
                <w:bottom w:val="none" w:sz="0" w:space="0" w:color="auto"/>
                <w:right w:val="none" w:sz="0" w:space="0" w:color="auto"/>
              </w:divBdr>
            </w:div>
            <w:div w:id="333459221">
              <w:marLeft w:val="0"/>
              <w:marRight w:val="0"/>
              <w:marTop w:val="0"/>
              <w:marBottom w:val="0"/>
              <w:divBdr>
                <w:top w:val="none" w:sz="0" w:space="0" w:color="auto"/>
                <w:left w:val="none" w:sz="0" w:space="0" w:color="auto"/>
                <w:bottom w:val="none" w:sz="0" w:space="0" w:color="auto"/>
                <w:right w:val="none" w:sz="0" w:space="0" w:color="auto"/>
              </w:divBdr>
            </w:div>
            <w:div w:id="1578516325">
              <w:marLeft w:val="380"/>
              <w:marRight w:val="0"/>
              <w:marTop w:val="0"/>
              <w:marBottom w:val="0"/>
              <w:divBdr>
                <w:top w:val="none" w:sz="0" w:space="0" w:color="auto"/>
                <w:left w:val="none" w:sz="0" w:space="0" w:color="auto"/>
                <w:bottom w:val="none" w:sz="0" w:space="0" w:color="auto"/>
                <w:right w:val="none" w:sz="0" w:space="0" w:color="auto"/>
              </w:divBdr>
            </w:div>
            <w:div w:id="659314985">
              <w:marLeft w:val="380"/>
              <w:marRight w:val="0"/>
              <w:marTop w:val="0"/>
              <w:marBottom w:val="0"/>
              <w:divBdr>
                <w:top w:val="none" w:sz="0" w:space="0" w:color="auto"/>
                <w:left w:val="none" w:sz="0" w:space="0" w:color="auto"/>
                <w:bottom w:val="none" w:sz="0" w:space="0" w:color="auto"/>
                <w:right w:val="none" w:sz="0" w:space="0" w:color="auto"/>
              </w:divBdr>
            </w:div>
            <w:div w:id="274600721">
              <w:marLeft w:val="380"/>
              <w:marRight w:val="0"/>
              <w:marTop w:val="0"/>
              <w:marBottom w:val="0"/>
              <w:divBdr>
                <w:top w:val="none" w:sz="0" w:space="0" w:color="auto"/>
                <w:left w:val="none" w:sz="0" w:space="0" w:color="auto"/>
                <w:bottom w:val="none" w:sz="0" w:space="0" w:color="auto"/>
                <w:right w:val="none" w:sz="0" w:space="0" w:color="auto"/>
              </w:divBdr>
            </w:div>
            <w:div w:id="271205044">
              <w:marLeft w:val="380"/>
              <w:marRight w:val="0"/>
              <w:marTop w:val="0"/>
              <w:marBottom w:val="0"/>
              <w:divBdr>
                <w:top w:val="none" w:sz="0" w:space="0" w:color="auto"/>
                <w:left w:val="none" w:sz="0" w:space="0" w:color="auto"/>
                <w:bottom w:val="none" w:sz="0" w:space="0" w:color="auto"/>
                <w:right w:val="none" w:sz="0" w:space="0" w:color="auto"/>
              </w:divBdr>
            </w:div>
            <w:div w:id="297928165">
              <w:marLeft w:val="380"/>
              <w:marRight w:val="0"/>
              <w:marTop w:val="0"/>
              <w:marBottom w:val="0"/>
              <w:divBdr>
                <w:top w:val="none" w:sz="0" w:space="0" w:color="auto"/>
                <w:left w:val="none" w:sz="0" w:space="0" w:color="auto"/>
                <w:bottom w:val="none" w:sz="0" w:space="0" w:color="auto"/>
                <w:right w:val="none" w:sz="0" w:space="0" w:color="auto"/>
              </w:divBdr>
            </w:div>
            <w:div w:id="491221032">
              <w:marLeft w:val="380"/>
              <w:marRight w:val="0"/>
              <w:marTop w:val="0"/>
              <w:marBottom w:val="0"/>
              <w:divBdr>
                <w:top w:val="none" w:sz="0" w:space="0" w:color="auto"/>
                <w:left w:val="none" w:sz="0" w:space="0" w:color="auto"/>
                <w:bottom w:val="none" w:sz="0" w:space="0" w:color="auto"/>
                <w:right w:val="none" w:sz="0" w:space="0" w:color="auto"/>
              </w:divBdr>
            </w:div>
            <w:div w:id="1391415192">
              <w:marLeft w:val="150"/>
              <w:marRight w:val="0"/>
              <w:marTop w:val="0"/>
              <w:marBottom w:val="0"/>
              <w:divBdr>
                <w:top w:val="none" w:sz="0" w:space="0" w:color="auto"/>
                <w:left w:val="none" w:sz="0" w:space="0" w:color="auto"/>
                <w:bottom w:val="none" w:sz="0" w:space="0" w:color="auto"/>
                <w:right w:val="none" w:sz="0" w:space="0" w:color="auto"/>
              </w:divBdr>
            </w:div>
            <w:div w:id="226842078">
              <w:marLeft w:val="0"/>
              <w:marRight w:val="0"/>
              <w:marTop w:val="0"/>
              <w:marBottom w:val="0"/>
              <w:divBdr>
                <w:top w:val="none" w:sz="0" w:space="0" w:color="auto"/>
                <w:left w:val="none" w:sz="0" w:space="0" w:color="auto"/>
                <w:bottom w:val="none" w:sz="0" w:space="0" w:color="auto"/>
                <w:right w:val="none" w:sz="0" w:space="0" w:color="auto"/>
              </w:divBdr>
            </w:div>
            <w:div w:id="1236821073">
              <w:marLeft w:val="0"/>
              <w:marRight w:val="0"/>
              <w:marTop w:val="0"/>
              <w:marBottom w:val="0"/>
              <w:divBdr>
                <w:top w:val="none" w:sz="0" w:space="0" w:color="auto"/>
                <w:left w:val="none" w:sz="0" w:space="0" w:color="auto"/>
                <w:bottom w:val="none" w:sz="0" w:space="0" w:color="auto"/>
                <w:right w:val="none" w:sz="0" w:space="0" w:color="auto"/>
              </w:divBdr>
            </w:div>
            <w:div w:id="627510719">
              <w:marLeft w:val="0"/>
              <w:marRight w:val="0"/>
              <w:marTop w:val="0"/>
              <w:marBottom w:val="0"/>
              <w:divBdr>
                <w:top w:val="none" w:sz="0" w:space="0" w:color="auto"/>
                <w:left w:val="none" w:sz="0" w:space="0" w:color="auto"/>
                <w:bottom w:val="none" w:sz="0" w:space="0" w:color="auto"/>
                <w:right w:val="none" w:sz="0" w:space="0" w:color="auto"/>
              </w:divBdr>
            </w:div>
            <w:div w:id="1936940615">
              <w:marLeft w:val="0"/>
              <w:marRight w:val="0"/>
              <w:marTop w:val="0"/>
              <w:marBottom w:val="0"/>
              <w:divBdr>
                <w:top w:val="none" w:sz="0" w:space="0" w:color="auto"/>
                <w:left w:val="none" w:sz="0" w:space="0" w:color="auto"/>
                <w:bottom w:val="none" w:sz="0" w:space="0" w:color="auto"/>
                <w:right w:val="none" w:sz="0" w:space="0" w:color="auto"/>
              </w:divBdr>
            </w:div>
            <w:div w:id="1794976026">
              <w:marLeft w:val="0"/>
              <w:marRight w:val="0"/>
              <w:marTop w:val="0"/>
              <w:marBottom w:val="0"/>
              <w:divBdr>
                <w:top w:val="none" w:sz="0" w:space="0" w:color="auto"/>
                <w:left w:val="none" w:sz="0" w:space="0" w:color="auto"/>
                <w:bottom w:val="none" w:sz="0" w:space="0" w:color="auto"/>
                <w:right w:val="none" w:sz="0" w:space="0" w:color="auto"/>
              </w:divBdr>
            </w:div>
            <w:div w:id="1275601147">
              <w:marLeft w:val="0"/>
              <w:marRight w:val="0"/>
              <w:marTop w:val="0"/>
              <w:marBottom w:val="0"/>
              <w:divBdr>
                <w:top w:val="none" w:sz="0" w:space="0" w:color="auto"/>
                <w:left w:val="none" w:sz="0" w:space="0" w:color="auto"/>
                <w:bottom w:val="none" w:sz="0" w:space="0" w:color="auto"/>
                <w:right w:val="none" w:sz="0" w:space="0" w:color="auto"/>
              </w:divBdr>
            </w:div>
            <w:div w:id="1416436867">
              <w:marLeft w:val="0"/>
              <w:marRight w:val="0"/>
              <w:marTop w:val="0"/>
              <w:marBottom w:val="0"/>
              <w:divBdr>
                <w:top w:val="none" w:sz="0" w:space="0" w:color="auto"/>
                <w:left w:val="none" w:sz="0" w:space="0" w:color="auto"/>
                <w:bottom w:val="none" w:sz="0" w:space="0" w:color="auto"/>
                <w:right w:val="none" w:sz="0" w:space="0" w:color="auto"/>
              </w:divBdr>
            </w:div>
            <w:div w:id="137897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s-ascii"/>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http://www.almeezan.qa/Images/en/ALMEEZAN_en.png"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2525</Words>
  <Characters>13910</Characters>
  <Application>Microsoft Office Word</Application>
  <DocSecurity>0</DocSecurity>
  <Lines>115</Lines>
  <Paragraphs>32</Paragraphs>
  <ScaleCrop>false</ScaleCrop>
  <Company/>
  <LinksUpToDate>false</LinksUpToDate>
  <CharactersWithSpaces>16403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No. 3 of 2007 On the Exploitation of Natural Resources</dc:title>
  <dc:creator>Dr Alramahi</dc:creator>
  <cp:lastModifiedBy>Dr Alramahi</cp:lastModifiedBy>
  <cp:revision>2</cp:revision>
  <dcterms:created xsi:type="dcterms:W3CDTF">2016-03-20T21:51:00Z</dcterms:created>
  <dcterms:modified xsi:type="dcterms:W3CDTF">2016-03-20T21:51:00Z</dcterms:modified>
</cp:coreProperties>
</file>