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21D" w:rsidRPr="00E9021D" w:rsidRDefault="00E9021D">
      <w:pPr>
        <w:jc w:val="left"/>
      </w:pPr>
    </w:p>
    <w:tbl>
      <w:tblPr>
        <w:tblW w:w="5000" w:type="pct"/>
        <w:tblCellSpacing w:w="0" w:type="dxa"/>
        <w:tblCellMar>
          <w:left w:w="0" w:type="dxa"/>
          <w:right w:w="0" w:type="dxa"/>
        </w:tblCellMar>
        <w:tblLook w:val="04A0" w:firstRow="1" w:lastRow="0" w:firstColumn="1" w:lastColumn="0" w:noHBand="0" w:noVBand="1"/>
      </w:tblPr>
      <w:tblGrid>
        <w:gridCol w:w="8640"/>
      </w:tblGrid>
      <w:tr w:rsidR="00E9021D" w:rsidRPr="00E9021D" w:rsidTr="00E9021D">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8640"/>
            </w:tblGrid>
            <w:tr w:rsidR="00E9021D" w:rsidRPr="00E9021D" w:rsidTr="00E9021D">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8640"/>
                  </w:tblGrid>
                  <w:tr w:rsidR="00E9021D" w:rsidRPr="00E9021D">
                    <w:trPr>
                      <w:trHeight w:val="740"/>
                      <w:tblCellSpacing w:w="0" w:type="dxa"/>
                    </w:trPr>
                    <w:tc>
                      <w:tcPr>
                        <w:tcW w:w="0" w:type="auto"/>
                        <w:vAlign w:val="center"/>
                        <w:hideMark/>
                      </w:tcPr>
                      <w:p w:rsidR="00E9021D" w:rsidRPr="00E9021D" w:rsidRDefault="00E9021D" w:rsidP="00E9021D">
                        <w:pPr>
                          <w:widowControl/>
                          <w:jc w:val="left"/>
                          <w:rPr>
                            <w:rFonts w:ascii="Arial" w:eastAsia="Times New Roman" w:hAnsi="Arial" w:cs="Arial"/>
                            <w:kern w:val="0"/>
                          </w:rPr>
                        </w:pPr>
                        <w:r>
                          <w:rPr>
                            <w:rFonts w:ascii="Arial" w:eastAsia="Times New Roman" w:hAnsi="Arial" w:cs="Arial"/>
                            <w:kern w:val="0"/>
                          </w:rPr>
                          <w:t xml:space="preserve">Two government memos from Ministry of Finance, one is to issue the Collection of Special Oil Royalty in 2006 and another is to raise the threshold of </w:t>
                        </w:r>
                        <w:proofErr w:type="spellStart"/>
                        <w:r>
                          <w:rPr>
                            <w:rFonts w:ascii="Arial" w:eastAsia="Times New Roman" w:hAnsi="Arial" w:cs="Arial"/>
                            <w:kern w:val="0"/>
                          </w:rPr>
                          <w:t>Royality</w:t>
                        </w:r>
                        <w:proofErr w:type="spellEnd"/>
                        <w:r>
                          <w:rPr>
                            <w:rFonts w:ascii="Arial" w:eastAsia="Times New Roman" w:hAnsi="Arial" w:cs="Arial"/>
                            <w:kern w:val="0"/>
                          </w:rPr>
                          <w:t xml:space="preserve"> in 2014.   </w:t>
                        </w:r>
                        <w:bookmarkStart w:id="0" w:name="_GoBack"/>
                        <w:bookmarkEnd w:id="0"/>
                      </w:p>
                      <w:p w:rsidR="00E9021D" w:rsidRPr="00E9021D" w:rsidRDefault="00E9021D" w:rsidP="00E9021D">
                        <w:pPr>
                          <w:widowControl/>
                          <w:jc w:val="left"/>
                          <w:rPr>
                            <w:rFonts w:ascii="Times" w:eastAsia="Times New Roman" w:hAnsi="Times" w:cs="Times New Roman" w:hint="eastAsia"/>
                            <w:kern w:val="0"/>
                          </w:rPr>
                        </w:pPr>
                        <w:proofErr w:type="spellStart"/>
                        <w:r w:rsidRPr="00E9021D">
                          <w:rPr>
                            <w:rFonts w:ascii="Baoli SC Regular" w:eastAsia="Times New Roman" w:hAnsi="Baoli SC Regular" w:cs="Baoli SC Regular"/>
                            <w:kern w:val="0"/>
                          </w:rPr>
                          <w:t>关于提高石油特别收益金起征点的通知</w:t>
                        </w:r>
                        <w:proofErr w:type="spellEnd"/>
                        <w:r w:rsidRPr="00E9021D">
                          <w:rPr>
                            <w:rFonts w:ascii="Times" w:eastAsia="Times New Roman" w:hAnsi="Times" w:cs="Times New Roman"/>
                            <w:kern w:val="0"/>
                          </w:rPr>
                          <w:t xml:space="preserve"> </w:t>
                        </w:r>
                      </w:p>
                      <w:p w:rsidR="00E9021D" w:rsidRPr="00E9021D" w:rsidRDefault="00E9021D" w:rsidP="00E9021D">
                        <w:pPr>
                          <w:widowControl/>
                          <w:jc w:val="left"/>
                          <w:rPr>
                            <w:rFonts w:ascii="Times" w:eastAsia="Times New Roman" w:hAnsi="Times" w:cs="Times New Roman" w:hint="eastAsia"/>
                            <w:kern w:val="0"/>
                          </w:rPr>
                        </w:pPr>
                        <w:hyperlink r:id="rId5" w:history="1">
                          <w:r w:rsidRPr="00E9021D">
                            <w:rPr>
                              <w:rStyle w:val="a7"/>
                              <w:rFonts w:ascii="Times" w:eastAsia="Times New Roman" w:hAnsi="Times" w:cs="Times New Roman"/>
                              <w:kern w:val="0"/>
                            </w:rPr>
                            <w:t>http://szs.mof.gov.cn/zhengwuxinxi/zhengcefabu/201412/t20141226_1172974.html</w:t>
                          </w:r>
                        </w:hyperlink>
                        <w:r w:rsidRPr="00E9021D">
                          <w:rPr>
                            <w:rFonts w:ascii="Times" w:eastAsia="Times New Roman" w:hAnsi="Times" w:cs="Times New Roman" w:hint="eastAsia"/>
                            <w:kern w:val="0"/>
                          </w:rPr>
                          <w:t xml:space="preserve"> </w:t>
                        </w:r>
                      </w:p>
                    </w:tc>
                  </w:tr>
                </w:tbl>
                <w:p w:rsidR="00E9021D" w:rsidRPr="00E9021D" w:rsidRDefault="00E9021D" w:rsidP="00E9021D">
                  <w:pPr>
                    <w:widowControl/>
                    <w:jc w:val="left"/>
                    <w:rPr>
                      <w:rFonts w:ascii="Times" w:eastAsia="Times New Roman" w:hAnsi="Times" w:cs="Times New Roman"/>
                      <w:vanish/>
                      <w:kern w:val="0"/>
                    </w:rPr>
                  </w:pPr>
                </w:p>
                <w:p w:rsidR="00E9021D" w:rsidRPr="00E9021D" w:rsidRDefault="00E9021D" w:rsidP="00E9021D">
                  <w:pPr>
                    <w:widowControl/>
                    <w:jc w:val="left"/>
                    <w:rPr>
                      <w:rFonts w:ascii="Times" w:eastAsia="Times New Roman" w:hAnsi="Times" w:cs="Times New Roman"/>
                      <w:vanish/>
                      <w:kern w:val="0"/>
                    </w:rPr>
                  </w:pPr>
                </w:p>
                <w:tbl>
                  <w:tblPr>
                    <w:tblW w:w="5000" w:type="pct"/>
                    <w:tblCellSpacing w:w="0" w:type="dxa"/>
                    <w:tblCellMar>
                      <w:left w:w="0" w:type="dxa"/>
                      <w:right w:w="0" w:type="dxa"/>
                    </w:tblCellMar>
                    <w:tblLook w:val="04A0" w:firstRow="1" w:lastRow="0" w:firstColumn="1" w:lastColumn="0" w:noHBand="0" w:noVBand="1"/>
                  </w:tblPr>
                  <w:tblGrid>
                    <w:gridCol w:w="8640"/>
                  </w:tblGrid>
                  <w:tr w:rsidR="00E9021D" w:rsidRPr="00E9021D">
                    <w:trPr>
                      <w:tblCellSpacing w:w="0" w:type="dxa"/>
                    </w:trPr>
                    <w:tc>
                      <w:tcPr>
                        <w:tcW w:w="0" w:type="auto"/>
                        <w:vAlign w:val="center"/>
                        <w:hideMark/>
                      </w:tcPr>
                      <w:p w:rsidR="00E9021D" w:rsidRPr="00E9021D" w:rsidRDefault="00E9021D" w:rsidP="00E9021D">
                        <w:pPr>
                          <w:widowControl/>
                          <w:jc w:val="left"/>
                          <w:rPr>
                            <w:rFonts w:ascii="Times" w:eastAsia="Times New Roman" w:hAnsi="Times" w:cs="Times New Roman"/>
                            <w:kern w:val="0"/>
                          </w:rPr>
                        </w:pPr>
                      </w:p>
                    </w:tc>
                  </w:tr>
                </w:tbl>
                <w:p w:rsidR="00E9021D" w:rsidRPr="00E9021D" w:rsidRDefault="00E9021D" w:rsidP="00E9021D">
                  <w:pPr>
                    <w:widowControl/>
                    <w:jc w:val="left"/>
                    <w:rPr>
                      <w:rFonts w:ascii="Times" w:eastAsia="Times New Roman" w:hAnsi="Times" w:cs="Times New Roman"/>
                      <w:kern w:val="0"/>
                    </w:rPr>
                  </w:pPr>
                </w:p>
              </w:tc>
            </w:tr>
            <w:tr w:rsidR="00E9021D" w:rsidRPr="00E9021D" w:rsidTr="00E9021D">
              <w:trPr>
                <w:tblCellSpacing w:w="0" w:type="dxa"/>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E9021D" w:rsidRPr="00E9021D">
                    <w:trPr>
                      <w:trHeight w:val="1520"/>
                      <w:tblCellSpacing w:w="0" w:type="dxa"/>
                    </w:trPr>
                    <w:tc>
                      <w:tcPr>
                        <w:tcW w:w="0" w:type="auto"/>
                        <w:shd w:val="clear" w:color="auto" w:fill="FFFFFF"/>
                        <w:hideMark/>
                      </w:tcPr>
                      <w:tbl>
                        <w:tblPr>
                          <w:tblW w:w="4250" w:type="pct"/>
                          <w:jc w:val="center"/>
                          <w:tblCellSpacing w:w="0" w:type="dxa"/>
                          <w:tblCellMar>
                            <w:left w:w="0" w:type="dxa"/>
                            <w:right w:w="0" w:type="dxa"/>
                          </w:tblCellMar>
                          <w:tblLook w:val="04A0" w:firstRow="1" w:lastRow="0" w:firstColumn="1" w:lastColumn="0" w:noHBand="0" w:noVBand="1"/>
                        </w:tblPr>
                        <w:tblGrid>
                          <w:gridCol w:w="7344"/>
                        </w:tblGrid>
                        <w:tr w:rsidR="00E9021D" w:rsidRPr="00E9021D">
                          <w:trPr>
                            <w:tblCellSpacing w:w="0" w:type="dxa"/>
                            <w:jc w:val="center"/>
                          </w:trPr>
                          <w:tc>
                            <w:tcPr>
                              <w:tcW w:w="0" w:type="auto"/>
                              <w:vAlign w:val="center"/>
                              <w:hideMark/>
                            </w:tcPr>
                            <w:p w:rsidR="00E9021D" w:rsidRPr="00E9021D" w:rsidRDefault="00E9021D" w:rsidP="00E9021D">
                              <w:pPr>
                                <w:widowControl/>
                                <w:spacing w:before="100" w:beforeAutospacing="1" w:after="100" w:afterAutospacing="1"/>
                                <w:jc w:val="center"/>
                                <w:rPr>
                                  <w:rFonts w:ascii="Times" w:hAnsi="Times" w:cs="Times New Roman"/>
                                  <w:kern w:val="0"/>
                                </w:rPr>
                              </w:pPr>
                              <w:r w:rsidRPr="00E9021D">
                                <w:rPr>
                                  <w:rFonts w:ascii="Times" w:hAnsi="Times" w:cs="Times New Roman"/>
                                  <w:kern w:val="0"/>
                                </w:rPr>
                                <w:t>财税〔</w:t>
                              </w:r>
                              <w:r w:rsidRPr="00E9021D">
                                <w:rPr>
                                  <w:rFonts w:ascii="Times" w:hAnsi="Times" w:cs="Times New Roman"/>
                                  <w:kern w:val="0"/>
                                </w:rPr>
                                <w:t>2014</w:t>
                              </w:r>
                              <w:r w:rsidRPr="00E9021D">
                                <w:rPr>
                                  <w:rFonts w:ascii="Times" w:hAnsi="Times" w:cs="Times New Roman"/>
                                  <w:kern w:val="0"/>
                                </w:rPr>
                                <w:t>〕</w:t>
                              </w:r>
                              <w:r w:rsidRPr="00E9021D">
                                <w:rPr>
                                  <w:rFonts w:ascii="Times" w:hAnsi="Times" w:cs="Times New Roman"/>
                                  <w:kern w:val="0"/>
                                </w:rPr>
                                <w:t>115</w:t>
                              </w:r>
                              <w:r w:rsidRPr="00E9021D">
                                <w:rPr>
                                  <w:rFonts w:ascii="Times" w:hAnsi="Times" w:cs="Times New Roman"/>
                                  <w:kern w:val="0"/>
                                </w:rPr>
                                <w:t>号</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国务院有关部委、有关直属机构，各省、自治区、直辖市、计划单列市财政厅（局），中国石油天然气集团公司、中国石油化工集团公司、中国海洋石油总公司：</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 xml:space="preserve">　　经国务院批准，财政部决定从</w:t>
                              </w:r>
                              <w:r w:rsidRPr="00E9021D">
                                <w:rPr>
                                  <w:rFonts w:ascii="Times" w:hAnsi="Times" w:cs="Times New Roman"/>
                                  <w:kern w:val="0"/>
                                </w:rPr>
                                <w:t>2015</w:t>
                              </w:r>
                              <w:r w:rsidRPr="00E9021D">
                                <w:rPr>
                                  <w:rFonts w:ascii="Times" w:hAnsi="Times" w:cs="Times New Roman"/>
                                  <w:kern w:val="0"/>
                                </w:rPr>
                                <w:t>年</w:t>
                              </w:r>
                              <w:r w:rsidRPr="00E9021D">
                                <w:rPr>
                                  <w:rFonts w:ascii="Times" w:hAnsi="Times" w:cs="Times New Roman"/>
                                  <w:kern w:val="0"/>
                                </w:rPr>
                                <w:t>1</w:t>
                              </w:r>
                              <w:r w:rsidRPr="00E9021D">
                                <w:rPr>
                                  <w:rFonts w:ascii="Times" w:hAnsi="Times" w:cs="Times New Roman"/>
                                  <w:kern w:val="0"/>
                                </w:rPr>
                                <w:t>月</w:t>
                              </w:r>
                              <w:r w:rsidRPr="00E9021D">
                                <w:rPr>
                                  <w:rFonts w:ascii="Times" w:hAnsi="Times" w:cs="Times New Roman"/>
                                  <w:kern w:val="0"/>
                                </w:rPr>
                                <w:t>1</w:t>
                              </w:r>
                              <w:r w:rsidRPr="00E9021D">
                                <w:rPr>
                                  <w:rFonts w:ascii="Times" w:hAnsi="Times" w:cs="Times New Roman"/>
                                  <w:kern w:val="0"/>
                                </w:rPr>
                                <w:t>日起，将石油特别收益金起征点提高至</w:t>
                              </w:r>
                              <w:r w:rsidRPr="00E9021D">
                                <w:rPr>
                                  <w:rFonts w:ascii="Times" w:hAnsi="Times" w:cs="Times New Roman"/>
                                  <w:kern w:val="0"/>
                                </w:rPr>
                                <w:t>65</w:t>
                              </w:r>
                              <w:r w:rsidRPr="00E9021D">
                                <w:rPr>
                                  <w:rFonts w:ascii="Times" w:hAnsi="Times" w:cs="Times New Roman"/>
                                  <w:kern w:val="0"/>
                                </w:rPr>
                                <w:t>美元</w:t>
                              </w:r>
                              <w:r w:rsidRPr="00E9021D">
                                <w:rPr>
                                  <w:rFonts w:ascii="Times" w:hAnsi="Times" w:cs="Times New Roman"/>
                                  <w:kern w:val="0"/>
                                </w:rPr>
                                <w:t>/</w:t>
                              </w:r>
                              <w:r w:rsidRPr="00E9021D">
                                <w:rPr>
                                  <w:rFonts w:ascii="Times" w:hAnsi="Times" w:cs="Times New Roman"/>
                                  <w:kern w:val="0"/>
                                </w:rPr>
                                <w:t>桶。起征点提高后，石油特别收益金征收仍实行</w:t>
                              </w:r>
                              <w:r w:rsidRPr="00E9021D">
                                <w:rPr>
                                  <w:rFonts w:ascii="Times" w:hAnsi="Times" w:cs="Times New Roman"/>
                                  <w:kern w:val="0"/>
                                </w:rPr>
                                <w:t>5</w:t>
                              </w:r>
                              <w:r w:rsidRPr="00E9021D">
                                <w:rPr>
                                  <w:rFonts w:ascii="Times" w:hAnsi="Times" w:cs="Times New Roman"/>
                                  <w:kern w:val="0"/>
                                </w:rPr>
                                <w:t>级超额累进从价定率计征。具体征收比率及速算扣除数见下表：</w:t>
                              </w:r>
                              <w:r w:rsidRPr="00E9021D">
                                <w:rPr>
                                  <w:rFonts w:ascii="Times" w:hAnsi="Times" w:cs="Times New Roman"/>
                                  <w:kern w:val="0"/>
                                </w:rPr>
                                <w:t> </w:t>
                              </w:r>
                            </w:p>
                            <w:tbl>
                              <w:tblPr>
                                <w:tblW w:w="0" w:type="auto"/>
                                <w:jc w:val="center"/>
                                <w:tblCellMar>
                                  <w:left w:w="0" w:type="dxa"/>
                                  <w:right w:w="0" w:type="dxa"/>
                                </w:tblCellMar>
                                <w:tblLook w:val="04A0" w:firstRow="1" w:lastRow="0" w:firstColumn="1" w:lastColumn="0" w:noHBand="0" w:noVBand="1"/>
                              </w:tblPr>
                              <w:tblGrid>
                                <w:gridCol w:w="2520"/>
                                <w:gridCol w:w="1440"/>
                                <w:gridCol w:w="2839"/>
                              </w:tblGrid>
                              <w:tr w:rsidR="00E9021D" w:rsidRPr="00E9021D" w:rsidTr="00E9021D">
                                <w:trPr>
                                  <w:jc w:val="center"/>
                                </w:trPr>
                                <w:tc>
                                  <w:tcPr>
                                    <w:tcW w:w="2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原油价格（美元/桶）</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征收比率</w:t>
                                    </w:r>
                                  </w:p>
                                </w:tc>
                                <w:tc>
                                  <w:tcPr>
                                    <w:tcW w:w="28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速算扣除数（美元/桶）</w:t>
                                    </w:r>
                                  </w:p>
                                </w:tc>
                              </w:tr>
                              <w:tr w:rsidR="00E9021D" w:rsidRPr="00E9021D" w:rsidTr="00E9021D">
                                <w:trPr>
                                  <w:jc w:val="center"/>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65～70（含）</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20%</w:t>
                                    </w:r>
                                  </w:p>
                                </w:tc>
                                <w:tc>
                                  <w:tcPr>
                                    <w:tcW w:w="28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0</w:t>
                                    </w:r>
                                  </w:p>
                                </w:tc>
                              </w:tr>
                              <w:tr w:rsidR="00E9021D" w:rsidRPr="00E9021D" w:rsidTr="00E9021D">
                                <w:trPr>
                                  <w:jc w:val="center"/>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ind w:left="134" w:hanging="134"/>
                                      <w:jc w:val="center"/>
                                      <w:rPr>
                                        <w:rFonts w:ascii="Times" w:hAnsi="Times" w:cs="Times New Roman"/>
                                        <w:kern w:val="0"/>
                                      </w:rPr>
                                    </w:pPr>
                                    <w:r w:rsidRPr="00E9021D">
                                      <w:rPr>
                                        <w:rFonts w:ascii="宋体" w:eastAsia="宋体" w:hAnsi="宋体" w:cs="Times New Roman" w:hint="eastAsia"/>
                                        <w:kern w:val="0"/>
                                      </w:rPr>
                                      <w:t>70～75（含）</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25%</w:t>
                                    </w:r>
                                  </w:p>
                                </w:tc>
                                <w:tc>
                                  <w:tcPr>
                                    <w:tcW w:w="28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0.25</w:t>
                                    </w:r>
                                  </w:p>
                                </w:tc>
                              </w:tr>
                              <w:tr w:rsidR="00E9021D" w:rsidRPr="00E9021D" w:rsidTr="00E9021D">
                                <w:trPr>
                                  <w:jc w:val="center"/>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75～80（含）</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30%</w:t>
                                    </w:r>
                                  </w:p>
                                </w:tc>
                                <w:tc>
                                  <w:tcPr>
                                    <w:tcW w:w="28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0.75</w:t>
                                    </w:r>
                                  </w:p>
                                </w:tc>
                              </w:tr>
                              <w:tr w:rsidR="00E9021D" w:rsidRPr="00E9021D" w:rsidTr="00E9021D">
                                <w:trPr>
                                  <w:jc w:val="center"/>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80～85（含）</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35%</w:t>
                                    </w:r>
                                  </w:p>
                                </w:tc>
                                <w:tc>
                                  <w:tcPr>
                                    <w:tcW w:w="28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1.5</w:t>
                                    </w:r>
                                  </w:p>
                                </w:tc>
                              </w:tr>
                              <w:tr w:rsidR="00E9021D" w:rsidRPr="00E9021D" w:rsidTr="00E9021D">
                                <w:trPr>
                                  <w:jc w:val="center"/>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85以上</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40%</w:t>
                                    </w:r>
                                  </w:p>
                                </w:tc>
                                <w:tc>
                                  <w:tcPr>
                                    <w:tcW w:w="28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9021D" w:rsidRPr="00E9021D" w:rsidRDefault="00E9021D" w:rsidP="00E9021D">
                                    <w:pPr>
                                      <w:widowControl/>
                                      <w:spacing w:before="216" w:after="100" w:afterAutospacing="1"/>
                                      <w:jc w:val="center"/>
                                      <w:rPr>
                                        <w:rFonts w:ascii="Times" w:hAnsi="Times" w:cs="Times New Roman"/>
                                        <w:kern w:val="0"/>
                                      </w:rPr>
                                    </w:pPr>
                                    <w:r w:rsidRPr="00E9021D">
                                      <w:rPr>
                                        <w:rFonts w:ascii="宋体" w:eastAsia="宋体" w:hAnsi="宋体" w:cs="Times New Roman" w:hint="eastAsia"/>
                                        <w:kern w:val="0"/>
                                      </w:rPr>
                                      <w:t>2.5</w:t>
                                    </w:r>
                                  </w:p>
                                </w:tc>
                              </w:tr>
                            </w:tbl>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 </w:t>
                              </w:r>
                              <w:r w:rsidRPr="00E9021D">
                                <w:rPr>
                                  <w:rFonts w:ascii="Times" w:hAnsi="Times" w:cs="Times New Roman"/>
                                  <w:kern w:val="0"/>
                                </w:rPr>
                                <w:t xml:space="preserve">　　石油特别收益金起征点提高后，其他征收管理的有关问题，仍按照《财政部关于印发〈石油特别收益金征收管理办法〉的通知》（财企〔</w:t>
                              </w:r>
                              <w:r w:rsidRPr="00E9021D">
                                <w:rPr>
                                  <w:rFonts w:ascii="Times" w:hAnsi="Times" w:cs="Times New Roman"/>
                                  <w:kern w:val="0"/>
                                </w:rPr>
                                <w:t>2006</w:t>
                              </w:r>
                              <w:r w:rsidRPr="00E9021D">
                                <w:rPr>
                                  <w:rFonts w:ascii="Times" w:hAnsi="Times" w:cs="Times New Roman"/>
                                  <w:kern w:val="0"/>
                                </w:rPr>
                                <w:t>〕</w:t>
                              </w:r>
                              <w:r w:rsidRPr="00E9021D">
                                <w:rPr>
                                  <w:rFonts w:ascii="Times" w:hAnsi="Times" w:cs="Times New Roman"/>
                                  <w:kern w:val="0"/>
                                </w:rPr>
                                <w:t>72</w:t>
                              </w:r>
                              <w:r w:rsidRPr="00E9021D">
                                <w:rPr>
                                  <w:rFonts w:ascii="Times" w:hAnsi="Times" w:cs="Times New Roman"/>
                                  <w:kern w:val="0"/>
                                </w:rPr>
                                <w:t>号）等有关文件的规定执行。</w:t>
                              </w:r>
                              <w:r w:rsidRPr="00E9021D">
                                <w:rPr>
                                  <w:rFonts w:ascii="Times" w:hAnsi="Times" w:cs="Times New Roman"/>
                                  <w:kern w:val="0"/>
                                </w:rPr>
                                <w:t> </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 </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lastRenderedPageBreak/>
                                <w:t> </w:t>
                              </w:r>
                              <w:r w:rsidRPr="00E9021D">
                                <w:rPr>
                                  <w:rFonts w:ascii="Times" w:hAnsi="Times" w:cs="Times New Roman"/>
                                  <w:kern w:val="0"/>
                                </w:rPr>
                                <w:t xml:space="preserve">　　　　　　　　　　　　　　　　　　　　　　　　　</w:t>
                              </w:r>
                              <w:r w:rsidRPr="00E9021D">
                                <w:rPr>
                                  <w:rFonts w:ascii="Times" w:hAnsi="Times" w:cs="Times New Roman"/>
                                  <w:kern w:val="0"/>
                                </w:rPr>
                                <w:t xml:space="preserve"> </w:t>
                              </w:r>
                              <w:r w:rsidRPr="00E9021D">
                                <w:rPr>
                                  <w:rFonts w:ascii="Times" w:hAnsi="Times" w:cs="Times New Roman"/>
                                  <w:kern w:val="0"/>
                                </w:rPr>
                                <w:t>财　政　部</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 xml:space="preserve">　　　　　　　　　　　　　　　　</w:t>
                              </w:r>
                              <w:r w:rsidRPr="00E9021D">
                                <w:rPr>
                                  <w:rFonts w:ascii="Times" w:hAnsi="Times" w:cs="Times New Roman"/>
                                  <w:kern w:val="0"/>
                                </w:rPr>
                                <w:t> </w:t>
                              </w:r>
                              <w:r w:rsidRPr="00E9021D">
                                <w:rPr>
                                  <w:rFonts w:ascii="Times" w:hAnsi="Times" w:cs="Times New Roman"/>
                                  <w:kern w:val="0"/>
                                </w:rPr>
                                <w:t xml:space="preserve">　　　　　　　</w:t>
                              </w:r>
                              <w:r w:rsidRPr="00E9021D">
                                <w:rPr>
                                  <w:rFonts w:ascii="Times" w:hAnsi="Times" w:cs="Times New Roman"/>
                                  <w:kern w:val="0"/>
                                </w:rPr>
                                <w:t xml:space="preserve"> </w:t>
                              </w:r>
                              <w:r w:rsidRPr="00E9021D">
                                <w:rPr>
                                  <w:rFonts w:ascii="Times" w:hAnsi="Times" w:cs="Times New Roman"/>
                                  <w:kern w:val="0"/>
                                </w:rPr>
                                <w:t xml:space="preserve">　</w:t>
                              </w:r>
                              <w:r w:rsidRPr="00E9021D">
                                <w:rPr>
                                  <w:rFonts w:ascii="Times" w:hAnsi="Times" w:cs="Times New Roman"/>
                                  <w:kern w:val="0"/>
                                </w:rPr>
                                <w:t>2014</w:t>
                              </w:r>
                              <w:r w:rsidRPr="00E9021D">
                                <w:rPr>
                                  <w:rFonts w:ascii="Times" w:hAnsi="Times" w:cs="Times New Roman"/>
                                  <w:kern w:val="0"/>
                                </w:rPr>
                                <w:t>年</w:t>
                              </w:r>
                              <w:r w:rsidRPr="00E9021D">
                                <w:rPr>
                                  <w:rFonts w:ascii="Times" w:hAnsi="Times" w:cs="Times New Roman"/>
                                  <w:kern w:val="0"/>
                                </w:rPr>
                                <w:t>12</w:t>
                              </w:r>
                              <w:r w:rsidRPr="00E9021D">
                                <w:rPr>
                                  <w:rFonts w:ascii="Times" w:hAnsi="Times" w:cs="Times New Roman"/>
                                  <w:kern w:val="0"/>
                                </w:rPr>
                                <w:t>月</w:t>
                              </w:r>
                              <w:r w:rsidRPr="00E9021D">
                                <w:rPr>
                                  <w:rFonts w:ascii="Times" w:hAnsi="Times" w:cs="Times New Roman"/>
                                  <w:kern w:val="0"/>
                                </w:rPr>
                                <w:t>25</w:t>
                              </w:r>
                              <w:r w:rsidRPr="00E9021D">
                                <w:rPr>
                                  <w:rFonts w:ascii="Times" w:hAnsi="Times" w:cs="Times New Roman"/>
                                  <w:kern w:val="0"/>
                                </w:rPr>
                                <w:t>日</w:t>
                              </w:r>
                            </w:p>
                          </w:tc>
                        </w:tr>
                      </w:tbl>
                      <w:p w:rsidR="00E9021D" w:rsidRPr="00E9021D" w:rsidRDefault="00E9021D" w:rsidP="00E9021D">
                        <w:pPr>
                          <w:widowControl/>
                          <w:jc w:val="center"/>
                          <w:rPr>
                            <w:rFonts w:ascii="Times" w:eastAsia="Times New Roman" w:hAnsi="Times" w:cs="Times New Roman"/>
                            <w:kern w:val="0"/>
                          </w:rPr>
                        </w:pPr>
                      </w:p>
                    </w:tc>
                  </w:tr>
                </w:tbl>
                <w:p w:rsidR="00E9021D" w:rsidRPr="00E9021D" w:rsidRDefault="00E9021D" w:rsidP="00E9021D">
                  <w:pPr>
                    <w:widowControl/>
                    <w:jc w:val="left"/>
                    <w:rPr>
                      <w:rFonts w:ascii="Times" w:eastAsia="Times New Roman" w:hAnsi="Times" w:cs="Times New Roman"/>
                      <w:kern w:val="0"/>
                    </w:rPr>
                  </w:pPr>
                </w:p>
              </w:tc>
            </w:tr>
          </w:tbl>
          <w:p w:rsidR="00E9021D" w:rsidRPr="00E9021D" w:rsidRDefault="00E9021D">
            <w:pPr>
              <w:jc w:val="left"/>
            </w:pPr>
          </w:p>
          <w:tbl>
            <w:tblPr>
              <w:tblW w:w="5000" w:type="pct"/>
              <w:tblCellSpacing w:w="0" w:type="dxa"/>
              <w:tblCellMar>
                <w:left w:w="0" w:type="dxa"/>
                <w:right w:w="0" w:type="dxa"/>
              </w:tblCellMar>
              <w:tblLook w:val="04A0" w:firstRow="1" w:lastRow="0" w:firstColumn="1" w:lastColumn="0" w:noHBand="0" w:noVBand="1"/>
            </w:tblPr>
            <w:tblGrid>
              <w:gridCol w:w="8640"/>
            </w:tblGrid>
            <w:tr w:rsidR="00E9021D" w:rsidRPr="00E9021D">
              <w:trPr>
                <w:trHeight w:val="740"/>
                <w:tblCellSpacing w:w="0" w:type="dxa"/>
              </w:trPr>
              <w:tc>
                <w:tcPr>
                  <w:tcW w:w="0" w:type="auto"/>
                  <w:vAlign w:val="center"/>
                  <w:hideMark/>
                </w:tcPr>
                <w:p w:rsidR="00E9021D" w:rsidRPr="00E9021D" w:rsidRDefault="00E9021D" w:rsidP="00E9021D">
                  <w:pPr>
                    <w:widowControl/>
                    <w:jc w:val="left"/>
                    <w:rPr>
                      <w:rFonts w:ascii="Times" w:eastAsia="Times New Roman" w:hAnsi="Times" w:cs="Times New Roman" w:hint="eastAsia"/>
                      <w:kern w:val="0"/>
                    </w:rPr>
                  </w:pPr>
                  <w:proofErr w:type="spellStart"/>
                  <w:r w:rsidRPr="00E9021D">
                    <w:rPr>
                      <w:rFonts w:ascii="Baoli SC Regular" w:eastAsia="Times New Roman" w:hAnsi="Baoli SC Regular" w:cs="Baoli SC Regular"/>
                      <w:kern w:val="0"/>
                    </w:rPr>
                    <w:t>财政部关于印发《石油特别收益金征收管理办法》的通知</w:t>
                  </w:r>
                  <w:proofErr w:type="spellEnd"/>
                  <w:r w:rsidRPr="00E9021D">
                    <w:rPr>
                      <w:rFonts w:ascii="Times" w:eastAsia="Times New Roman" w:hAnsi="Times" w:cs="Times New Roman"/>
                      <w:kern w:val="0"/>
                    </w:rPr>
                    <w:t xml:space="preserve"> </w:t>
                  </w:r>
                </w:p>
                <w:p w:rsidR="00E9021D" w:rsidRPr="00E9021D" w:rsidRDefault="00E9021D" w:rsidP="00E9021D">
                  <w:pPr>
                    <w:widowControl/>
                    <w:jc w:val="left"/>
                    <w:rPr>
                      <w:rFonts w:ascii="Times" w:eastAsia="Times New Roman" w:hAnsi="Times" w:cs="Times New Roman" w:hint="eastAsia"/>
                      <w:kern w:val="0"/>
                    </w:rPr>
                  </w:pPr>
                  <w:hyperlink r:id="rId6" w:history="1">
                    <w:r w:rsidRPr="00E9021D">
                      <w:rPr>
                        <w:rStyle w:val="a7"/>
                        <w:rFonts w:ascii="Times" w:eastAsia="Times New Roman" w:hAnsi="Times" w:cs="Times New Roman"/>
                        <w:kern w:val="0"/>
                      </w:rPr>
                      <w:t>http://www.mof.gov.cn/zhengwuxinxi/caizhengwengao/caizhengbuwengao2006/caizhengbuwengao20063/200805/t20080519_23772.html</w:t>
                    </w:r>
                  </w:hyperlink>
                  <w:r w:rsidRPr="00E9021D">
                    <w:rPr>
                      <w:rFonts w:ascii="Times" w:eastAsia="Times New Roman" w:hAnsi="Times" w:cs="Times New Roman" w:hint="eastAsia"/>
                      <w:kern w:val="0"/>
                    </w:rPr>
                    <w:t xml:space="preserve"> </w:t>
                  </w:r>
                </w:p>
              </w:tc>
            </w:tr>
          </w:tbl>
          <w:p w:rsidR="00E9021D" w:rsidRPr="00E9021D" w:rsidRDefault="00E9021D" w:rsidP="00E9021D">
            <w:pPr>
              <w:widowControl/>
              <w:jc w:val="left"/>
              <w:rPr>
                <w:rFonts w:ascii="Times" w:eastAsia="Times New Roman" w:hAnsi="Times" w:cs="Times New Roman"/>
                <w:vanish/>
                <w:kern w:val="0"/>
              </w:rPr>
            </w:pPr>
          </w:p>
          <w:p w:rsidR="00E9021D" w:rsidRPr="00E9021D" w:rsidRDefault="00E9021D" w:rsidP="00E9021D">
            <w:pPr>
              <w:widowControl/>
              <w:jc w:val="left"/>
              <w:rPr>
                <w:rFonts w:ascii="Times" w:eastAsia="Times New Roman" w:hAnsi="Times" w:cs="Times New Roman"/>
                <w:vanish/>
                <w:kern w:val="0"/>
              </w:rPr>
            </w:pPr>
          </w:p>
          <w:tbl>
            <w:tblPr>
              <w:tblW w:w="5000" w:type="pct"/>
              <w:tblCellSpacing w:w="0" w:type="dxa"/>
              <w:tblCellMar>
                <w:left w:w="0" w:type="dxa"/>
                <w:right w:w="0" w:type="dxa"/>
              </w:tblCellMar>
              <w:tblLook w:val="04A0" w:firstRow="1" w:lastRow="0" w:firstColumn="1" w:lastColumn="0" w:noHBand="0" w:noVBand="1"/>
            </w:tblPr>
            <w:tblGrid>
              <w:gridCol w:w="8640"/>
            </w:tblGrid>
            <w:tr w:rsidR="00E9021D" w:rsidRPr="00E9021D">
              <w:trPr>
                <w:tblCellSpacing w:w="0" w:type="dxa"/>
              </w:trPr>
              <w:tc>
                <w:tcPr>
                  <w:tcW w:w="0" w:type="auto"/>
                  <w:vAlign w:val="center"/>
                  <w:hideMark/>
                </w:tcPr>
                <w:p w:rsidR="00E9021D" w:rsidRPr="00E9021D" w:rsidRDefault="00E9021D" w:rsidP="00E9021D">
                  <w:pPr>
                    <w:widowControl/>
                    <w:jc w:val="left"/>
                    <w:rPr>
                      <w:rFonts w:ascii="Times" w:eastAsia="Times New Roman" w:hAnsi="Times" w:cs="Times New Roman"/>
                      <w:kern w:val="0"/>
                    </w:rPr>
                  </w:pPr>
                </w:p>
              </w:tc>
            </w:tr>
          </w:tbl>
          <w:p w:rsidR="00E9021D" w:rsidRPr="00E9021D" w:rsidRDefault="00E9021D" w:rsidP="00E9021D">
            <w:pPr>
              <w:widowControl/>
              <w:jc w:val="left"/>
              <w:rPr>
                <w:rFonts w:ascii="Times" w:eastAsia="Times New Roman" w:hAnsi="Times" w:cs="Times New Roman"/>
                <w:kern w:val="0"/>
              </w:rPr>
            </w:pPr>
          </w:p>
        </w:tc>
      </w:tr>
      <w:tr w:rsidR="00E9021D" w:rsidRPr="00E9021D" w:rsidTr="00E9021D">
        <w:trPr>
          <w:tblCellSpacing w:w="0" w:type="dxa"/>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E9021D" w:rsidRPr="00E9021D">
              <w:trPr>
                <w:trHeight w:val="1520"/>
                <w:tblCellSpacing w:w="0" w:type="dxa"/>
              </w:trPr>
              <w:tc>
                <w:tcPr>
                  <w:tcW w:w="0" w:type="auto"/>
                  <w:shd w:val="clear" w:color="auto" w:fill="FFFFFF"/>
                  <w:hideMark/>
                </w:tcPr>
                <w:tbl>
                  <w:tblPr>
                    <w:tblW w:w="0" w:type="auto"/>
                    <w:jc w:val="center"/>
                    <w:tblCellSpacing w:w="0" w:type="dxa"/>
                    <w:tblCellMar>
                      <w:left w:w="0" w:type="dxa"/>
                      <w:right w:w="0" w:type="dxa"/>
                    </w:tblCellMar>
                    <w:tblLook w:val="04A0" w:firstRow="1" w:lastRow="0" w:firstColumn="1" w:lastColumn="0" w:noHBand="0" w:noVBand="1"/>
                  </w:tblPr>
                  <w:tblGrid>
                    <w:gridCol w:w="8640"/>
                  </w:tblGrid>
                  <w:tr w:rsidR="00E9021D" w:rsidRPr="00E9021D" w:rsidTr="00E9021D">
                    <w:trPr>
                      <w:tblCellSpacing w:w="0" w:type="dxa"/>
                      <w:jc w:val="center"/>
                    </w:trPr>
                    <w:tc>
                      <w:tcPr>
                        <w:tcW w:w="0" w:type="auto"/>
                        <w:vAlign w:val="center"/>
                        <w:hideMark/>
                      </w:tcPr>
                      <w:p w:rsidR="00E9021D" w:rsidRPr="00E9021D" w:rsidRDefault="00E9021D" w:rsidP="00E9021D">
                        <w:pPr>
                          <w:widowControl/>
                          <w:spacing w:before="100" w:beforeAutospacing="1" w:after="100" w:afterAutospacing="1"/>
                          <w:jc w:val="center"/>
                          <w:rPr>
                            <w:rFonts w:ascii="Times" w:hAnsi="Times" w:cs="Times New Roman"/>
                            <w:kern w:val="0"/>
                          </w:rPr>
                        </w:pPr>
                        <w:r w:rsidRPr="00E9021D">
                          <w:rPr>
                            <w:rFonts w:ascii="Times" w:hAnsi="Times" w:cs="Times New Roman"/>
                            <w:kern w:val="0"/>
                          </w:rPr>
                          <w:lastRenderedPageBreak/>
                          <w:t>2006</w:t>
                        </w:r>
                        <w:r w:rsidRPr="00E9021D">
                          <w:rPr>
                            <w:rFonts w:ascii="Times" w:hAnsi="Times" w:cs="Times New Roman"/>
                            <w:kern w:val="0"/>
                          </w:rPr>
                          <w:t>年</w:t>
                        </w:r>
                        <w:r w:rsidRPr="00E9021D">
                          <w:rPr>
                            <w:rFonts w:ascii="Times" w:hAnsi="Times" w:cs="Times New Roman"/>
                            <w:kern w:val="0"/>
                          </w:rPr>
                          <w:t>3</w:t>
                        </w:r>
                        <w:r w:rsidRPr="00E9021D">
                          <w:rPr>
                            <w:rFonts w:ascii="Times" w:hAnsi="Times" w:cs="Times New Roman"/>
                            <w:kern w:val="0"/>
                          </w:rPr>
                          <w:t>月</w:t>
                        </w:r>
                        <w:r w:rsidRPr="00E9021D">
                          <w:rPr>
                            <w:rFonts w:ascii="Times" w:hAnsi="Times" w:cs="Times New Roman"/>
                            <w:kern w:val="0"/>
                          </w:rPr>
                          <w:t>25</w:t>
                        </w:r>
                        <w:r w:rsidRPr="00E9021D">
                          <w:rPr>
                            <w:rFonts w:ascii="Times" w:hAnsi="Times" w:cs="Times New Roman"/>
                            <w:kern w:val="0"/>
                          </w:rPr>
                          <w:t>日　　财企</w:t>
                        </w:r>
                        <w:r w:rsidRPr="00E9021D">
                          <w:rPr>
                            <w:rFonts w:ascii="Times" w:hAnsi="Times" w:cs="Times New Roman"/>
                            <w:kern w:val="0"/>
                          </w:rPr>
                          <w:t>[2006]72</w:t>
                        </w:r>
                        <w:r w:rsidRPr="00E9021D">
                          <w:rPr>
                            <w:rFonts w:ascii="Times" w:hAnsi="Times" w:cs="Times New Roman"/>
                            <w:kern w:val="0"/>
                          </w:rPr>
                          <w:t>号</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各省、自治区、直辖市、计划单列市财政厅</w:t>
                        </w:r>
                        <w:r w:rsidRPr="00E9021D">
                          <w:rPr>
                            <w:rFonts w:ascii="Times" w:hAnsi="Times" w:cs="Times New Roman"/>
                            <w:kern w:val="0"/>
                          </w:rPr>
                          <w:t>(</w:t>
                        </w:r>
                        <w:r w:rsidRPr="00E9021D">
                          <w:rPr>
                            <w:rFonts w:ascii="Times" w:hAnsi="Times" w:cs="Times New Roman"/>
                            <w:kern w:val="0"/>
                          </w:rPr>
                          <w:t>局</w:t>
                        </w:r>
                        <w:r w:rsidRPr="00E9021D">
                          <w:rPr>
                            <w:rFonts w:ascii="Times" w:hAnsi="Times" w:cs="Times New Roman"/>
                            <w:kern w:val="0"/>
                          </w:rPr>
                          <w:t>)</w:t>
                        </w:r>
                        <w:r w:rsidRPr="00E9021D">
                          <w:rPr>
                            <w:rFonts w:ascii="Times" w:hAnsi="Times" w:cs="Times New Roman"/>
                            <w:kern w:val="0"/>
                          </w:rPr>
                          <w:t>，国务院有关部委、有关直属机构，中国石油天然气集团公司、中国石油化工集团公司、中国海洋石油总公司：</w:t>
                        </w:r>
                        <w:r w:rsidRPr="00E9021D">
                          <w:rPr>
                            <w:rFonts w:ascii="Times" w:hAnsi="Times" w:cs="Times New Roman"/>
                            <w:kern w:val="0"/>
                          </w:rPr>
                          <w:br/>
                        </w:r>
                        <w:r w:rsidRPr="00E9021D">
                          <w:rPr>
                            <w:rFonts w:ascii="Times" w:hAnsi="Times" w:cs="Times New Roman"/>
                            <w:kern w:val="0"/>
                          </w:rPr>
                          <w:t xml:space="preserve">　　根据《国务院关于开征石油特别收益金的决定》</w:t>
                        </w:r>
                        <w:r w:rsidRPr="00E9021D">
                          <w:rPr>
                            <w:rFonts w:ascii="Times" w:hAnsi="Times" w:cs="Times New Roman"/>
                            <w:kern w:val="0"/>
                          </w:rPr>
                          <w:t>(</w:t>
                        </w:r>
                        <w:r w:rsidRPr="00E9021D">
                          <w:rPr>
                            <w:rFonts w:ascii="Times" w:hAnsi="Times" w:cs="Times New Roman"/>
                            <w:kern w:val="0"/>
                          </w:rPr>
                          <w:t>国发</w:t>
                        </w:r>
                        <w:r w:rsidRPr="00E9021D">
                          <w:rPr>
                            <w:rFonts w:ascii="Times" w:hAnsi="Times" w:cs="Times New Roman"/>
                            <w:kern w:val="0"/>
                          </w:rPr>
                          <w:t>[2006]13</w:t>
                        </w:r>
                        <w:r w:rsidRPr="00E9021D">
                          <w:rPr>
                            <w:rFonts w:ascii="Times" w:hAnsi="Times" w:cs="Times New Roman"/>
                            <w:kern w:val="0"/>
                          </w:rPr>
                          <w:t>号</w:t>
                        </w:r>
                        <w:r w:rsidRPr="00E9021D">
                          <w:rPr>
                            <w:rFonts w:ascii="Times" w:hAnsi="Times" w:cs="Times New Roman"/>
                            <w:kern w:val="0"/>
                          </w:rPr>
                          <w:t>)</w:t>
                        </w:r>
                        <w:r w:rsidRPr="00E9021D">
                          <w:rPr>
                            <w:rFonts w:ascii="Times" w:hAnsi="Times" w:cs="Times New Roman"/>
                            <w:kern w:val="0"/>
                          </w:rPr>
                          <w:t>，现将我们制定的《石油特别收益金征收管理办法》印发给你们，请遵照执行。</w:t>
                        </w:r>
                        <w:r w:rsidRPr="00E9021D">
                          <w:rPr>
                            <w:rFonts w:ascii="Times" w:hAnsi="Times" w:cs="Times New Roman"/>
                            <w:kern w:val="0"/>
                          </w:rPr>
                          <w:br/>
                        </w:r>
                        <w:r w:rsidRPr="00E9021D">
                          <w:rPr>
                            <w:rFonts w:ascii="Times" w:hAnsi="Times" w:cs="Times New Roman"/>
                            <w:kern w:val="0"/>
                          </w:rPr>
                          <w:t xml:space="preserve">　　附件：石油特别收益金征收管理办法</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 xml:space="preserve">　　抄送：国务院办公厅，财政部驻各省、自治区、直辖市财政监察专员办事处，陕西延长石油</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kern w:val="0"/>
                          </w:rPr>
                          <w:t>(</w:t>
                        </w:r>
                        <w:r w:rsidRPr="00E9021D">
                          <w:rPr>
                            <w:rFonts w:ascii="Times" w:hAnsi="Times" w:cs="Times New Roman"/>
                            <w:kern w:val="0"/>
                          </w:rPr>
                          <w:t>集团</w:t>
                        </w:r>
                        <w:r w:rsidRPr="00E9021D">
                          <w:rPr>
                            <w:rFonts w:ascii="Times" w:hAnsi="Times" w:cs="Times New Roman"/>
                            <w:kern w:val="0"/>
                          </w:rPr>
                          <w:t>)</w:t>
                        </w:r>
                        <w:r w:rsidRPr="00E9021D">
                          <w:rPr>
                            <w:rFonts w:ascii="Times" w:hAnsi="Times" w:cs="Times New Roman"/>
                            <w:kern w:val="0"/>
                          </w:rPr>
                          <w:t>有限责任公司。</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附件：</w:t>
                        </w:r>
                      </w:p>
                      <w:p w:rsidR="00E9021D" w:rsidRPr="00E9021D" w:rsidRDefault="00E9021D" w:rsidP="00E9021D">
                        <w:pPr>
                          <w:widowControl/>
                          <w:spacing w:before="100" w:beforeAutospacing="1" w:after="100" w:afterAutospacing="1"/>
                          <w:jc w:val="center"/>
                          <w:rPr>
                            <w:rFonts w:ascii="Times" w:hAnsi="Times" w:cs="Times New Roman"/>
                            <w:kern w:val="0"/>
                          </w:rPr>
                        </w:pPr>
                        <w:r w:rsidRPr="00E9021D">
                          <w:rPr>
                            <w:rFonts w:ascii="Times" w:hAnsi="Times" w:cs="Times New Roman"/>
                            <w:b/>
                            <w:bCs/>
                            <w:kern w:val="0"/>
                          </w:rPr>
                          <w:t>石油特别收益金征收管理办法</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kern w:val="0"/>
                          </w:rPr>
                          <w:t xml:space="preserve">　　</w:t>
                        </w:r>
                        <w:r w:rsidRPr="00E9021D">
                          <w:rPr>
                            <w:rFonts w:ascii="Times" w:hAnsi="Times" w:cs="Times New Roman"/>
                            <w:b/>
                            <w:bCs/>
                            <w:kern w:val="0"/>
                          </w:rPr>
                          <w:t>第一条</w:t>
                        </w:r>
                        <w:r w:rsidRPr="00E9021D">
                          <w:rPr>
                            <w:rFonts w:ascii="Times" w:hAnsi="Times" w:cs="Times New Roman"/>
                            <w:kern w:val="0"/>
                          </w:rPr>
                          <w:t xml:space="preserve">　为推动石油价格机制改革，促进国民经济持续健康协调发展，规范石油特别收益金征收管理，制定本办法。</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第二条</w:t>
                        </w:r>
                        <w:r w:rsidRPr="00E9021D">
                          <w:rPr>
                            <w:rFonts w:ascii="Times" w:hAnsi="Times" w:cs="Times New Roman"/>
                            <w:kern w:val="0"/>
                          </w:rPr>
                          <w:t xml:space="preserve">　本办法所称石油特别收益金，是指国家对石油开采企业销售国产原油因价格超过一定水平所获得的超额收入按比例征收的收益金。</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第三条</w:t>
                        </w:r>
                        <w:r w:rsidRPr="00E9021D">
                          <w:rPr>
                            <w:rFonts w:ascii="Times" w:hAnsi="Times" w:cs="Times New Roman"/>
                            <w:kern w:val="0"/>
                          </w:rPr>
                          <w:t xml:space="preserve">　凡在中华人民共和国陆地领域和所辖海域独立开采并销售原油的企业，以及在上述领域以合资、合作等方式开采并销售原油的其他企业</w:t>
                        </w:r>
                        <w:r w:rsidRPr="00E9021D">
                          <w:rPr>
                            <w:rFonts w:ascii="Times" w:hAnsi="Times" w:cs="Times New Roman"/>
                            <w:kern w:val="0"/>
                          </w:rPr>
                          <w:t>(</w:t>
                        </w:r>
                        <w:r w:rsidRPr="00E9021D">
                          <w:rPr>
                            <w:rFonts w:ascii="Times" w:hAnsi="Times" w:cs="Times New Roman"/>
                            <w:kern w:val="0"/>
                          </w:rPr>
                          <w:t>以下简称合资合作企业</w:t>
                        </w:r>
                        <w:r w:rsidRPr="00E9021D">
                          <w:rPr>
                            <w:rFonts w:ascii="Times" w:hAnsi="Times" w:cs="Times New Roman"/>
                            <w:kern w:val="0"/>
                          </w:rPr>
                          <w:t>)</w:t>
                        </w:r>
                        <w:r w:rsidRPr="00E9021D">
                          <w:rPr>
                            <w:rFonts w:ascii="Times" w:hAnsi="Times" w:cs="Times New Roman"/>
                            <w:kern w:val="0"/>
                          </w:rPr>
                          <w:t>，均应当按照本办法的规定缴纳石油特别收益金。</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第四条</w:t>
                        </w:r>
                        <w:r w:rsidRPr="00E9021D">
                          <w:rPr>
                            <w:rFonts w:ascii="Times" w:hAnsi="Times" w:cs="Times New Roman"/>
                            <w:kern w:val="0"/>
                          </w:rPr>
                          <w:t xml:space="preserve">　石油特别收益金属中央财政非税收入，纳入中央财政预算管理。</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第五条</w:t>
                        </w:r>
                        <w:r w:rsidRPr="00E9021D">
                          <w:rPr>
                            <w:rFonts w:ascii="Times" w:hAnsi="Times" w:cs="Times New Roman"/>
                            <w:kern w:val="0"/>
                          </w:rPr>
                          <w:t xml:space="preserve">　财政部负责石油特别收益金的征收管理工作。中央石油开采企业向财政部申报缴纳石油特别收益金；地方石油开采企业向财政部驻所在地财政监察专员办事处申报缴纳；合资合作企业应当缴纳的石油特别收益金由合资合作的中方企业代扣代缴。</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第六条</w:t>
                        </w:r>
                        <w:r w:rsidRPr="00E9021D">
                          <w:rPr>
                            <w:rFonts w:ascii="Times" w:hAnsi="Times" w:cs="Times New Roman"/>
                            <w:kern w:val="0"/>
                          </w:rPr>
                          <w:t xml:space="preserve">　石油特别收益金实行</w:t>
                        </w:r>
                        <w:r w:rsidRPr="00E9021D">
                          <w:rPr>
                            <w:rFonts w:ascii="Times" w:hAnsi="Times" w:cs="Times New Roman"/>
                            <w:kern w:val="0"/>
                          </w:rPr>
                          <w:t>5</w:t>
                        </w:r>
                        <w:r w:rsidRPr="00E9021D">
                          <w:rPr>
                            <w:rFonts w:ascii="Times" w:hAnsi="Times" w:cs="Times New Roman"/>
                            <w:kern w:val="0"/>
                          </w:rPr>
                          <w:t>级超额累进从价定率计征，按月计算、按季缴纳。</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第七条</w:t>
                        </w:r>
                        <w:r w:rsidRPr="00E9021D">
                          <w:rPr>
                            <w:rFonts w:ascii="Times" w:hAnsi="Times" w:cs="Times New Roman"/>
                            <w:kern w:val="0"/>
                          </w:rPr>
                          <w:t xml:space="preserve">　石油特别收益金征收比率按石油开采企业销售原油的月加权平均价格确定。为便于参照国际市场油价水平，原油价格按美元</w:t>
                        </w:r>
                        <w:r w:rsidRPr="00E9021D">
                          <w:rPr>
                            <w:rFonts w:ascii="Times" w:hAnsi="Times" w:cs="Times New Roman"/>
                            <w:kern w:val="0"/>
                          </w:rPr>
                          <w:t>/</w:t>
                        </w:r>
                        <w:r w:rsidRPr="00E9021D">
                          <w:rPr>
                            <w:rFonts w:ascii="Times" w:hAnsi="Times" w:cs="Times New Roman"/>
                            <w:kern w:val="0"/>
                          </w:rPr>
                          <w:t>桶计价，起征点为</w:t>
                        </w:r>
                        <w:r w:rsidRPr="00E9021D">
                          <w:rPr>
                            <w:rFonts w:ascii="Times" w:hAnsi="Times" w:cs="Times New Roman"/>
                            <w:kern w:val="0"/>
                          </w:rPr>
                          <w:t>40</w:t>
                        </w:r>
                        <w:r w:rsidRPr="00E9021D">
                          <w:rPr>
                            <w:rFonts w:ascii="Times" w:hAnsi="Times" w:cs="Times New Roman"/>
                            <w:kern w:val="0"/>
                          </w:rPr>
                          <w:t>美元</w:t>
                        </w:r>
                        <w:r w:rsidRPr="00E9021D">
                          <w:rPr>
                            <w:rFonts w:ascii="Times" w:hAnsi="Times" w:cs="Times New Roman"/>
                            <w:kern w:val="0"/>
                          </w:rPr>
                          <w:t>/</w:t>
                        </w:r>
                        <w:r w:rsidRPr="00E9021D">
                          <w:rPr>
                            <w:rFonts w:ascii="Times" w:hAnsi="Times" w:cs="Times New Roman"/>
                            <w:kern w:val="0"/>
                          </w:rPr>
                          <w:t>桶。</w:t>
                        </w:r>
                        <w:r w:rsidRPr="00E9021D">
                          <w:rPr>
                            <w:rFonts w:ascii="Times" w:hAnsi="Times" w:cs="Times New Roman"/>
                            <w:kern w:val="0"/>
                          </w:rPr>
                          <w:br/>
                        </w:r>
                        <w:r w:rsidRPr="00E9021D">
                          <w:rPr>
                            <w:rFonts w:ascii="Times" w:hAnsi="Times" w:cs="Times New Roman"/>
                            <w:kern w:val="0"/>
                          </w:rPr>
                          <w:t xml:space="preserve">　　具体征收比率及速算扣除数见下表</w:t>
                        </w:r>
                        <w:r w:rsidRPr="00E9021D">
                          <w:rPr>
                            <w:rFonts w:ascii="Times" w:hAnsi="Times" w:cs="Times New Roman"/>
                            <w:kern w:val="0"/>
                          </w:rPr>
                          <w:t>(</w:t>
                        </w:r>
                        <w:r w:rsidRPr="00E9021D">
                          <w:rPr>
                            <w:rFonts w:ascii="Times" w:hAnsi="Times" w:cs="Times New Roman"/>
                            <w:kern w:val="0"/>
                          </w:rPr>
                          <w:t>计算公式见附表</w:t>
                        </w:r>
                        <w:r w:rsidRPr="00E9021D">
                          <w:rPr>
                            <w:rFonts w:ascii="Times" w:hAnsi="Times" w:cs="Times New Roman"/>
                            <w:kern w:val="0"/>
                          </w:rPr>
                          <w:t>)</w:t>
                        </w:r>
                        <w:r w:rsidRPr="00E9021D">
                          <w:rPr>
                            <w:rFonts w:ascii="Times" w:hAnsi="Times" w:cs="Times New Roman"/>
                            <w:kern w:val="0"/>
                          </w:rPr>
                          <w:t>：</w:t>
                        </w:r>
                        <w:r w:rsidRPr="00E9021D">
                          <w:rPr>
                            <w:rFonts w:ascii="Times" w:hAnsi="Times" w:cs="Times New Roman"/>
                            <w:kern w:val="0"/>
                          </w:rPr>
                          <w:br/>
                        </w:r>
                        <w:r w:rsidRPr="00E9021D">
                          <w:rPr>
                            <w:rFonts w:ascii="Times" w:hAnsi="Times" w:cs="Times New Roman"/>
                            <w:noProof/>
                            <w:kern w:val="0"/>
                          </w:rPr>
                          <w:drawing>
                            <wp:inline distT="0" distB="0" distL="0" distR="0" wp14:anchorId="78B66C67" wp14:editId="0969B404">
                              <wp:extent cx="8889365" cy="4039870"/>
                              <wp:effectExtent l="0" t="0" r="635" b="0"/>
                              <wp:docPr id="2" name="图片 2" descr="http://www.mof.gov.cn/zhengwuxinxi/caizhengwengao/caizhengbuwengao2006/caizhengbuwengao20063/200805/W02008051953310203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f.gov.cn/zhengwuxinxi/caizhengwengao/caizhengbuwengao2006/caizhengbuwengao20063/200805/W0200805195331020363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89365" cy="4039870"/>
                                      </a:xfrm>
                                      <a:prstGeom prst="rect">
                                        <a:avLst/>
                                      </a:prstGeom>
                                      <a:noFill/>
                                      <a:ln>
                                        <a:noFill/>
                                      </a:ln>
                                    </pic:spPr>
                                  </pic:pic>
                                </a:graphicData>
                              </a:graphic>
                            </wp:inline>
                          </w:drawing>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第八条</w:t>
                        </w:r>
                        <w:r w:rsidRPr="00E9021D">
                          <w:rPr>
                            <w:rFonts w:ascii="Times" w:hAnsi="Times" w:cs="Times New Roman"/>
                            <w:kern w:val="0"/>
                          </w:rPr>
                          <w:t xml:space="preserve">　计算石油特别收益金时，原油吨桶比按石油开采企业实际执行或挂靠油种的吨桶比计算；美元兑换人民币汇率以中国人民银行当月每日公布的中间价按月平均计算。</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第九条</w:t>
                        </w:r>
                        <w:r w:rsidRPr="00E9021D">
                          <w:rPr>
                            <w:rFonts w:ascii="Times" w:hAnsi="Times" w:cs="Times New Roman"/>
                            <w:kern w:val="0"/>
                          </w:rPr>
                          <w:t xml:space="preserve">　石油开采企业集团公司下属多家石油开采企业的，石油特别收益金以石油开采企业集团公司为单位汇总缴纳。</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第十条</w:t>
                        </w:r>
                        <w:r w:rsidRPr="00E9021D">
                          <w:rPr>
                            <w:rFonts w:ascii="Times" w:hAnsi="Times" w:cs="Times New Roman"/>
                            <w:kern w:val="0"/>
                          </w:rPr>
                          <w:t xml:space="preserve">　缴纳石油特别收益金的石油开采企业，应当如实填写石油特别收益金申报表</w:t>
                        </w:r>
                        <w:r w:rsidRPr="00E9021D">
                          <w:rPr>
                            <w:rFonts w:ascii="Times" w:hAnsi="Times" w:cs="Times New Roman"/>
                            <w:kern w:val="0"/>
                          </w:rPr>
                          <w:t>(</w:t>
                        </w:r>
                        <w:r w:rsidRPr="00E9021D">
                          <w:rPr>
                            <w:rFonts w:ascii="Times" w:hAnsi="Times" w:cs="Times New Roman"/>
                            <w:kern w:val="0"/>
                          </w:rPr>
                          <w:t>见附表</w:t>
                        </w:r>
                        <w:r w:rsidRPr="00E9021D">
                          <w:rPr>
                            <w:rFonts w:ascii="Times" w:hAnsi="Times" w:cs="Times New Roman"/>
                            <w:kern w:val="0"/>
                          </w:rPr>
                          <w:t>)</w:t>
                        </w:r>
                        <w:r w:rsidRPr="00E9021D">
                          <w:rPr>
                            <w:rFonts w:ascii="Times" w:hAnsi="Times" w:cs="Times New Roman"/>
                            <w:kern w:val="0"/>
                          </w:rPr>
                          <w:t>，各集团公司汇总后，在每季度结束后的</w:t>
                        </w:r>
                        <w:r w:rsidRPr="00E9021D">
                          <w:rPr>
                            <w:rFonts w:ascii="Times" w:hAnsi="Times" w:cs="Times New Roman"/>
                            <w:kern w:val="0"/>
                          </w:rPr>
                          <w:t>10</w:t>
                        </w:r>
                        <w:r w:rsidRPr="00E9021D">
                          <w:rPr>
                            <w:rFonts w:ascii="Times" w:hAnsi="Times" w:cs="Times New Roman"/>
                            <w:kern w:val="0"/>
                          </w:rPr>
                          <w:t>个工作日内，向财政机关申报缴纳。</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第十一条</w:t>
                        </w:r>
                        <w:r w:rsidRPr="00E9021D">
                          <w:rPr>
                            <w:rFonts w:ascii="Times" w:hAnsi="Times" w:cs="Times New Roman"/>
                            <w:kern w:val="0"/>
                          </w:rPr>
                          <w:t xml:space="preserve">　财政机关对石油开采企业集团公司上报的特别收益金申报表进行认真审核，并以书面形式确认石油开采企业应缴石油特别收益金金额。石油开采企业应在接到书面确认通知的</w:t>
                        </w:r>
                        <w:r w:rsidRPr="00E9021D">
                          <w:rPr>
                            <w:rFonts w:ascii="Times" w:hAnsi="Times" w:cs="Times New Roman"/>
                            <w:kern w:val="0"/>
                          </w:rPr>
                          <w:t>5</w:t>
                        </w:r>
                        <w:r w:rsidRPr="00E9021D">
                          <w:rPr>
                            <w:rFonts w:ascii="Times" w:hAnsi="Times" w:cs="Times New Roman"/>
                            <w:kern w:val="0"/>
                          </w:rPr>
                          <w:t>个工作日内缴入中央金库。</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第十二条</w:t>
                        </w:r>
                        <w:r w:rsidRPr="00E9021D">
                          <w:rPr>
                            <w:rFonts w:ascii="Times" w:hAnsi="Times" w:cs="Times New Roman"/>
                            <w:kern w:val="0"/>
                          </w:rPr>
                          <w:t xml:space="preserve">　石油特别收益金缴库一律使用财政部统一监制的</w:t>
                        </w:r>
                        <w:r w:rsidRPr="00E9021D">
                          <w:rPr>
                            <w:rFonts w:ascii="Times" w:hAnsi="Times" w:cs="Times New Roman"/>
                            <w:kern w:val="0"/>
                          </w:rPr>
                          <w:t>“</w:t>
                        </w:r>
                        <w:r w:rsidRPr="00E9021D">
                          <w:rPr>
                            <w:rFonts w:ascii="Times" w:hAnsi="Times" w:cs="Times New Roman"/>
                            <w:kern w:val="0"/>
                          </w:rPr>
                          <w:t>一般缴款书</w:t>
                        </w:r>
                        <w:r w:rsidRPr="00E9021D">
                          <w:rPr>
                            <w:rFonts w:ascii="Times" w:hAnsi="Times" w:cs="Times New Roman"/>
                            <w:kern w:val="0"/>
                          </w:rPr>
                          <w:t>”</w:t>
                        </w:r>
                        <w:r w:rsidRPr="00E9021D">
                          <w:rPr>
                            <w:rFonts w:ascii="Times" w:hAnsi="Times" w:cs="Times New Roman"/>
                            <w:kern w:val="0"/>
                          </w:rPr>
                          <w:t>。缴款书所列各项内容必须填列完整、正确。</w:t>
                        </w:r>
                        <w:r w:rsidRPr="00E9021D">
                          <w:rPr>
                            <w:rFonts w:ascii="Times" w:hAnsi="Times" w:cs="Times New Roman"/>
                            <w:kern w:val="0"/>
                          </w:rPr>
                          <w:t>“</w:t>
                        </w:r>
                        <w:r w:rsidRPr="00E9021D">
                          <w:rPr>
                            <w:rFonts w:ascii="Times" w:hAnsi="Times" w:cs="Times New Roman"/>
                            <w:kern w:val="0"/>
                          </w:rPr>
                          <w:t>财政机关</w:t>
                        </w:r>
                        <w:r w:rsidRPr="00E9021D">
                          <w:rPr>
                            <w:rFonts w:ascii="Times" w:hAnsi="Times" w:cs="Times New Roman"/>
                            <w:kern w:val="0"/>
                          </w:rPr>
                          <w:t>”</w:t>
                        </w:r>
                        <w:r w:rsidRPr="00E9021D">
                          <w:rPr>
                            <w:rFonts w:ascii="Times" w:hAnsi="Times" w:cs="Times New Roman"/>
                            <w:kern w:val="0"/>
                          </w:rPr>
                          <w:t>栏填写</w:t>
                        </w:r>
                        <w:r w:rsidRPr="00E9021D">
                          <w:rPr>
                            <w:rFonts w:ascii="Times" w:hAnsi="Times" w:cs="Times New Roman"/>
                            <w:kern w:val="0"/>
                          </w:rPr>
                          <w:t>“</w:t>
                        </w:r>
                        <w:r w:rsidRPr="00E9021D">
                          <w:rPr>
                            <w:rFonts w:ascii="Times" w:hAnsi="Times" w:cs="Times New Roman"/>
                            <w:kern w:val="0"/>
                          </w:rPr>
                          <w:t>财政部</w:t>
                        </w:r>
                        <w:r w:rsidRPr="00E9021D">
                          <w:rPr>
                            <w:rFonts w:ascii="Times" w:hAnsi="Times" w:cs="Times New Roman"/>
                            <w:kern w:val="0"/>
                          </w:rPr>
                          <w:t>”</w:t>
                        </w:r>
                        <w:r w:rsidRPr="00E9021D">
                          <w:rPr>
                            <w:rFonts w:ascii="Times" w:hAnsi="Times" w:cs="Times New Roman"/>
                            <w:kern w:val="0"/>
                          </w:rPr>
                          <w:t>，</w:t>
                        </w:r>
                        <w:r w:rsidRPr="00E9021D">
                          <w:rPr>
                            <w:rFonts w:ascii="Times" w:hAnsi="Times" w:cs="Times New Roman"/>
                            <w:kern w:val="0"/>
                          </w:rPr>
                          <w:t>“</w:t>
                        </w:r>
                        <w:r w:rsidRPr="00E9021D">
                          <w:rPr>
                            <w:rFonts w:ascii="Times" w:hAnsi="Times" w:cs="Times New Roman"/>
                            <w:kern w:val="0"/>
                          </w:rPr>
                          <w:t>预算级次</w:t>
                        </w:r>
                        <w:r w:rsidRPr="00E9021D">
                          <w:rPr>
                            <w:rFonts w:ascii="Times" w:hAnsi="Times" w:cs="Times New Roman"/>
                            <w:kern w:val="0"/>
                          </w:rPr>
                          <w:t>”</w:t>
                        </w:r>
                        <w:r w:rsidRPr="00E9021D">
                          <w:rPr>
                            <w:rFonts w:ascii="Times" w:hAnsi="Times" w:cs="Times New Roman"/>
                            <w:kern w:val="0"/>
                          </w:rPr>
                          <w:t>栏填写</w:t>
                        </w:r>
                        <w:r w:rsidRPr="00E9021D">
                          <w:rPr>
                            <w:rFonts w:ascii="Times" w:hAnsi="Times" w:cs="Times New Roman"/>
                            <w:kern w:val="0"/>
                          </w:rPr>
                          <w:t>“</w:t>
                        </w:r>
                        <w:r w:rsidRPr="00E9021D">
                          <w:rPr>
                            <w:rFonts w:ascii="Times" w:hAnsi="Times" w:cs="Times New Roman"/>
                            <w:kern w:val="0"/>
                          </w:rPr>
                          <w:t>中央级</w:t>
                        </w:r>
                        <w:r w:rsidRPr="00E9021D">
                          <w:rPr>
                            <w:rFonts w:ascii="Times" w:hAnsi="Times" w:cs="Times New Roman"/>
                            <w:kern w:val="0"/>
                          </w:rPr>
                          <w:t>”</w:t>
                        </w:r>
                        <w:r w:rsidRPr="00E9021D">
                          <w:rPr>
                            <w:rFonts w:ascii="Times" w:hAnsi="Times" w:cs="Times New Roman"/>
                            <w:kern w:val="0"/>
                          </w:rPr>
                          <w:t>，</w:t>
                        </w:r>
                        <w:r w:rsidRPr="00E9021D">
                          <w:rPr>
                            <w:rFonts w:ascii="Times" w:hAnsi="Times" w:cs="Times New Roman"/>
                            <w:kern w:val="0"/>
                          </w:rPr>
                          <w:t>“</w:t>
                        </w:r>
                        <w:r w:rsidRPr="00E9021D">
                          <w:rPr>
                            <w:rFonts w:ascii="Times" w:hAnsi="Times" w:cs="Times New Roman"/>
                            <w:kern w:val="0"/>
                          </w:rPr>
                          <w:t>预算科目</w:t>
                        </w:r>
                        <w:r w:rsidRPr="00E9021D">
                          <w:rPr>
                            <w:rFonts w:ascii="Times" w:hAnsi="Times" w:cs="Times New Roman"/>
                            <w:kern w:val="0"/>
                          </w:rPr>
                          <w:t>”</w:t>
                        </w:r>
                        <w:r w:rsidRPr="00E9021D">
                          <w:rPr>
                            <w:rFonts w:ascii="Times" w:hAnsi="Times" w:cs="Times New Roman"/>
                            <w:kern w:val="0"/>
                          </w:rPr>
                          <w:t>栏填写第</w:t>
                        </w:r>
                        <w:r w:rsidRPr="00E9021D">
                          <w:rPr>
                            <w:rFonts w:ascii="Times" w:hAnsi="Times" w:cs="Times New Roman"/>
                            <w:kern w:val="0"/>
                          </w:rPr>
                          <w:t>71</w:t>
                        </w:r>
                        <w:r w:rsidRPr="00E9021D">
                          <w:rPr>
                            <w:rFonts w:ascii="Times" w:hAnsi="Times" w:cs="Times New Roman"/>
                            <w:kern w:val="0"/>
                          </w:rPr>
                          <w:t>类</w:t>
                        </w:r>
                        <w:r w:rsidRPr="00E9021D">
                          <w:rPr>
                            <w:rFonts w:ascii="Times" w:hAnsi="Times" w:cs="Times New Roman"/>
                            <w:kern w:val="0"/>
                          </w:rPr>
                          <w:t>“</w:t>
                        </w:r>
                        <w:r w:rsidRPr="00E9021D">
                          <w:rPr>
                            <w:rFonts w:ascii="Times" w:hAnsi="Times" w:cs="Times New Roman"/>
                            <w:kern w:val="0"/>
                          </w:rPr>
                          <w:t>其他收入</w:t>
                        </w:r>
                        <w:r w:rsidRPr="00E9021D">
                          <w:rPr>
                            <w:rFonts w:ascii="Times" w:hAnsi="Times" w:cs="Times New Roman"/>
                            <w:kern w:val="0"/>
                          </w:rPr>
                          <w:t>”</w:t>
                        </w:r>
                        <w:r w:rsidRPr="00E9021D">
                          <w:rPr>
                            <w:rFonts w:ascii="Times" w:hAnsi="Times" w:cs="Times New Roman"/>
                            <w:kern w:val="0"/>
                          </w:rPr>
                          <w:t>中第</w:t>
                        </w:r>
                        <w:r w:rsidRPr="00E9021D">
                          <w:rPr>
                            <w:rFonts w:ascii="Times" w:hAnsi="Times" w:cs="Times New Roman"/>
                            <w:kern w:val="0"/>
                          </w:rPr>
                          <w:t>7113</w:t>
                        </w:r>
                        <w:r w:rsidRPr="00E9021D">
                          <w:rPr>
                            <w:rFonts w:ascii="Times" w:hAnsi="Times" w:cs="Times New Roman"/>
                            <w:kern w:val="0"/>
                          </w:rPr>
                          <w:t>款</w:t>
                        </w:r>
                        <w:r w:rsidRPr="00E9021D">
                          <w:rPr>
                            <w:rFonts w:ascii="Times" w:hAnsi="Times" w:cs="Times New Roman"/>
                            <w:kern w:val="0"/>
                          </w:rPr>
                          <w:t>“</w:t>
                        </w:r>
                        <w:r w:rsidRPr="00E9021D">
                          <w:rPr>
                            <w:rFonts w:ascii="Times" w:hAnsi="Times" w:cs="Times New Roman"/>
                            <w:kern w:val="0"/>
                          </w:rPr>
                          <w:t>石油特别收益金专项收入</w:t>
                        </w:r>
                        <w:r w:rsidRPr="00E9021D">
                          <w:rPr>
                            <w:rFonts w:ascii="Times" w:hAnsi="Times" w:cs="Times New Roman"/>
                            <w:kern w:val="0"/>
                          </w:rPr>
                          <w:t>”</w:t>
                        </w:r>
                        <w:r w:rsidRPr="00E9021D">
                          <w:rPr>
                            <w:rFonts w:ascii="Times" w:hAnsi="Times" w:cs="Times New Roman"/>
                            <w:kern w:val="0"/>
                          </w:rPr>
                          <w:t>。</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第十三条</w:t>
                        </w:r>
                        <w:r w:rsidRPr="00E9021D">
                          <w:rPr>
                            <w:rFonts w:ascii="Times" w:hAnsi="Times" w:cs="Times New Roman"/>
                            <w:kern w:val="0"/>
                          </w:rPr>
                          <w:t xml:space="preserve">　石油开采企业在规定的期限内未足额缴纳石油特别收益金的，由财政机关责令限期缴纳，并从滞纳之日起按日加收万分之五的滞纳金。</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第十四条</w:t>
                        </w:r>
                        <w:r w:rsidRPr="00E9021D">
                          <w:rPr>
                            <w:rFonts w:ascii="Times" w:hAnsi="Times" w:cs="Times New Roman"/>
                            <w:kern w:val="0"/>
                          </w:rPr>
                          <w:t xml:space="preserve">　财政机关不得擅自减征或免征石油开采企业应缴纳的石油特别收益金。</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第十五条</w:t>
                        </w:r>
                        <w:r w:rsidRPr="00E9021D">
                          <w:rPr>
                            <w:rFonts w:ascii="Times" w:hAnsi="Times" w:cs="Times New Roman"/>
                            <w:kern w:val="0"/>
                          </w:rPr>
                          <w:t xml:space="preserve">　石油特别收益金列入企业成本费用，准予在企业所得税税前扣除。</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第十六条</w:t>
                        </w:r>
                        <w:r w:rsidRPr="00E9021D">
                          <w:rPr>
                            <w:rFonts w:ascii="Times" w:hAnsi="Times" w:cs="Times New Roman"/>
                            <w:kern w:val="0"/>
                          </w:rPr>
                          <w:t xml:space="preserve">　石油开采企业未按照本办法规定缴纳石油特别收益金的，由财政机关按照《财政违法行为处罚处分条例》的规定予以处罚。</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第十七条</w:t>
                        </w:r>
                        <w:r w:rsidRPr="00E9021D">
                          <w:rPr>
                            <w:rFonts w:ascii="Times" w:hAnsi="Times" w:cs="Times New Roman"/>
                            <w:kern w:val="0"/>
                          </w:rPr>
                          <w:t xml:space="preserve">　本办法自</w:t>
                        </w:r>
                        <w:r w:rsidRPr="00E9021D">
                          <w:rPr>
                            <w:rFonts w:ascii="Times" w:hAnsi="Times" w:cs="Times New Roman"/>
                            <w:kern w:val="0"/>
                          </w:rPr>
                          <w:t>2006</w:t>
                        </w:r>
                        <w:r w:rsidRPr="00E9021D">
                          <w:rPr>
                            <w:rFonts w:ascii="Times" w:hAnsi="Times" w:cs="Times New Roman"/>
                            <w:kern w:val="0"/>
                          </w:rPr>
                          <w:t>年</w:t>
                        </w:r>
                        <w:r w:rsidRPr="00E9021D">
                          <w:rPr>
                            <w:rFonts w:ascii="Times" w:hAnsi="Times" w:cs="Times New Roman"/>
                            <w:kern w:val="0"/>
                          </w:rPr>
                          <w:t>3</w:t>
                        </w:r>
                        <w:r w:rsidRPr="00E9021D">
                          <w:rPr>
                            <w:rFonts w:ascii="Times" w:hAnsi="Times" w:cs="Times New Roman"/>
                            <w:kern w:val="0"/>
                          </w:rPr>
                          <w:t>月</w:t>
                        </w:r>
                        <w:r w:rsidRPr="00E9021D">
                          <w:rPr>
                            <w:rFonts w:ascii="Times" w:hAnsi="Times" w:cs="Times New Roman"/>
                            <w:kern w:val="0"/>
                          </w:rPr>
                          <w:t>26</w:t>
                        </w:r>
                        <w:r w:rsidRPr="00E9021D">
                          <w:rPr>
                            <w:rFonts w:ascii="Times" w:hAnsi="Times" w:cs="Times New Roman"/>
                            <w:kern w:val="0"/>
                          </w:rPr>
                          <w:t>日起执行。</w:t>
                        </w:r>
                        <w:r w:rsidRPr="00E9021D">
                          <w:rPr>
                            <w:rFonts w:ascii="Times" w:hAnsi="Times" w:cs="Times New Roman"/>
                            <w:kern w:val="0"/>
                          </w:rPr>
                          <w:br/>
                        </w:r>
                        <w:r w:rsidRPr="00E9021D">
                          <w:rPr>
                            <w:rFonts w:ascii="Times" w:hAnsi="Times" w:cs="Times New Roman"/>
                            <w:kern w:val="0"/>
                          </w:rPr>
                          <w:t xml:space="preserve">　　</w:t>
                        </w:r>
                        <w:r w:rsidRPr="00E9021D">
                          <w:rPr>
                            <w:rFonts w:ascii="Times" w:hAnsi="Times" w:cs="Times New Roman"/>
                            <w:b/>
                            <w:bCs/>
                            <w:kern w:val="0"/>
                          </w:rPr>
                          <w:t>第十八条</w:t>
                        </w:r>
                        <w:r w:rsidRPr="00E9021D">
                          <w:rPr>
                            <w:rFonts w:ascii="Times" w:hAnsi="Times" w:cs="Times New Roman"/>
                            <w:kern w:val="0"/>
                          </w:rPr>
                          <w:t xml:space="preserve">　本办法由财政部负责解释。</w:t>
                        </w:r>
                        <w:r w:rsidRPr="00E9021D">
                          <w:rPr>
                            <w:rFonts w:ascii="Times" w:hAnsi="Times" w:cs="Times New Roman"/>
                            <w:kern w:val="0"/>
                          </w:rPr>
                          <w:br/>
                        </w:r>
                        <w:r w:rsidRPr="00E9021D">
                          <w:rPr>
                            <w:rFonts w:ascii="Times" w:hAnsi="Times" w:cs="Times New Roman"/>
                            <w:kern w:val="0"/>
                          </w:rPr>
                          <w:t xml:space="preserve">　　附表：石油特别收益金申报表</w:t>
                        </w:r>
                      </w:p>
                      <w:p w:rsidR="00E9021D" w:rsidRPr="00E9021D" w:rsidRDefault="00E9021D" w:rsidP="00E9021D">
                        <w:pPr>
                          <w:widowControl/>
                          <w:spacing w:before="100" w:beforeAutospacing="1" w:after="100" w:afterAutospacing="1"/>
                          <w:jc w:val="left"/>
                          <w:rPr>
                            <w:rFonts w:ascii="Times" w:hAnsi="Times" w:cs="Times New Roman"/>
                            <w:kern w:val="0"/>
                          </w:rPr>
                        </w:pPr>
                        <w:r w:rsidRPr="00E9021D">
                          <w:rPr>
                            <w:rFonts w:ascii="Times" w:hAnsi="Times" w:cs="Times New Roman"/>
                            <w:noProof/>
                            <w:kern w:val="0"/>
                          </w:rPr>
                          <w:drawing>
                            <wp:inline distT="0" distB="0" distL="0" distR="0" wp14:anchorId="372BB606" wp14:editId="22F2E357">
                              <wp:extent cx="8889365" cy="5694680"/>
                              <wp:effectExtent l="0" t="0" r="635" b="0"/>
                              <wp:docPr id="3" name="图片 3" descr="http://www.mof.gov.cn/zhengwuxinxi/caizhengwengao/caizhengbuwengao2006/caizhengbuwengao20063/200805/W02008051953310218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f.gov.cn/zhengwuxinxi/caizhengwengao/caizhengbuwengao2006/caizhengbuwengao20063/200805/W0200805195331021809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89365" cy="5694680"/>
                                      </a:xfrm>
                                      <a:prstGeom prst="rect">
                                        <a:avLst/>
                                      </a:prstGeom>
                                      <a:noFill/>
                                      <a:ln>
                                        <a:noFill/>
                                      </a:ln>
                                    </pic:spPr>
                                  </pic:pic>
                                </a:graphicData>
                              </a:graphic>
                            </wp:inline>
                          </w:drawing>
                        </w:r>
                      </w:p>
                    </w:tc>
                  </w:tr>
                </w:tbl>
                <w:p w:rsidR="00E9021D" w:rsidRPr="00E9021D" w:rsidRDefault="00E9021D" w:rsidP="00E9021D">
                  <w:pPr>
                    <w:widowControl/>
                    <w:jc w:val="center"/>
                    <w:rPr>
                      <w:rFonts w:ascii="Times" w:eastAsia="Times New Roman" w:hAnsi="Times" w:cs="Times New Roman"/>
                      <w:kern w:val="0"/>
                    </w:rPr>
                  </w:pPr>
                </w:p>
              </w:tc>
            </w:tr>
          </w:tbl>
          <w:p w:rsidR="00E9021D" w:rsidRPr="00E9021D" w:rsidRDefault="00E9021D" w:rsidP="00E9021D">
            <w:pPr>
              <w:widowControl/>
              <w:jc w:val="left"/>
              <w:rPr>
                <w:rFonts w:ascii="Times" w:eastAsia="Times New Roman" w:hAnsi="Times" w:cs="Times New Roman"/>
                <w:kern w:val="0"/>
              </w:rPr>
            </w:pPr>
          </w:p>
        </w:tc>
      </w:tr>
    </w:tbl>
    <w:p w:rsidR="00F85DFD" w:rsidRPr="00E9021D" w:rsidRDefault="00F85DFD">
      <w:pPr>
        <w:rPr>
          <w:rFonts w:hint="eastAsia"/>
        </w:rPr>
      </w:pPr>
    </w:p>
    <w:sectPr w:rsidR="00F85DFD" w:rsidRPr="00E9021D" w:rsidSect="00BD76D8">
      <w:pgSz w:w="12240" w:h="15840"/>
      <w:pgMar w:top="1440" w:right="1800" w:bottom="1440" w:left="1800" w:header="720" w:footer="720" w:gutter="0"/>
      <w:cols w:space="720"/>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aoli SC Regular">
    <w:panose1 w:val="02010800040101010101"/>
    <w:charset w:val="00"/>
    <w:family w:val="auto"/>
    <w:pitch w:val="variable"/>
    <w:sig w:usb0="00000003" w:usb1="080F0000" w:usb2="00000000" w:usb3="00000000" w:csb0="00040001"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21D"/>
    <w:rsid w:val="00BD76D8"/>
    <w:rsid w:val="00C1464E"/>
    <w:rsid w:val="00E9021D"/>
    <w:rsid w:val="00F85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7C68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464E"/>
    <w:rPr>
      <w:rFonts w:ascii="Lucida Grande" w:hAnsi="Lucida Grande" w:cs="Lucida Grande"/>
      <w:sz w:val="18"/>
      <w:szCs w:val="18"/>
    </w:rPr>
  </w:style>
  <w:style w:type="character" w:customStyle="1" w:styleId="a4">
    <w:name w:val="批注框文本字符"/>
    <w:basedOn w:val="a0"/>
    <w:link w:val="a3"/>
    <w:uiPriority w:val="99"/>
    <w:semiHidden/>
    <w:rsid w:val="00C1464E"/>
    <w:rPr>
      <w:rFonts w:ascii="Lucida Grande" w:hAnsi="Lucida Grande" w:cs="Lucida Grande"/>
      <w:sz w:val="18"/>
      <w:szCs w:val="18"/>
    </w:rPr>
  </w:style>
  <w:style w:type="paragraph" w:styleId="a5">
    <w:name w:val="Normal (Web)"/>
    <w:basedOn w:val="a"/>
    <w:uiPriority w:val="99"/>
    <w:unhideWhenUsed/>
    <w:rsid w:val="00E9021D"/>
    <w:pPr>
      <w:widowControl/>
      <w:spacing w:before="100" w:beforeAutospacing="1" w:after="100" w:afterAutospacing="1"/>
      <w:jc w:val="left"/>
    </w:pPr>
    <w:rPr>
      <w:rFonts w:ascii="Times" w:hAnsi="Times" w:cs="Times New Roman"/>
      <w:kern w:val="0"/>
      <w:sz w:val="20"/>
      <w:szCs w:val="20"/>
    </w:rPr>
  </w:style>
  <w:style w:type="character" w:styleId="a6">
    <w:name w:val="Strong"/>
    <w:basedOn w:val="a0"/>
    <w:uiPriority w:val="22"/>
    <w:qFormat/>
    <w:rsid w:val="00E9021D"/>
    <w:rPr>
      <w:b/>
      <w:bCs/>
    </w:rPr>
  </w:style>
  <w:style w:type="character" w:styleId="a7">
    <w:name w:val="Hyperlink"/>
    <w:basedOn w:val="a0"/>
    <w:uiPriority w:val="99"/>
    <w:unhideWhenUsed/>
    <w:rsid w:val="00E9021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464E"/>
    <w:rPr>
      <w:rFonts w:ascii="Lucida Grande" w:hAnsi="Lucida Grande" w:cs="Lucida Grande"/>
      <w:sz w:val="18"/>
      <w:szCs w:val="18"/>
    </w:rPr>
  </w:style>
  <w:style w:type="character" w:customStyle="1" w:styleId="a4">
    <w:name w:val="批注框文本字符"/>
    <w:basedOn w:val="a0"/>
    <w:link w:val="a3"/>
    <w:uiPriority w:val="99"/>
    <w:semiHidden/>
    <w:rsid w:val="00C1464E"/>
    <w:rPr>
      <w:rFonts w:ascii="Lucida Grande" w:hAnsi="Lucida Grande" w:cs="Lucida Grande"/>
      <w:sz w:val="18"/>
      <w:szCs w:val="18"/>
    </w:rPr>
  </w:style>
  <w:style w:type="paragraph" w:styleId="a5">
    <w:name w:val="Normal (Web)"/>
    <w:basedOn w:val="a"/>
    <w:uiPriority w:val="99"/>
    <w:unhideWhenUsed/>
    <w:rsid w:val="00E9021D"/>
    <w:pPr>
      <w:widowControl/>
      <w:spacing w:before="100" w:beforeAutospacing="1" w:after="100" w:afterAutospacing="1"/>
      <w:jc w:val="left"/>
    </w:pPr>
    <w:rPr>
      <w:rFonts w:ascii="Times" w:hAnsi="Times" w:cs="Times New Roman"/>
      <w:kern w:val="0"/>
      <w:sz w:val="20"/>
      <w:szCs w:val="20"/>
    </w:rPr>
  </w:style>
  <w:style w:type="character" w:styleId="a6">
    <w:name w:val="Strong"/>
    <w:basedOn w:val="a0"/>
    <w:uiPriority w:val="22"/>
    <w:qFormat/>
    <w:rsid w:val="00E9021D"/>
    <w:rPr>
      <w:b/>
      <w:bCs/>
    </w:rPr>
  </w:style>
  <w:style w:type="character" w:styleId="a7">
    <w:name w:val="Hyperlink"/>
    <w:basedOn w:val="a0"/>
    <w:uiPriority w:val="99"/>
    <w:unhideWhenUsed/>
    <w:rsid w:val="00E902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972345">
      <w:bodyDiv w:val="1"/>
      <w:marLeft w:val="0"/>
      <w:marRight w:val="0"/>
      <w:marTop w:val="0"/>
      <w:marBottom w:val="0"/>
      <w:divBdr>
        <w:top w:val="none" w:sz="0" w:space="0" w:color="auto"/>
        <w:left w:val="none" w:sz="0" w:space="0" w:color="auto"/>
        <w:bottom w:val="none" w:sz="0" w:space="0" w:color="auto"/>
        <w:right w:val="none" w:sz="0" w:space="0" w:color="auto"/>
      </w:divBdr>
      <w:divsChild>
        <w:div w:id="1938634185">
          <w:marLeft w:val="0"/>
          <w:marRight w:val="0"/>
          <w:marTop w:val="0"/>
          <w:marBottom w:val="0"/>
          <w:divBdr>
            <w:top w:val="none" w:sz="0" w:space="0" w:color="auto"/>
            <w:left w:val="none" w:sz="0" w:space="0" w:color="auto"/>
            <w:bottom w:val="none" w:sz="0" w:space="0" w:color="auto"/>
            <w:right w:val="none" w:sz="0" w:space="0" w:color="auto"/>
          </w:divBdr>
        </w:div>
      </w:divsChild>
    </w:div>
    <w:div w:id="13659796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zs.mof.gov.cn/zhengwuxinxi/zhengcefabu/201412/t20141226_1172974.html" TargetMode="External"/><Relationship Id="rId6" Type="http://schemas.openxmlformats.org/officeDocument/2006/relationships/hyperlink" Target="http://www.mof.gov.cn/zhengwuxinxi/caizhengwengao/caizhengbuwengao2006/caizhengbuwengao20063/200805/t20080519_23772.html"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390</Words>
  <Characters>2224</Characters>
  <Application>Microsoft Macintosh Word</Application>
  <DocSecurity>0</DocSecurity>
  <Lines>18</Lines>
  <Paragraphs>5</Paragraphs>
  <ScaleCrop>false</ScaleCrop>
  <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xiong</dc:creator>
  <cp:keywords/>
  <dc:description/>
  <cp:lastModifiedBy>MAC xiong</cp:lastModifiedBy>
  <cp:revision>1</cp:revision>
  <dcterms:created xsi:type="dcterms:W3CDTF">2016-11-09T21:13:00Z</dcterms:created>
  <dcterms:modified xsi:type="dcterms:W3CDTF">2016-11-09T21:19:00Z</dcterms:modified>
</cp:coreProperties>
</file>