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A104E" w:rsidRPr="00CA104E" w:rsidRDefault="00CA104E" w:rsidP="00CA104E">
      <w:pPr>
        <w:spacing w:after="0" w:line="240" w:lineRule="auto"/>
        <w:rPr>
          <w:rFonts w:ascii="Times New Roman" w:eastAsia="Times New Roman" w:hAnsi="Times New Roman" w:cs="Times New Roman"/>
          <w:sz w:val="24"/>
          <w:szCs w:val="24"/>
        </w:rPr>
      </w:pPr>
      <w:r w:rsidRPr="00CA104E">
        <w:rPr>
          <w:rFonts w:ascii="Times New Roman" w:eastAsia="Times New Roman" w:hAnsi="Times New Roman" w:cs="Times New Roman"/>
          <w:noProof/>
          <w:sz w:val="24"/>
          <w:szCs w:val="24"/>
        </w:rPr>
        <w:drawing>
          <wp:inline distT="0" distB="0" distL="0" distR="0">
            <wp:extent cx="9525" cy="9525"/>
            <wp:effectExtent l="0" t="0" r="0" b="0"/>
            <wp:docPr id="2" name="Picture 2" descr="http://gulfnews.com/logger/p.gif?a=1.1155690&amp;d=/2.3803/2.3818/2.4052/2.4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gulfnews.com/logger/p.gif?a=1.1155690&amp;d=/2.3803/2.3818/2.4052/2.418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CA104E" w:rsidRPr="00CA104E" w:rsidRDefault="00CA104E" w:rsidP="00CA104E">
      <w:pPr>
        <w:shd w:val="clear" w:color="auto" w:fill="FFFFFF"/>
        <w:spacing w:after="0" w:line="675" w:lineRule="atLeast"/>
        <w:outlineLvl w:val="0"/>
        <w:rPr>
          <w:rFonts w:ascii="Arial" w:eastAsia="Times New Roman" w:hAnsi="Arial" w:cs="Arial"/>
          <w:color w:val="333333"/>
          <w:kern w:val="36"/>
          <w:sz w:val="69"/>
          <w:szCs w:val="69"/>
        </w:rPr>
      </w:pPr>
      <w:r w:rsidRPr="00CA104E">
        <w:rPr>
          <w:rFonts w:ascii="Arial" w:eastAsia="Times New Roman" w:hAnsi="Arial" w:cs="Arial"/>
          <w:color w:val="333333"/>
          <w:kern w:val="36"/>
          <w:sz w:val="69"/>
          <w:szCs w:val="69"/>
        </w:rPr>
        <w:t>Abu Dhabi invites oil companies to bid for concession</w:t>
      </w:r>
    </w:p>
    <w:p w:rsidR="00CA104E" w:rsidRPr="00CA104E" w:rsidRDefault="00CA104E" w:rsidP="00CA104E">
      <w:pPr>
        <w:shd w:val="clear" w:color="auto" w:fill="FFFFFF"/>
        <w:spacing w:before="75" w:after="60" w:line="312" w:lineRule="atLeast"/>
        <w:rPr>
          <w:rFonts w:ascii="Arial" w:eastAsia="Times New Roman" w:hAnsi="Arial" w:cs="Arial"/>
          <w:color w:val="333333"/>
          <w:sz w:val="25"/>
          <w:szCs w:val="25"/>
        </w:rPr>
      </w:pPr>
      <w:r w:rsidRPr="00CA104E">
        <w:rPr>
          <w:rFonts w:ascii="Arial" w:eastAsia="Times New Roman" w:hAnsi="Arial" w:cs="Arial"/>
          <w:color w:val="333333"/>
          <w:sz w:val="25"/>
          <w:szCs w:val="25"/>
        </w:rPr>
        <w:t>Seventy-five-year-old concession, which expires at the end of the year, produces more than half the UAE crude production of 2.6m barrels</w:t>
      </w:r>
    </w:p>
    <w:p w:rsidR="00CA104E" w:rsidRPr="00CA104E" w:rsidRDefault="00CA104E" w:rsidP="00CA104E">
      <w:pPr>
        <w:shd w:val="clear" w:color="auto" w:fill="FFFFFF"/>
        <w:spacing w:after="0" w:line="240" w:lineRule="auto"/>
        <w:rPr>
          <w:rFonts w:ascii="Arial" w:eastAsia="Times New Roman" w:hAnsi="Arial" w:cs="Arial"/>
          <w:color w:val="333333"/>
          <w:sz w:val="15"/>
          <w:szCs w:val="15"/>
        </w:rPr>
      </w:pPr>
      <w:r w:rsidRPr="00CA104E">
        <w:rPr>
          <w:rFonts w:ascii="Arial" w:eastAsia="Times New Roman" w:hAnsi="Arial" w:cs="Arial"/>
          <w:color w:val="848484"/>
          <w:sz w:val="15"/>
          <w:szCs w:val="15"/>
        </w:rPr>
        <w:t>Published: 16:29 March 8, 2013</w:t>
      </w:r>
      <w:r w:rsidRPr="00CA104E">
        <w:rPr>
          <w:rFonts w:ascii="Arial" w:eastAsia="Times New Roman" w:hAnsi="Arial" w:cs="Arial"/>
          <w:noProof/>
          <w:color w:val="555555"/>
          <w:sz w:val="15"/>
          <w:szCs w:val="15"/>
        </w:rPr>
        <w:drawing>
          <wp:inline distT="0" distB="0" distL="0" distR="0">
            <wp:extent cx="1543050" cy="219075"/>
            <wp:effectExtent l="0" t="0" r="0" b="0"/>
            <wp:docPr id="1" name="Picture 1" descr="Gulf News">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ulf News">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43050" cy="219075"/>
                    </a:xfrm>
                    <a:prstGeom prst="rect">
                      <a:avLst/>
                    </a:prstGeom>
                    <a:noFill/>
                    <a:ln>
                      <a:noFill/>
                    </a:ln>
                  </pic:spPr>
                </pic:pic>
              </a:graphicData>
            </a:graphic>
          </wp:inline>
        </w:drawing>
      </w:r>
    </w:p>
    <w:p w:rsidR="00CA104E" w:rsidRPr="00CA104E" w:rsidRDefault="00CA104E" w:rsidP="00CA104E">
      <w:pPr>
        <w:shd w:val="clear" w:color="auto" w:fill="FFFFFF"/>
        <w:spacing w:after="75" w:line="240" w:lineRule="auto"/>
        <w:rPr>
          <w:rFonts w:ascii="Arial" w:eastAsia="Times New Roman" w:hAnsi="Arial" w:cs="Arial"/>
          <w:color w:val="333333"/>
          <w:sz w:val="15"/>
          <w:szCs w:val="15"/>
        </w:rPr>
      </w:pPr>
      <w:proofErr w:type="spellStart"/>
      <w:r w:rsidRPr="00CA104E">
        <w:rPr>
          <w:rFonts w:ascii="Arial" w:eastAsia="Times New Roman" w:hAnsi="Arial" w:cs="Arial"/>
          <w:color w:val="333333"/>
          <w:sz w:val="15"/>
          <w:szCs w:val="15"/>
        </w:rPr>
        <w:t>Zawya</w:t>
      </w:r>
      <w:proofErr w:type="spellEnd"/>
      <w:r w:rsidRPr="00CA104E">
        <w:rPr>
          <w:rFonts w:ascii="Arial" w:eastAsia="Times New Roman" w:hAnsi="Arial" w:cs="Arial"/>
          <w:color w:val="333333"/>
          <w:sz w:val="15"/>
          <w:szCs w:val="15"/>
        </w:rPr>
        <w:t xml:space="preserve"> Dow Jones</w:t>
      </w:r>
    </w:p>
    <w:p w:rsidR="00CA104E" w:rsidRDefault="00CA104E" w:rsidP="00CA104E">
      <w:pPr>
        <w:shd w:val="clear" w:color="auto" w:fill="FFFFFF"/>
        <w:spacing w:after="450" w:line="300" w:lineRule="atLeast"/>
        <w:rPr>
          <w:rFonts w:ascii="Arial" w:eastAsia="Times New Roman" w:hAnsi="Arial" w:cs="Arial"/>
          <w:color w:val="333333"/>
          <w:sz w:val="23"/>
          <w:szCs w:val="23"/>
        </w:rPr>
      </w:pPr>
    </w:p>
    <w:p w:rsidR="00CA104E" w:rsidRPr="00CA104E" w:rsidRDefault="00CA104E" w:rsidP="00CA104E">
      <w:pPr>
        <w:shd w:val="clear" w:color="auto" w:fill="FFFFFF"/>
        <w:spacing w:after="450" w:line="300" w:lineRule="atLeast"/>
        <w:rPr>
          <w:rFonts w:ascii="Arial" w:eastAsia="Times New Roman" w:hAnsi="Arial" w:cs="Arial"/>
          <w:color w:val="333333"/>
          <w:sz w:val="23"/>
          <w:szCs w:val="23"/>
        </w:rPr>
      </w:pPr>
      <w:bookmarkStart w:id="0" w:name="_GoBack"/>
      <w:bookmarkEnd w:id="0"/>
      <w:r w:rsidRPr="00CA104E">
        <w:rPr>
          <w:rFonts w:ascii="Arial" w:eastAsia="Times New Roman" w:hAnsi="Arial" w:cs="Arial"/>
          <w:color w:val="333333"/>
          <w:sz w:val="23"/>
          <w:szCs w:val="23"/>
        </w:rPr>
        <w:t xml:space="preserve">Dubai: Abu Dhabi National Oil Co, or </w:t>
      </w:r>
      <w:proofErr w:type="spellStart"/>
      <w:r w:rsidRPr="00CA104E">
        <w:rPr>
          <w:rFonts w:ascii="Arial" w:eastAsia="Times New Roman" w:hAnsi="Arial" w:cs="Arial"/>
          <w:color w:val="333333"/>
          <w:sz w:val="23"/>
          <w:szCs w:val="23"/>
        </w:rPr>
        <w:t>Adnoc</w:t>
      </w:r>
      <w:proofErr w:type="spellEnd"/>
      <w:r w:rsidRPr="00CA104E">
        <w:rPr>
          <w:rFonts w:ascii="Arial" w:eastAsia="Times New Roman" w:hAnsi="Arial" w:cs="Arial"/>
          <w:color w:val="333333"/>
          <w:sz w:val="23"/>
          <w:szCs w:val="23"/>
        </w:rPr>
        <w:t xml:space="preserve">, has invited several international oil firms, in addition to existing partners, to bid for the renewal of a shared </w:t>
      </w:r>
      <w:proofErr w:type="spellStart"/>
      <w:r w:rsidRPr="00CA104E">
        <w:rPr>
          <w:rFonts w:ascii="Arial" w:eastAsia="Times New Roman" w:hAnsi="Arial" w:cs="Arial"/>
          <w:color w:val="333333"/>
          <w:sz w:val="23"/>
          <w:szCs w:val="23"/>
        </w:rPr>
        <w:t>licence</w:t>
      </w:r>
      <w:proofErr w:type="spellEnd"/>
      <w:r w:rsidRPr="00CA104E">
        <w:rPr>
          <w:rFonts w:ascii="Arial" w:eastAsia="Times New Roman" w:hAnsi="Arial" w:cs="Arial"/>
          <w:color w:val="333333"/>
          <w:sz w:val="23"/>
          <w:szCs w:val="23"/>
        </w:rPr>
        <w:t xml:space="preserve"> to operate some of the emirate’s largest onshore oil fields, two people familiar with the matter said.</w:t>
      </w:r>
    </w:p>
    <w:p w:rsidR="00CA104E" w:rsidRPr="00CA104E" w:rsidRDefault="00CA104E" w:rsidP="00CA104E">
      <w:pPr>
        <w:shd w:val="clear" w:color="auto" w:fill="FFFFFF"/>
        <w:spacing w:after="450" w:line="300" w:lineRule="atLeast"/>
        <w:rPr>
          <w:rFonts w:ascii="Arial" w:eastAsia="Times New Roman" w:hAnsi="Arial" w:cs="Arial"/>
          <w:color w:val="333333"/>
          <w:sz w:val="23"/>
          <w:szCs w:val="23"/>
        </w:rPr>
      </w:pPr>
      <w:r w:rsidRPr="00CA104E">
        <w:rPr>
          <w:rFonts w:ascii="Arial" w:eastAsia="Times New Roman" w:hAnsi="Arial" w:cs="Arial"/>
          <w:color w:val="333333"/>
          <w:sz w:val="23"/>
          <w:szCs w:val="23"/>
        </w:rPr>
        <w:t xml:space="preserve">US-based firms Chevron Corp and Occidental Petroleum Corp, China National Petroleum Corp, or CNPC, Japan’s </w:t>
      </w:r>
      <w:proofErr w:type="spellStart"/>
      <w:r w:rsidRPr="00CA104E">
        <w:rPr>
          <w:rFonts w:ascii="Arial" w:eastAsia="Times New Roman" w:hAnsi="Arial" w:cs="Arial"/>
          <w:color w:val="333333"/>
          <w:sz w:val="23"/>
          <w:szCs w:val="23"/>
        </w:rPr>
        <w:t>Inpex</w:t>
      </w:r>
      <w:proofErr w:type="spellEnd"/>
      <w:r w:rsidRPr="00CA104E">
        <w:rPr>
          <w:rFonts w:ascii="Arial" w:eastAsia="Times New Roman" w:hAnsi="Arial" w:cs="Arial"/>
          <w:color w:val="333333"/>
          <w:sz w:val="23"/>
          <w:szCs w:val="23"/>
        </w:rPr>
        <w:t xml:space="preserve"> Corp, Korea National Oil Corp, or KNOC, Norway’s Statoil ASA and Russia’s OAO </w:t>
      </w:r>
      <w:proofErr w:type="spellStart"/>
      <w:r w:rsidRPr="00CA104E">
        <w:rPr>
          <w:rFonts w:ascii="Arial" w:eastAsia="Times New Roman" w:hAnsi="Arial" w:cs="Arial"/>
          <w:color w:val="333333"/>
          <w:sz w:val="23"/>
          <w:szCs w:val="23"/>
        </w:rPr>
        <w:t>Rosneft</w:t>
      </w:r>
      <w:proofErr w:type="spellEnd"/>
      <w:r w:rsidRPr="00CA104E">
        <w:rPr>
          <w:rFonts w:ascii="Arial" w:eastAsia="Times New Roman" w:hAnsi="Arial" w:cs="Arial"/>
          <w:color w:val="333333"/>
          <w:sz w:val="23"/>
          <w:szCs w:val="23"/>
        </w:rPr>
        <w:t xml:space="preserve"> were among the new companies invited, the people said.</w:t>
      </w:r>
    </w:p>
    <w:p w:rsidR="00CA104E" w:rsidRPr="00CA104E" w:rsidRDefault="00CA104E" w:rsidP="00CA104E">
      <w:pPr>
        <w:shd w:val="clear" w:color="auto" w:fill="FFFFFF"/>
        <w:spacing w:after="450" w:line="300" w:lineRule="atLeast"/>
        <w:rPr>
          <w:rFonts w:ascii="Arial" w:eastAsia="Times New Roman" w:hAnsi="Arial" w:cs="Arial"/>
          <w:color w:val="333333"/>
          <w:sz w:val="23"/>
          <w:szCs w:val="23"/>
        </w:rPr>
      </w:pPr>
      <w:r w:rsidRPr="00CA104E">
        <w:rPr>
          <w:rFonts w:ascii="Arial" w:eastAsia="Times New Roman" w:hAnsi="Arial" w:cs="Arial"/>
          <w:color w:val="333333"/>
          <w:sz w:val="23"/>
          <w:szCs w:val="23"/>
        </w:rPr>
        <w:t>The 75-year-old concession, which expires at the end of the year, produces more than half the UAE crude production of 2.6 million barrels a day and is one of the few major oil-producing areas in the Gulf where international companies hold a stake.</w:t>
      </w:r>
    </w:p>
    <w:p w:rsidR="00CA104E" w:rsidRPr="00CA104E" w:rsidRDefault="00CA104E" w:rsidP="00CA104E">
      <w:pPr>
        <w:shd w:val="clear" w:color="auto" w:fill="FFFFFF"/>
        <w:spacing w:after="450" w:line="300" w:lineRule="atLeast"/>
        <w:rPr>
          <w:rFonts w:ascii="Arial" w:eastAsia="Times New Roman" w:hAnsi="Arial" w:cs="Arial"/>
          <w:color w:val="333333"/>
          <w:sz w:val="23"/>
          <w:szCs w:val="23"/>
        </w:rPr>
      </w:pPr>
      <w:r w:rsidRPr="00CA104E">
        <w:rPr>
          <w:rFonts w:ascii="Arial" w:eastAsia="Times New Roman" w:hAnsi="Arial" w:cs="Arial"/>
          <w:color w:val="333333"/>
          <w:sz w:val="23"/>
          <w:szCs w:val="23"/>
        </w:rPr>
        <w:t>Without an invitation, the companies would not have an opportunity to be involved in the concession as the emirate does not open the competition to any bidder.</w:t>
      </w:r>
    </w:p>
    <w:p w:rsidR="00CA104E" w:rsidRPr="00CA104E" w:rsidRDefault="00CA104E" w:rsidP="00CA104E">
      <w:pPr>
        <w:shd w:val="clear" w:color="auto" w:fill="FFFFFF"/>
        <w:spacing w:after="450" w:line="300" w:lineRule="atLeast"/>
        <w:rPr>
          <w:rFonts w:ascii="Arial" w:eastAsia="Times New Roman" w:hAnsi="Arial" w:cs="Arial"/>
          <w:color w:val="333333"/>
          <w:sz w:val="23"/>
          <w:szCs w:val="23"/>
        </w:rPr>
      </w:pPr>
      <w:proofErr w:type="spellStart"/>
      <w:r w:rsidRPr="00CA104E">
        <w:rPr>
          <w:rFonts w:ascii="Arial" w:eastAsia="Times New Roman" w:hAnsi="Arial" w:cs="Arial"/>
          <w:color w:val="333333"/>
          <w:sz w:val="23"/>
          <w:szCs w:val="23"/>
        </w:rPr>
        <w:t>Adnoc</w:t>
      </w:r>
      <w:proofErr w:type="spellEnd"/>
      <w:r w:rsidRPr="00CA104E">
        <w:rPr>
          <w:rFonts w:ascii="Arial" w:eastAsia="Times New Roman" w:hAnsi="Arial" w:cs="Arial"/>
          <w:color w:val="333333"/>
          <w:sz w:val="23"/>
          <w:szCs w:val="23"/>
        </w:rPr>
        <w:t xml:space="preserve"> holds a 60 per cent controlling stake in Abu Dhabi Co for Onshore Oil Operations, or </w:t>
      </w:r>
      <w:proofErr w:type="spellStart"/>
      <w:r w:rsidRPr="00CA104E">
        <w:rPr>
          <w:rFonts w:ascii="Arial" w:eastAsia="Times New Roman" w:hAnsi="Arial" w:cs="Arial"/>
          <w:color w:val="333333"/>
          <w:sz w:val="23"/>
          <w:szCs w:val="23"/>
        </w:rPr>
        <w:t>Adco</w:t>
      </w:r>
      <w:proofErr w:type="spellEnd"/>
      <w:r w:rsidRPr="00CA104E">
        <w:rPr>
          <w:rFonts w:ascii="Arial" w:eastAsia="Times New Roman" w:hAnsi="Arial" w:cs="Arial"/>
          <w:color w:val="333333"/>
          <w:sz w:val="23"/>
          <w:szCs w:val="23"/>
        </w:rPr>
        <w:t xml:space="preserve">, which operates the concession. The remaining 40 per cent is shared between BP PLC, Exxon Mobil Corp, Royal Dutch Shell PLC, Total SA and </w:t>
      </w:r>
      <w:proofErr w:type="spellStart"/>
      <w:r w:rsidRPr="00CA104E">
        <w:rPr>
          <w:rFonts w:ascii="Arial" w:eastAsia="Times New Roman" w:hAnsi="Arial" w:cs="Arial"/>
          <w:color w:val="333333"/>
          <w:sz w:val="23"/>
          <w:szCs w:val="23"/>
        </w:rPr>
        <w:t>Partex</w:t>
      </w:r>
      <w:proofErr w:type="spellEnd"/>
      <w:r w:rsidRPr="00CA104E">
        <w:rPr>
          <w:rFonts w:ascii="Arial" w:eastAsia="Times New Roman" w:hAnsi="Arial" w:cs="Arial"/>
          <w:color w:val="333333"/>
          <w:sz w:val="23"/>
          <w:szCs w:val="23"/>
        </w:rPr>
        <w:t xml:space="preserve"> Oil &amp; Gas.</w:t>
      </w:r>
    </w:p>
    <w:p w:rsidR="00CA104E" w:rsidRPr="00CA104E" w:rsidRDefault="00CA104E" w:rsidP="00CA104E">
      <w:pPr>
        <w:shd w:val="clear" w:color="auto" w:fill="FFFFFF"/>
        <w:spacing w:after="450" w:line="300" w:lineRule="atLeast"/>
        <w:rPr>
          <w:rFonts w:ascii="Arial" w:eastAsia="Times New Roman" w:hAnsi="Arial" w:cs="Arial"/>
          <w:color w:val="333333"/>
          <w:sz w:val="23"/>
          <w:szCs w:val="23"/>
        </w:rPr>
      </w:pPr>
      <w:proofErr w:type="spellStart"/>
      <w:r w:rsidRPr="00CA104E">
        <w:rPr>
          <w:rFonts w:ascii="Arial" w:eastAsia="Times New Roman" w:hAnsi="Arial" w:cs="Arial"/>
          <w:color w:val="333333"/>
          <w:sz w:val="23"/>
          <w:szCs w:val="23"/>
        </w:rPr>
        <w:t>Adnoc</w:t>
      </w:r>
      <w:proofErr w:type="spellEnd"/>
      <w:r w:rsidRPr="00CA104E">
        <w:rPr>
          <w:rFonts w:ascii="Arial" w:eastAsia="Times New Roman" w:hAnsi="Arial" w:cs="Arial"/>
          <w:color w:val="333333"/>
          <w:sz w:val="23"/>
          <w:szCs w:val="23"/>
        </w:rPr>
        <w:t xml:space="preserve"> has already invited all existing partners except for </w:t>
      </w:r>
      <w:proofErr w:type="spellStart"/>
      <w:r w:rsidRPr="00CA104E">
        <w:rPr>
          <w:rFonts w:ascii="Arial" w:eastAsia="Times New Roman" w:hAnsi="Arial" w:cs="Arial"/>
          <w:color w:val="333333"/>
          <w:sz w:val="23"/>
          <w:szCs w:val="23"/>
        </w:rPr>
        <w:t>Partex</w:t>
      </w:r>
      <w:proofErr w:type="spellEnd"/>
      <w:r w:rsidRPr="00CA104E">
        <w:rPr>
          <w:rFonts w:ascii="Arial" w:eastAsia="Times New Roman" w:hAnsi="Arial" w:cs="Arial"/>
          <w:color w:val="333333"/>
          <w:sz w:val="23"/>
          <w:szCs w:val="23"/>
        </w:rPr>
        <w:t xml:space="preserve"> to reapply for the concession.</w:t>
      </w:r>
    </w:p>
    <w:p w:rsidR="00CA104E" w:rsidRPr="00CA104E" w:rsidRDefault="00CA104E" w:rsidP="00CA104E">
      <w:pPr>
        <w:shd w:val="clear" w:color="auto" w:fill="FFFFFF"/>
        <w:spacing w:after="450" w:line="300" w:lineRule="atLeast"/>
        <w:rPr>
          <w:rFonts w:ascii="Arial" w:eastAsia="Times New Roman" w:hAnsi="Arial" w:cs="Arial"/>
          <w:color w:val="333333"/>
          <w:sz w:val="23"/>
          <w:szCs w:val="23"/>
        </w:rPr>
      </w:pPr>
      <w:r w:rsidRPr="00CA104E">
        <w:rPr>
          <w:rFonts w:ascii="Arial" w:eastAsia="Times New Roman" w:hAnsi="Arial" w:cs="Arial"/>
          <w:color w:val="333333"/>
          <w:sz w:val="23"/>
          <w:szCs w:val="23"/>
        </w:rPr>
        <w:t>In addition, “</w:t>
      </w:r>
      <w:proofErr w:type="spellStart"/>
      <w:r w:rsidRPr="00CA104E">
        <w:rPr>
          <w:rFonts w:ascii="Arial" w:eastAsia="Times New Roman" w:hAnsi="Arial" w:cs="Arial"/>
          <w:color w:val="333333"/>
          <w:sz w:val="23"/>
          <w:szCs w:val="23"/>
        </w:rPr>
        <w:t>Adnoc</w:t>
      </w:r>
      <w:proofErr w:type="spellEnd"/>
      <w:r w:rsidRPr="00CA104E">
        <w:rPr>
          <w:rFonts w:ascii="Arial" w:eastAsia="Times New Roman" w:hAnsi="Arial" w:cs="Arial"/>
          <w:color w:val="333333"/>
          <w:sz w:val="23"/>
          <w:szCs w:val="23"/>
        </w:rPr>
        <w:t xml:space="preserve"> is interested in getting new partners in the concession and therefore they sent invitation letters to several companies back in June,” a person </w:t>
      </w:r>
      <w:proofErr w:type="gramStart"/>
      <w:r w:rsidRPr="00CA104E">
        <w:rPr>
          <w:rFonts w:ascii="Arial" w:eastAsia="Times New Roman" w:hAnsi="Arial" w:cs="Arial"/>
          <w:color w:val="333333"/>
          <w:sz w:val="23"/>
          <w:szCs w:val="23"/>
        </w:rPr>
        <w:t>close</w:t>
      </w:r>
      <w:proofErr w:type="gramEnd"/>
      <w:r w:rsidRPr="00CA104E">
        <w:rPr>
          <w:rFonts w:ascii="Arial" w:eastAsia="Times New Roman" w:hAnsi="Arial" w:cs="Arial"/>
          <w:color w:val="333333"/>
          <w:sz w:val="23"/>
          <w:szCs w:val="23"/>
        </w:rPr>
        <w:t xml:space="preserve"> to the matter </w:t>
      </w:r>
      <w:r w:rsidRPr="00CA104E">
        <w:rPr>
          <w:rFonts w:ascii="Arial" w:eastAsia="Times New Roman" w:hAnsi="Arial" w:cs="Arial"/>
          <w:color w:val="333333"/>
          <w:sz w:val="23"/>
          <w:szCs w:val="23"/>
        </w:rPr>
        <w:lastRenderedPageBreak/>
        <w:t>told Dow Jones Newswires. “More people could be allowed later but it is a good way to see who has the right criteria to bid.”</w:t>
      </w:r>
    </w:p>
    <w:p w:rsidR="00CA104E" w:rsidRPr="00CA104E" w:rsidRDefault="00CA104E" w:rsidP="00CA104E">
      <w:pPr>
        <w:shd w:val="clear" w:color="auto" w:fill="FFFFFF"/>
        <w:spacing w:after="450" w:line="300" w:lineRule="atLeast"/>
        <w:rPr>
          <w:rFonts w:ascii="Arial" w:eastAsia="Times New Roman" w:hAnsi="Arial" w:cs="Arial"/>
          <w:color w:val="333333"/>
          <w:sz w:val="23"/>
          <w:szCs w:val="23"/>
        </w:rPr>
      </w:pPr>
      <w:r w:rsidRPr="00CA104E">
        <w:rPr>
          <w:rFonts w:ascii="Arial" w:eastAsia="Times New Roman" w:hAnsi="Arial" w:cs="Arial"/>
          <w:b/>
          <w:bCs/>
          <w:color w:val="333333"/>
          <w:sz w:val="23"/>
          <w:szCs w:val="23"/>
        </w:rPr>
        <w:t>Request for extension</w:t>
      </w:r>
    </w:p>
    <w:p w:rsidR="00CA104E" w:rsidRPr="00CA104E" w:rsidRDefault="00CA104E" w:rsidP="00CA104E">
      <w:pPr>
        <w:shd w:val="clear" w:color="auto" w:fill="FFFFFF"/>
        <w:spacing w:after="450" w:line="300" w:lineRule="atLeast"/>
        <w:rPr>
          <w:rFonts w:ascii="Arial" w:eastAsia="Times New Roman" w:hAnsi="Arial" w:cs="Arial"/>
          <w:color w:val="333333"/>
          <w:sz w:val="23"/>
          <w:szCs w:val="23"/>
        </w:rPr>
      </w:pPr>
      <w:r w:rsidRPr="00CA104E">
        <w:rPr>
          <w:rFonts w:ascii="Arial" w:eastAsia="Times New Roman" w:hAnsi="Arial" w:cs="Arial"/>
          <w:color w:val="333333"/>
          <w:sz w:val="23"/>
          <w:szCs w:val="23"/>
        </w:rPr>
        <w:t xml:space="preserve">Chevron, Statoil, </w:t>
      </w:r>
      <w:proofErr w:type="spellStart"/>
      <w:r w:rsidRPr="00CA104E">
        <w:rPr>
          <w:rFonts w:ascii="Arial" w:eastAsia="Times New Roman" w:hAnsi="Arial" w:cs="Arial"/>
          <w:color w:val="333333"/>
          <w:sz w:val="23"/>
          <w:szCs w:val="23"/>
        </w:rPr>
        <w:t>Rosneft</w:t>
      </w:r>
      <w:proofErr w:type="spellEnd"/>
      <w:r w:rsidRPr="00CA104E">
        <w:rPr>
          <w:rFonts w:ascii="Arial" w:eastAsia="Times New Roman" w:hAnsi="Arial" w:cs="Arial"/>
          <w:color w:val="333333"/>
          <w:sz w:val="23"/>
          <w:szCs w:val="23"/>
        </w:rPr>
        <w:t>, and CNPC would not say whether they had received the invitations.</w:t>
      </w:r>
    </w:p>
    <w:p w:rsidR="00CA104E" w:rsidRPr="00CA104E" w:rsidRDefault="00CA104E" w:rsidP="00CA104E">
      <w:pPr>
        <w:shd w:val="clear" w:color="auto" w:fill="FFFFFF"/>
        <w:spacing w:after="450" w:line="300" w:lineRule="atLeast"/>
        <w:rPr>
          <w:rFonts w:ascii="Arial" w:eastAsia="Times New Roman" w:hAnsi="Arial" w:cs="Arial"/>
          <w:color w:val="333333"/>
          <w:sz w:val="23"/>
          <w:szCs w:val="23"/>
        </w:rPr>
      </w:pPr>
      <w:r w:rsidRPr="00CA104E">
        <w:rPr>
          <w:rFonts w:ascii="Arial" w:eastAsia="Times New Roman" w:hAnsi="Arial" w:cs="Arial"/>
          <w:color w:val="333333"/>
          <w:sz w:val="23"/>
          <w:szCs w:val="23"/>
        </w:rPr>
        <w:t xml:space="preserve">KNOC said it has submitted documents for the preliminary qualification review and is waiting to hear back from </w:t>
      </w:r>
      <w:proofErr w:type="spellStart"/>
      <w:r w:rsidRPr="00CA104E">
        <w:rPr>
          <w:rFonts w:ascii="Arial" w:eastAsia="Times New Roman" w:hAnsi="Arial" w:cs="Arial"/>
          <w:color w:val="333333"/>
          <w:sz w:val="23"/>
          <w:szCs w:val="23"/>
        </w:rPr>
        <w:t>Adnoc</w:t>
      </w:r>
      <w:proofErr w:type="spellEnd"/>
      <w:r w:rsidRPr="00CA104E">
        <w:rPr>
          <w:rFonts w:ascii="Arial" w:eastAsia="Times New Roman" w:hAnsi="Arial" w:cs="Arial"/>
          <w:color w:val="333333"/>
          <w:sz w:val="23"/>
          <w:szCs w:val="23"/>
        </w:rPr>
        <w:t>.</w:t>
      </w:r>
    </w:p>
    <w:p w:rsidR="00CA104E" w:rsidRPr="00CA104E" w:rsidRDefault="00CA104E" w:rsidP="00CA104E">
      <w:pPr>
        <w:shd w:val="clear" w:color="auto" w:fill="FFFFFF"/>
        <w:spacing w:after="450" w:line="300" w:lineRule="atLeast"/>
        <w:rPr>
          <w:rFonts w:ascii="Arial" w:eastAsia="Times New Roman" w:hAnsi="Arial" w:cs="Arial"/>
          <w:color w:val="333333"/>
          <w:sz w:val="23"/>
          <w:szCs w:val="23"/>
        </w:rPr>
      </w:pPr>
      <w:r w:rsidRPr="00CA104E">
        <w:rPr>
          <w:rFonts w:ascii="Arial" w:eastAsia="Times New Roman" w:hAnsi="Arial" w:cs="Arial"/>
          <w:color w:val="333333"/>
          <w:sz w:val="23"/>
          <w:szCs w:val="23"/>
        </w:rPr>
        <w:t xml:space="preserve">An </w:t>
      </w:r>
      <w:proofErr w:type="spellStart"/>
      <w:r w:rsidRPr="00CA104E">
        <w:rPr>
          <w:rFonts w:ascii="Arial" w:eastAsia="Times New Roman" w:hAnsi="Arial" w:cs="Arial"/>
          <w:color w:val="333333"/>
          <w:sz w:val="23"/>
          <w:szCs w:val="23"/>
        </w:rPr>
        <w:t>Inpex</w:t>
      </w:r>
      <w:proofErr w:type="spellEnd"/>
      <w:r w:rsidRPr="00CA104E">
        <w:rPr>
          <w:rFonts w:ascii="Arial" w:eastAsia="Times New Roman" w:hAnsi="Arial" w:cs="Arial"/>
          <w:color w:val="333333"/>
          <w:sz w:val="23"/>
          <w:szCs w:val="23"/>
        </w:rPr>
        <w:t xml:space="preserve"> spokesman would not comment on any specific project but said that the company intends to expand its presence in Abu Dhabi.</w:t>
      </w:r>
    </w:p>
    <w:p w:rsidR="00CA104E" w:rsidRPr="00CA104E" w:rsidRDefault="00CA104E" w:rsidP="00CA104E">
      <w:pPr>
        <w:shd w:val="clear" w:color="auto" w:fill="FFFFFF"/>
        <w:spacing w:after="450" w:line="300" w:lineRule="atLeast"/>
        <w:rPr>
          <w:rFonts w:ascii="Arial" w:eastAsia="Times New Roman" w:hAnsi="Arial" w:cs="Arial"/>
          <w:color w:val="333333"/>
          <w:sz w:val="23"/>
          <w:szCs w:val="23"/>
        </w:rPr>
      </w:pPr>
      <w:r w:rsidRPr="00CA104E">
        <w:rPr>
          <w:rFonts w:ascii="Arial" w:eastAsia="Times New Roman" w:hAnsi="Arial" w:cs="Arial"/>
          <w:color w:val="333333"/>
          <w:sz w:val="23"/>
          <w:szCs w:val="23"/>
        </w:rPr>
        <w:t>Occidental Petroleum did not respond to requests for comment.</w:t>
      </w:r>
    </w:p>
    <w:p w:rsidR="00CA104E" w:rsidRPr="00CA104E" w:rsidRDefault="00CA104E" w:rsidP="00CA104E">
      <w:pPr>
        <w:shd w:val="clear" w:color="auto" w:fill="FFFFFF"/>
        <w:spacing w:after="450" w:line="300" w:lineRule="atLeast"/>
        <w:rPr>
          <w:rFonts w:ascii="Arial" w:eastAsia="Times New Roman" w:hAnsi="Arial" w:cs="Arial"/>
          <w:color w:val="333333"/>
          <w:sz w:val="23"/>
          <w:szCs w:val="23"/>
        </w:rPr>
      </w:pPr>
      <w:proofErr w:type="spellStart"/>
      <w:r w:rsidRPr="00CA104E">
        <w:rPr>
          <w:rFonts w:ascii="Arial" w:eastAsia="Times New Roman" w:hAnsi="Arial" w:cs="Arial"/>
          <w:color w:val="333333"/>
          <w:sz w:val="23"/>
          <w:szCs w:val="23"/>
        </w:rPr>
        <w:t>Adnoc</w:t>
      </w:r>
      <w:proofErr w:type="spellEnd"/>
      <w:r w:rsidRPr="00CA104E">
        <w:rPr>
          <w:rFonts w:ascii="Arial" w:eastAsia="Times New Roman" w:hAnsi="Arial" w:cs="Arial"/>
          <w:color w:val="333333"/>
          <w:sz w:val="23"/>
          <w:szCs w:val="23"/>
        </w:rPr>
        <w:t xml:space="preserve"> has already proposed to Abu Dhabi’s highest oil authority, the Supreme Petroleum Council, a one-year extension to the concession, saying the next 10 months aren’t enough time to complete a new deal with international partners. The council is expected to approve the extension soon.</w:t>
      </w:r>
    </w:p>
    <w:p w:rsidR="00CA104E" w:rsidRPr="00CA104E" w:rsidRDefault="00CA104E" w:rsidP="00CA104E">
      <w:pPr>
        <w:shd w:val="clear" w:color="auto" w:fill="FFFFFF"/>
        <w:spacing w:after="450" w:line="300" w:lineRule="atLeast"/>
        <w:rPr>
          <w:rFonts w:ascii="Arial" w:eastAsia="Times New Roman" w:hAnsi="Arial" w:cs="Arial"/>
          <w:color w:val="333333"/>
          <w:sz w:val="23"/>
          <w:szCs w:val="23"/>
        </w:rPr>
      </w:pPr>
      <w:r w:rsidRPr="00CA104E">
        <w:rPr>
          <w:rFonts w:ascii="Arial" w:eastAsia="Times New Roman" w:hAnsi="Arial" w:cs="Arial"/>
          <w:color w:val="333333"/>
          <w:sz w:val="23"/>
          <w:szCs w:val="23"/>
        </w:rPr>
        <w:t xml:space="preserve">The </w:t>
      </w:r>
      <w:proofErr w:type="spellStart"/>
      <w:r w:rsidRPr="00CA104E">
        <w:rPr>
          <w:rFonts w:ascii="Arial" w:eastAsia="Times New Roman" w:hAnsi="Arial" w:cs="Arial"/>
          <w:color w:val="333333"/>
          <w:sz w:val="23"/>
          <w:szCs w:val="23"/>
        </w:rPr>
        <w:t>Adco</w:t>
      </w:r>
      <w:proofErr w:type="spellEnd"/>
      <w:r w:rsidRPr="00CA104E">
        <w:rPr>
          <w:rFonts w:ascii="Arial" w:eastAsia="Times New Roman" w:hAnsi="Arial" w:cs="Arial"/>
          <w:color w:val="333333"/>
          <w:sz w:val="23"/>
          <w:szCs w:val="23"/>
        </w:rPr>
        <w:t xml:space="preserve"> concession, which covers six main deposits, is the largest in the country with capacity to produce about 1.5 million barrels daily. The UAE plans to increase its output capacity to 3.5 million barrels a day by 2017, from its current estimated maximum output capacity of around 2.85 million barrels a day.</w:t>
      </w:r>
    </w:p>
    <w:p w:rsidR="00CA104E" w:rsidRPr="00CA104E" w:rsidRDefault="00CA104E" w:rsidP="00CA104E">
      <w:pPr>
        <w:shd w:val="clear" w:color="auto" w:fill="FFFFFF"/>
        <w:spacing w:after="450" w:line="300" w:lineRule="atLeast"/>
        <w:rPr>
          <w:rFonts w:ascii="Arial" w:eastAsia="Times New Roman" w:hAnsi="Arial" w:cs="Arial"/>
          <w:color w:val="333333"/>
          <w:sz w:val="23"/>
          <w:szCs w:val="23"/>
        </w:rPr>
      </w:pPr>
      <w:r w:rsidRPr="00CA104E">
        <w:rPr>
          <w:rFonts w:ascii="Arial" w:eastAsia="Times New Roman" w:hAnsi="Arial" w:cs="Arial"/>
          <w:color w:val="333333"/>
          <w:sz w:val="23"/>
          <w:szCs w:val="23"/>
        </w:rPr>
        <w:t>Abu Dhabi is home to more than 90 per cent of crude in the UAE, one of few Middle East countries that allow foreign companies to explore for and produce oil within its borders. The Gulf state has four major concessions and has said it may allow more foreign companies, such as from South Korea and China, to be partners in other, more marginal, oil fields.</w:t>
      </w:r>
    </w:p>
    <w:p w:rsidR="00F57466" w:rsidRDefault="00F57466"/>
    <w:sectPr w:rsidR="00F5746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104E"/>
    <w:rsid w:val="00CA104E"/>
    <w:rsid w:val="00F5746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9FF121"/>
  <w15:chartTrackingRefBased/>
  <w15:docId w15:val="{B04C9F83-E64F-44C6-8C18-A98160820D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style>
  <w:style w:type="paragraph" w:styleId="Heading1">
    <w:name w:val="heading 1"/>
    <w:basedOn w:val="Normal"/>
    <w:link w:val="Heading1Char"/>
    <w:uiPriority w:val="9"/>
    <w:qFormat/>
    <w:rsid w:val="00CA104E"/>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3">
    <w:name w:val="heading 3"/>
    <w:basedOn w:val="Normal"/>
    <w:link w:val="Heading3Char"/>
    <w:uiPriority w:val="9"/>
    <w:qFormat/>
    <w:rsid w:val="00CA104E"/>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A104E"/>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CA104E"/>
    <w:rPr>
      <w:rFonts w:ascii="Times New Roman" w:eastAsia="Times New Roman" w:hAnsi="Times New Roman" w:cs="Times New Roman"/>
      <w:b/>
      <w:bCs/>
      <w:sz w:val="27"/>
      <w:szCs w:val="27"/>
    </w:rPr>
  </w:style>
  <w:style w:type="paragraph" w:customStyle="1" w:styleId="caption">
    <w:name w:val="caption"/>
    <w:basedOn w:val="Normal"/>
    <w:rsid w:val="00CA104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ime">
    <w:name w:val="time"/>
    <w:basedOn w:val="DefaultParagraphFont"/>
    <w:rsid w:val="00CA104E"/>
  </w:style>
  <w:style w:type="character" w:styleId="Hyperlink">
    <w:name w:val="Hyperlink"/>
    <w:basedOn w:val="DefaultParagraphFont"/>
    <w:uiPriority w:val="99"/>
    <w:semiHidden/>
    <w:unhideWhenUsed/>
    <w:rsid w:val="00CA104E"/>
    <w:rPr>
      <w:color w:val="0000FF"/>
      <w:u w:val="single"/>
    </w:rPr>
  </w:style>
  <w:style w:type="paragraph" w:styleId="NormalWeb">
    <w:name w:val="Normal (Web)"/>
    <w:basedOn w:val="Normal"/>
    <w:uiPriority w:val="99"/>
    <w:semiHidden/>
    <w:unhideWhenUsed/>
    <w:rsid w:val="00CA104E"/>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CA104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20223902">
      <w:bodyDiv w:val="1"/>
      <w:marLeft w:val="0"/>
      <w:marRight w:val="0"/>
      <w:marTop w:val="0"/>
      <w:marBottom w:val="0"/>
      <w:divBdr>
        <w:top w:val="none" w:sz="0" w:space="0" w:color="auto"/>
        <w:left w:val="none" w:sz="0" w:space="0" w:color="auto"/>
        <w:bottom w:val="none" w:sz="0" w:space="0" w:color="auto"/>
        <w:right w:val="none" w:sz="0" w:space="0" w:color="auto"/>
      </w:divBdr>
      <w:divsChild>
        <w:div w:id="1290747927">
          <w:marLeft w:val="0"/>
          <w:marRight w:val="150"/>
          <w:marTop w:val="0"/>
          <w:marBottom w:val="0"/>
          <w:divBdr>
            <w:top w:val="none" w:sz="0" w:space="0" w:color="auto"/>
            <w:left w:val="none" w:sz="0" w:space="0" w:color="auto"/>
            <w:bottom w:val="none" w:sz="0" w:space="0" w:color="auto"/>
            <w:right w:val="none" w:sz="0" w:space="0" w:color="auto"/>
          </w:divBdr>
          <w:divsChild>
            <w:div w:id="1812940476">
              <w:marLeft w:val="0"/>
              <w:marRight w:val="0"/>
              <w:marTop w:val="0"/>
              <w:marBottom w:val="75"/>
              <w:divBdr>
                <w:top w:val="none" w:sz="0" w:space="0" w:color="auto"/>
                <w:left w:val="none" w:sz="0" w:space="0" w:color="auto"/>
                <w:bottom w:val="none" w:sz="0" w:space="0" w:color="auto"/>
                <w:right w:val="none" w:sz="0" w:space="0" w:color="auto"/>
              </w:divBdr>
              <w:divsChild>
                <w:div w:id="1526361328">
                  <w:marLeft w:val="0"/>
                  <w:marRight w:val="0"/>
                  <w:marTop w:val="0"/>
                  <w:marBottom w:val="0"/>
                  <w:divBdr>
                    <w:top w:val="none" w:sz="0" w:space="0" w:color="auto"/>
                    <w:left w:val="none" w:sz="0" w:space="0" w:color="auto"/>
                    <w:bottom w:val="none" w:sz="0" w:space="0" w:color="auto"/>
                    <w:right w:val="none" w:sz="0" w:space="0" w:color="auto"/>
                  </w:divBdr>
                </w:div>
              </w:divsChild>
            </w:div>
            <w:div w:id="242614537">
              <w:marLeft w:val="0"/>
              <w:marRight w:val="0"/>
              <w:marTop w:val="0"/>
              <w:marBottom w:val="225"/>
              <w:divBdr>
                <w:top w:val="single" w:sz="6" w:space="8" w:color="E7E7E7"/>
                <w:left w:val="none" w:sz="0" w:space="0" w:color="auto"/>
                <w:bottom w:val="none" w:sz="0" w:space="0" w:color="auto"/>
                <w:right w:val="none" w:sz="0" w:space="0" w:color="auto"/>
              </w:divBdr>
              <w:divsChild>
                <w:div w:id="698624183">
                  <w:marLeft w:val="0"/>
                  <w:marRight w:val="-375"/>
                  <w:marTop w:val="0"/>
                  <w:marBottom w:val="0"/>
                  <w:divBdr>
                    <w:top w:val="none" w:sz="0" w:space="0" w:color="auto"/>
                    <w:left w:val="none" w:sz="0" w:space="0" w:color="auto"/>
                    <w:bottom w:val="none" w:sz="0" w:space="0" w:color="auto"/>
                    <w:right w:val="none" w:sz="0" w:space="0" w:color="auto"/>
                  </w:divBdr>
                </w:div>
              </w:divsChild>
            </w:div>
            <w:div w:id="911040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hyperlink" Target="http://gulfnews.com/" TargetMode="External"/><Relationship Id="rId4"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480</Words>
  <Characters>2739</Characters>
  <Application>Microsoft Office Word</Application>
  <DocSecurity>0</DocSecurity>
  <Lines>22</Lines>
  <Paragraphs>6</Paragraphs>
  <ScaleCrop>false</ScaleCrop>
  <Company/>
  <LinksUpToDate>false</LinksUpToDate>
  <CharactersWithSpaces>3213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2016-05-29T17:29:00Z</dcterms:created>
  <dcterms:modified xsi:type="dcterms:W3CDTF">2016-05-29T17:29:00Z</dcterms:modified>
</cp:coreProperties>
</file>