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32373D"/>
          <w:sz w:val="28"/>
          <w:szCs w:val="28"/>
          <w:lang w:val="ru-RU"/>
        </w:rPr>
      </w:pPr>
      <w:r w:rsidRPr="00DE13A9">
        <w:rPr>
          <w:rFonts w:ascii="Verdana" w:hAnsi="Verdana" w:cs="Verdana"/>
          <w:color w:val="32373D"/>
          <w:sz w:val="28"/>
          <w:szCs w:val="28"/>
          <w:lang w:val="ru-RU"/>
        </w:rPr>
        <w:t>20100319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32373D"/>
          <w:sz w:val="28"/>
          <w:szCs w:val="28"/>
          <w:lang w:val="ru-RU"/>
        </w:rPr>
      </w:pPr>
      <w:r w:rsidRPr="00DE13A9">
        <w:rPr>
          <w:rFonts w:ascii="Verdana" w:hAnsi="Verdana" w:cs="Verdana"/>
          <w:color w:val="32373D"/>
          <w:sz w:val="28"/>
          <w:szCs w:val="28"/>
          <w:lang w:val="ru-RU"/>
        </w:rPr>
        <w:t>• ЗАКОН ТУРКМЕНИСТАНА о внесении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32373D"/>
          <w:sz w:val="28"/>
          <w:szCs w:val="28"/>
          <w:lang w:val="ru-RU"/>
        </w:rPr>
      </w:pPr>
      <w:r w:rsidRPr="00DE13A9">
        <w:rPr>
          <w:rFonts w:ascii="Verdana" w:hAnsi="Verdana" w:cs="Verdana"/>
          <w:color w:val="32373D"/>
          <w:sz w:val="28"/>
          <w:szCs w:val="28"/>
          <w:lang w:val="ru-RU"/>
        </w:rPr>
        <w:t>изменений и дополнений в Закон Туркменистана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32373D"/>
          <w:sz w:val="28"/>
          <w:szCs w:val="28"/>
          <w:lang w:val="ru-RU"/>
        </w:rPr>
      </w:pPr>
      <w:r w:rsidRPr="00DE13A9">
        <w:rPr>
          <w:rFonts w:ascii="Verdana" w:hAnsi="Verdana" w:cs="Verdana"/>
          <w:color w:val="32373D"/>
          <w:sz w:val="28"/>
          <w:szCs w:val="28"/>
          <w:lang w:val="ru-RU"/>
        </w:rPr>
        <w:t>«Об углеводородных ресурсах»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CACAC"/>
          <w:sz w:val="12"/>
          <w:szCs w:val="12"/>
          <w:lang w:val="ru-RU"/>
        </w:rPr>
      </w:pPr>
      <w:r w:rsidRPr="00DE13A9">
        <w:rPr>
          <w:rFonts w:ascii="Verdana" w:hAnsi="Verdana" w:cs="Verdana"/>
          <w:color w:val="ACACAC"/>
          <w:sz w:val="12"/>
          <w:szCs w:val="12"/>
          <w:lang w:val="ru-RU"/>
        </w:rPr>
        <w:t>.:. Закон Туркменистана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9A00"/>
          <w:sz w:val="16"/>
          <w:szCs w:val="16"/>
          <w:lang w:val="ru-RU"/>
        </w:rPr>
      </w:pPr>
      <w:r w:rsidRPr="00DE13A9">
        <w:rPr>
          <w:rFonts w:ascii="Verdana" w:hAnsi="Verdana" w:cs="Verdana"/>
          <w:color w:val="009A00"/>
          <w:sz w:val="16"/>
          <w:szCs w:val="16"/>
          <w:lang w:val="ru-RU"/>
        </w:rPr>
        <w:t>ЗАКОН ТУРКМЕНИСТАНА о внесении изменений и дополнений в Закон Туркменистана «Об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9A00"/>
          <w:sz w:val="16"/>
          <w:szCs w:val="16"/>
          <w:lang w:val="ru-RU"/>
        </w:rPr>
      </w:pPr>
      <w:r w:rsidRPr="00DE13A9">
        <w:rPr>
          <w:rFonts w:ascii="Verdana" w:hAnsi="Verdana" w:cs="Verdana"/>
          <w:color w:val="009A00"/>
          <w:sz w:val="16"/>
          <w:szCs w:val="16"/>
          <w:lang w:val="ru-RU"/>
        </w:rPr>
        <w:t>углеводородных ресурсах»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>
        <w:rPr>
          <w:rFonts w:ascii="Verdana" w:hAnsi="Verdana" w:cs="Verdana"/>
          <w:color w:val="000000"/>
          <w:sz w:val="12"/>
          <w:szCs w:val="12"/>
        </w:rPr>
        <w:t>I</w:t>
      </w: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. Внести в Закон Туркменистана «Об углеводородных ресурсах», принятый Меджлисом Туркменистана 20 августа 2008 года (Ведомости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Меджлиса Туркменистана, 2008 г., № 3, ст. 40), следующие изменения и дополнения: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1. В статье 51: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а) пункт 1 части первой изложить в следующей редакции: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«1) роялти на добычу Углеводородных ресурсов, устанавливаемые в процентном отношении от объёма добычи Углеводородных ресурсов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или от стоимости произведённой продукции и уплачиваемые Подрядчиком в денежной форме или в виде части Углеводородных ресурсов,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добытых Подрядчиком при выполнении Нефтяных работ в соответствии с Договорами, указанными в части первой статьи 21 настоящего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Закона</w:t>
      </w:r>
      <w:r>
        <w:rPr>
          <w:rFonts w:ascii="Verdana" w:hAnsi="Verdana" w:cs="Verdana"/>
          <w:color w:val="000000"/>
          <w:sz w:val="12"/>
          <w:szCs w:val="12"/>
        </w:rPr>
        <w:t>;</w:t>
      </w: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»</w:t>
      </w:r>
      <w:r>
        <w:rPr>
          <w:rFonts w:ascii="Verdana" w:hAnsi="Verdana" w:cs="Verdana"/>
          <w:color w:val="000000"/>
          <w:sz w:val="12"/>
          <w:szCs w:val="12"/>
        </w:rPr>
        <w:t>;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б) часть вторую изложить в следующей редакции: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«2. Агентство отчисляет в Государственный бюджет Туркменистана 20 процентов от суммы доходов, указанных в пунктах 14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части первой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настоящей статьи.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Порядок исчисления и уплаты указанных отчислений в Государственный бюджет Туркменистана определяется Министерством финансов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Туркменистана, Главной государственной налоговой службой Туркменистана и Агентством.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Исчисление суммы указанных отчислений в Государственный бюджет Туркменистана от доходов, указанных в пунктах 14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части первой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настоящей статьи, получаемых Агентством в виде части добытых Углеводородных ресурсов, производится от суммы выручки, полученной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(оплаченной покупателем) от последующей реализации этих Углеводородных ресурсов.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Часть доходов Агентства, оставшаяся после уплаты этих отчислений, не подлежит налогообложению и не является объектом обложения для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исчисления иных обязательных платежей (сборов и отчислений), не включается в его валовый доход при определении налогооблагаемой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прибыли Агентства, остаётся в распоряжении Агентства и используется им самостоятельно в соответствии с его решениями.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Имущество, право собственности на которое в соответствии со статьей 54 настоящего Закона переходит от Подрядчика к Агентству, не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рассматривается в качестве дохода Агентства, с которого производятся отчисления в Государственный бюджет Туркменистана,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предусмотренные настоящей частью. Стоимость такого имущества не рассматривается как доход Агентства для целей исчисления налога на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прибыль (доход) юридических лиц. При реализации такого имущества применяются положения части третьей настоящей статьи Закона.»</w:t>
      </w:r>
      <w:r>
        <w:rPr>
          <w:rFonts w:ascii="Verdana" w:hAnsi="Verdana" w:cs="Verdana"/>
          <w:color w:val="000000"/>
          <w:sz w:val="12"/>
          <w:szCs w:val="12"/>
        </w:rPr>
        <w:t>;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в) абзац первый части третьей изложить в следующей редакции: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«На Агентство распространяется порядок налогообложения, установленный статьёй 48 настоящего Закона как в отношении Подрядчика.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При этом налог на прибыль (доход) по доходам, указанным в пункте 5 части первой настоящей статьи, исчисляется и уплачивается в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общеустановленном порядке в соответствии с Налоговым кодексом Туркменистана.».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2. Часть первую статьи 54 дополнить абзацем следующего содержания: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«Состав, особенности учёта и оценки такого имущества определяются у Подрядчика в соответствии с международной практикой ведения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учёта и отчётности, принятой при проведении Нефтяных работ, и положениями Договора, у Агентства в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порядке, устанавливаемом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Агентством по согласованию с Министерством финансов Туркменистана.».</w:t>
      </w:r>
    </w:p>
    <w:p w:rsidR="00DE13A9" w:rsidRP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  <w:lang w:val="ru-RU"/>
        </w:rPr>
      </w:pPr>
      <w:r>
        <w:rPr>
          <w:rFonts w:ascii="Verdana" w:hAnsi="Verdana" w:cs="Verdana"/>
          <w:color w:val="000000"/>
          <w:sz w:val="12"/>
          <w:szCs w:val="12"/>
        </w:rPr>
        <w:t>II</w:t>
      </w:r>
      <w:r w:rsidRPr="00DE13A9">
        <w:rPr>
          <w:rFonts w:ascii="Verdana" w:hAnsi="Verdana" w:cs="Verdana"/>
          <w:color w:val="000000"/>
          <w:sz w:val="12"/>
          <w:szCs w:val="12"/>
          <w:lang w:val="ru-RU"/>
        </w:rPr>
        <w:t>. Настоящий Закон вступает в силу со дня его официального опубликования.</w:t>
      </w:r>
    </w:p>
    <w:p w:rsid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</w:rPr>
      </w:pPr>
      <w:proofErr w:type="spellStart"/>
      <w:r>
        <w:rPr>
          <w:rFonts w:ascii="Verdana" w:hAnsi="Verdana" w:cs="Verdana"/>
          <w:color w:val="000000"/>
          <w:sz w:val="12"/>
          <w:szCs w:val="12"/>
        </w:rPr>
        <w:t>Президент</w:t>
      </w:r>
      <w:proofErr w:type="spellEnd"/>
      <w:r>
        <w:rPr>
          <w:rFonts w:ascii="Verdana" w:hAnsi="Verdana" w:cs="Verdana"/>
          <w:color w:val="000000"/>
          <w:sz w:val="12"/>
          <w:szCs w:val="12"/>
        </w:rPr>
        <w:t xml:space="preserve"> </w:t>
      </w:r>
      <w:proofErr w:type="spellStart"/>
      <w:r>
        <w:rPr>
          <w:rFonts w:ascii="Verdana" w:hAnsi="Verdana" w:cs="Verdana"/>
          <w:color w:val="000000"/>
          <w:sz w:val="12"/>
          <w:szCs w:val="12"/>
        </w:rPr>
        <w:t>Туркменистана</w:t>
      </w:r>
      <w:proofErr w:type="spellEnd"/>
    </w:p>
    <w:p w:rsidR="00DE13A9" w:rsidRDefault="00DE13A9" w:rsidP="00DE13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2"/>
          <w:szCs w:val="12"/>
        </w:rPr>
      </w:pPr>
      <w:proofErr w:type="spellStart"/>
      <w:r>
        <w:rPr>
          <w:rFonts w:ascii="Verdana" w:hAnsi="Verdana" w:cs="Verdana"/>
          <w:color w:val="000000"/>
          <w:sz w:val="12"/>
          <w:szCs w:val="12"/>
        </w:rPr>
        <w:t>Гурбангулы</w:t>
      </w:r>
      <w:proofErr w:type="spellEnd"/>
      <w:r>
        <w:rPr>
          <w:rFonts w:ascii="Verdana" w:hAnsi="Verdana" w:cs="Verdana"/>
          <w:color w:val="000000"/>
          <w:sz w:val="12"/>
          <w:szCs w:val="12"/>
        </w:rPr>
        <w:t xml:space="preserve"> БЕРДЫМУХАМЕДОВ.</w:t>
      </w:r>
    </w:p>
    <w:p w:rsidR="00942A9E" w:rsidRPr="00DE13A9" w:rsidRDefault="00DE13A9" w:rsidP="00DE13A9">
      <w:pPr>
        <w:rPr>
          <w:lang w:val="ru-RU"/>
        </w:rPr>
      </w:pPr>
      <w:r w:rsidRPr="00DE13A9">
        <w:rPr>
          <w:rFonts w:ascii="Verdana" w:hAnsi="Verdana" w:cs="Verdana"/>
          <w:i/>
          <w:iCs/>
          <w:color w:val="000000"/>
          <w:sz w:val="12"/>
          <w:szCs w:val="12"/>
          <w:lang w:val="ru-RU"/>
        </w:rPr>
        <w:t>Перевод с государственного языка Туркменистана.</w:t>
      </w:r>
      <w:r w:rsidRPr="00DE13A9">
        <w:rPr>
          <w:rFonts w:ascii="Verdana" w:hAnsi="Verdana" w:cs="Verdana"/>
          <w:color w:val="000000"/>
          <w:sz w:val="20"/>
          <w:szCs w:val="20"/>
          <w:lang w:val="ru-RU"/>
        </w:rPr>
        <w:t>__</w:t>
      </w:r>
      <w:bookmarkStart w:id="0" w:name="_GoBack"/>
      <w:bookmarkEnd w:id="0"/>
    </w:p>
    <w:sectPr w:rsidR="00942A9E" w:rsidRPr="00DE1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3A9"/>
    <w:rsid w:val="00942A9E"/>
    <w:rsid w:val="00DE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E622B0-76C7-4671-AC6A-6AC23186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Watters</dc:creator>
  <cp:keywords/>
  <dc:description/>
  <cp:lastModifiedBy>Kate Watters</cp:lastModifiedBy>
  <cp:revision>1</cp:revision>
  <dcterms:created xsi:type="dcterms:W3CDTF">2016-06-12T21:42:00Z</dcterms:created>
  <dcterms:modified xsi:type="dcterms:W3CDTF">2016-06-12T21:44:00Z</dcterms:modified>
</cp:coreProperties>
</file>