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A6DD7" w14:textId="77777777" w:rsidR="00B7237D" w:rsidRPr="00B7237D" w:rsidRDefault="00B7237D" w:rsidP="00B7237D">
      <w:pPr>
        <w:widowControl w:val="0"/>
        <w:autoSpaceDE w:val="0"/>
        <w:autoSpaceDN w:val="0"/>
        <w:adjustRightInd w:val="0"/>
        <w:rPr>
          <w:rFonts w:ascii="Helvetica" w:hAnsi="Helvetica" w:cs="Helvetica"/>
          <w:color w:val="0E73C0"/>
          <w:sz w:val="26"/>
          <w:szCs w:val="26"/>
          <w:lang w:val="en-US"/>
          <w14:shadow w14:blurRad="50800" w14:dist="38100" w14:dir="2700000" w14:sx="100000" w14:sy="100000" w14:kx="0" w14:ky="0" w14:algn="tl">
            <w14:srgbClr w14:val="000000">
              <w14:alpha w14:val="60000"/>
            </w14:srgbClr>
          </w14:shadow>
        </w:rPr>
      </w:pPr>
      <w:bookmarkStart w:id="0" w:name="_GoBack"/>
      <w:r w:rsidRPr="00B7237D">
        <w:rPr>
          <w:rFonts w:ascii="Helvetica" w:hAnsi="Helvetica" w:cs="Helvetica"/>
          <w:color w:val="0E73C0"/>
          <w:sz w:val="32"/>
          <w:szCs w:val="32"/>
          <w:lang w:val="en-US"/>
          <w14:shadow w14:blurRad="50800" w14:dist="38100" w14:dir="2700000" w14:sx="100000" w14:sy="100000" w14:kx="0" w14:ky="0" w14:algn="tl">
            <w14:srgbClr w14:val="000000">
              <w14:alpha w14:val="60000"/>
            </w14:srgbClr>
          </w14:shadow>
        </w:rPr>
        <w:t>Tập đoàn Dầu khí Việt Nam hoàn thành chỉ tiêu khai thác năm 2016</w:t>
      </w:r>
      <w:bookmarkEnd w:id="0"/>
    </w:p>
    <w:p w14:paraId="59D486E7" w14:textId="77777777" w:rsidR="00B7237D" w:rsidRPr="00B7237D" w:rsidRDefault="00B7237D" w:rsidP="00B7237D">
      <w:pPr>
        <w:widowControl w:val="0"/>
        <w:autoSpaceDE w:val="0"/>
        <w:autoSpaceDN w:val="0"/>
        <w:adjustRightInd w:val="0"/>
        <w:rPr>
          <w:rFonts w:ascii="Helvetica" w:hAnsi="Helvetica" w:cs="Helvetica"/>
          <w:color w:val="0E73C0"/>
          <w:sz w:val="26"/>
          <w:szCs w:val="26"/>
          <w:lang w:val="en-US"/>
          <w14:shadow w14:blurRad="50800" w14:dist="38100" w14:dir="2700000" w14:sx="100000" w14:sy="100000" w14:kx="0" w14:ky="0" w14:algn="tl">
            <w14:srgbClr w14:val="000000">
              <w14:alpha w14:val="60000"/>
            </w14:srgbClr>
          </w14:shadow>
        </w:rPr>
      </w:pPr>
      <w:r w:rsidRPr="00B7237D">
        <w:rPr>
          <w:rFonts w:ascii="Helvetica" w:hAnsi="Helvetica" w:cs="Helvetica"/>
          <w:color w:val="0E73C0"/>
          <w:sz w:val="26"/>
          <w:szCs w:val="26"/>
          <w:lang w:val="en-US"/>
          <w14:shadow w14:blurRad="50800" w14:dist="38100" w14:dir="2700000" w14:sx="100000" w14:sy="100000" w14:kx="0" w14:ky="0" w14:algn="tl">
            <w14:srgbClr w14:val="000000">
              <w14:alpha w14:val="60000"/>
            </w14:srgbClr>
          </w14:shadow>
        </w:rPr>
        <w:t>04/01/2017 - 08:00</w:t>
      </w:r>
    </w:p>
    <w:p w14:paraId="494835CB" w14:textId="77777777" w:rsidR="00B7237D" w:rsidRPr="00B7237D" w:rsidRDefault="00B7237D" w:rsidP="00B7237D">
      <w:pPr>
        <w:widowControl w:val="0"/>
        <w:autoSpaceDE w:val="0"/>
        <w:autoSpaceDN w:val="0"/>
        <w:adjustRightInd w:val="0"/>
        <w:rPr>
          <w:rFonts w:ascii="Helvetica" w:hAnsi="Helvetica" w:cs="Helvetica"/>
          <w:color w:val="0E73C0"/>
          <w:sz w:val="32"/>
          <w:szCs w:val="32"/>
          <w:lang w:val="en-US"/>
          <w14:shadow w14:blurRad="50800" w14:dist="38100" w14:dir="2700000" w14:sx="100000" w14:sy="100000" w14:kx="0" w14:ky="0" w14:algn="tl">
            <w14:srgbClr w14:val="000000">
              <w14:alpha w14:val="60000"/>
            </w14:srgbClr>
          </w14:shadow>
        </w:rPr>
      </w:pPr>
    </w:p>
    <w:p w14:paraId="72447978" w14:textId="77777777" w:rsidR="00B7237D" w:rsidRPr="00B7237D" w:rsidRDefault="00B7237D" w:rsidP="00B7237D">
      <w:pPr>
        <w:widowControl w:val="0"/>
        <w:autoSpaceDE w:val="0"/>
        <w:autoSpaceDN w:val="0"/>
        <w:adjustRightInd w:val="0"/>
        <w:rPr>
          <w:rFonts w:ascii="Helvetica" w:hAnsi="Helvetica" w:cs="Helvetica"/>
          <w:color w:val="262626"/>
          <w:sz w:val="26"/>
          <w:szCs w:val="26"/>
          <w:lang w:val="en-US"/>
          <w14:shadow w14:blurRad="50800" w14:dist="38100" w14:dir="2700000" w14:sx="100000" w14:sy="100000" w14:kx="0" w14:ky="0" w14:algn="tl">
            <w14:srgbClr w14:val="000000">
              <w14:alpha w14:val="60000"/>
            </w14:srgbClr>
          </w14:shadow>
        </w:rPr>
      </w:pPr>
      <w:r w:rsidRPr="00B7237D">
        <w:rPr>
          <w:rFonts w:ascii="Helvetica" w:hAnsi="Helvetica" w:cs="Helvetica"/>
          <w:color w:val="262626"/>
          <w:sz w:val="26"/>
          <w:szCs w:val="26"/>
          <w:lang w:val="en-US"/>
          <w14:shadow w14:blurRad="50800" w14:dist="38100" w14:dir="2700000" w14:sx="100000" w14:sy="100000" w14:kx="0" w14:ky="0" w14:algn="tl">
            <w14:srgbClr w14:val="000000">
              <w14:alpha w14:val="60000"/>
            </w14:srgbClr>
          </w14:shadow>
        </w:rPr>
        <w:t>Vào lúc 10h ngày 28-12, Tập đoàn Dầu khí Việt Nam (PVN) hoàn thành kế hoạch khai thác dầu với 15,02 triệu tấn dầu quy đổi, đánh dấu việc hoàn thành kế hoạch khai thác trong năm 2016.</w:t>
      </w:r>
    </w:p>
    <w:tbl>
      <w:tblPr>
        <w:tblW w:w="0" w:type="auto"/>
        <w:tblInd w:w="-108" w:type="dxa"/>
        <w:tblBorders>
          <w:top w:val="nil"/>
          <w:left w:val="nil"/>
          <w:right w:val="nil"/>
        </w:tblBorders>
        <w:tblLayout w:type="fixed"/>
        <w:tblLook w:val="0000" w:firstRow="0" w:lastRow="0" w:firstColumn="0" w:lastColumn="0" w:noHBand="0" w:noVBand="0"/>
      </w:tblPr>
      <w:tblGrid>
        <w:gridCol w:w="16010"/>
      </w:tblGrid>
      <w:tr w:rsidR="00B7237D" w:rsidRPr="00B7237D" w14:paraId="4F2318EA" w14:textId="77777777">
        <w:tblPrEx>
          <w:tblCellMar>
            <w:top w:w="0" w:type="dxa"/>
            <w:bottom w:w="0" w:type="dxa"/>
          </w:tblCellMar>
        </w:tblPrEx>
        <w:tc>
          <w:tcPr>
            <w:tcW w:w="16010" w:type="dxa"/>
            <w:vAlign w:val="center"/>
          </w:tcPr>
          <w:p w14:paraId="47F4F0CC" w14:textId="77777777" w:rsidR="00B7237D" w:rsidRPr="00B7237D" w:rsidRDefault="00B7237D">
            <w:pPr>
              <w:widowControl w:val="0"/>
              <w:autoSpaceDE w:val="0"/>
              <w:autoSpaceDN w:val="0"/>
              <w:adjustRightInd w:val="0"/>
              <w:rPr>
                <w:rFonts w:ascii="Helvetica" w:hAnsi="Helvetica" w:cs="Helvetica"/>
                <w:color w:val="262626"/>
                <w:sz w:val="26"/>
                <w:szCs w:val="26"/>
                <w:lang w:val="en-US"/>
                <w14:shadow w14:blurRad="50800" w14:dist="38100" w14:dir="2700000" w14:sx="100000" w14:sy="100000" w14:kx="0" w14:ky="0" w14:algn="tl">
                  <w14:srgbClr w14:val="000000">
                    <w14:alpha w14:val="60000"/>
                  </w14:srgbClr>
                </w14:shadow>
              </w:rPr>
            </w:pPr>
            <w:r w:rsidRPr="00B7237D">
              <w:rPr>
                <w:rFonts w:ascii="Helvetica" w:hAnsi="Helvetica" w:cs="Helvetica"/>
                <w:color w:val="262626"/>
                <w:sz w:val="26"/>
                <w:szCs w:val="26"/>
                <w:lang w:val="en-US"/>
                <w14:shadow w14:blurRad="50800" w14:dist="38100" w14:dir="2700000" w14:sx="100000" w14:sy="100000" w14:kx="0" w14:ky="0" w14:algn="tl">
                  <w14:srgbClr w14:val="000000">
                    <w14:alpha w14:val="60000"/>
                  </w14:srgbClr>
                </w14:shadow>
              </w:rPr>
              <w:t>Trước đó, ngày 29/11/2016, Tập đoàn Dầu khí Việt Nam đã hoàn thành chỉ tiêu khai thác 9,608 tỷ m3 khí.</w:t>
            </w:r>
          </w:p>
          <w:p w14:paraId="1AC693DC" w14:textId="77777777" w:rsidR="00B7237D" w:rsidRPr="00B7237D" w:rsidRDefault="00B7237D">
            <w:pPr>
              <w:widowControl w:val="0"/>
              <w:autoSpaceDE w:val="0"/>
              <w:autoSpaceDN w:val="0"/>
              <w:adjustRightInd w:val="0"/>
              <w:rPr>
                <w:rFonts w:ascii="Helvetica" w:hAnsi="Helvetica" w:cs="Helvetica"/>
                <w:color w:val="262626"/>
                <w:sz w:val="26"/>
                <w:szCs w:val="26"/>
                <w:lang w:val="en-US"/>
                <w14:shadow w14:blurRad="50800" w14:dist="38100" w14:dir="2700000" w14:sx="100000" w14:sy="100000" w14:kx="0" w14:ky="0" w14:algn="tl">
                  <w14:srgbClr w14:val="000000">
                    <w14:alpha w14:val="60000"/>
                  </w14:srgbClr>
                </w14:shadow>
              </w:rPr>
            </w:pPr>
            <w:r w:rsidRPr="00B7237D">
              <w:rPr>
                <w:rFonts w:ascii="Helvetica" w:hAnsi="Helvetica" w:cs="Helvetica"/>
                <w:color w:val="262626"/>
                <w:sz w:val="26"/>
                <w:szCs w:val="26"/>
                <w:lang w:val="en-US"/>
                <w14:shadow w14:blurRad="50800" w14:dist="38100" w14:dir="2700000" w14:sx="100000" w14:sy="100000" w14:kx="0" w14:ky="0" w14:algn="tl">
                  <w14:srgbClr w14:val="000000">
                    <w14:alpha w14:val="60000"/>
                  </w14:srgbClr>
                </w14:shadow>
              </w:rPr>
              <w:t> </w:t>
            </w:r>
          </w:p>
        </w:tc>
      </w:tr>
      <w:tr w:rsidR="00B7237D" w:rsidRPr="00B7237D" w14:paraId="646BA24B" w14:textId="77777777">
        <w:tblPrEx>
          <w:tblBorders>
            <w:top w:val="none" w:sz="0" w:space="0" w:color="auto"/>
          </w:tblBorders>
          <w:tblCellMar>
            <w:top w:w="0" w:type="dxa"/>
            <w:bottom w:w="0" w:type="dxa"/>
          </w:tblCellMar>
        </w:tblPrEx>
        <w:tc>
          <w:tcPr>
            <w:tcW w:w="16010" w:type="dxa"/>
            <w:vAlign w:val="center"/>
          </w:tcPr>
          <w:p w14:paraId="107FB97A" w14:textId="77777777" w:rsidR="00B7237D" w:rsidRPr="00B7237D" w:rsidRDefault="00B7237D">
            <w:pPr>
              <w:widowControl w:val="0"/>
              <w:autoSpaceDE w:val="0"/>
              <w:autoSpaceDN w:val="0"/>
              <w:adjustRightInd w:val="0"/>
              <w:jc w:val="center"/>
              <w:rPr>
                <w:rFonts w:ascii="Helvetica" w:hAnsi="Helvetica" w:cs="Helvetica"/>
                <w:color w:val="262626"/>
                <w:sz w:val="26"/>
                <w:szCs w:val="26"/>
                <w:lang w:val="en-US"/>
                <w14:shadow w14:blurRad="50800" w14:dist="38100" w14:dir="2700000" w14:sx="100000" w14:sy="100000" w14:kx="0" w14:ky="0" w14:algn="tl">
                  <w14:srgbClr w14:val="000000">
                    <w14:alpha w14:val="60000"/>
                  </w14:srgbClr>
                </w14:shadow>
              </w:rPr>
            </w:pPr>
            <w:r w:rsidRPr="00B7237D">
              <w:rPr>
                <w:rFonts w:ascii="Helvetica" w:hAnsi="Helvetica" w:cs="Helvetica"/>
                <w:color w:val="262626"/>
                <w:sz w:val="26"/>
                <w:szCs w:val="26"/>
                <w:lang w:val="en-US"/>
                <w14:shadow w14:blurRad="50800" w14:dist="38100" w14:dir="2700000" w14:sx="100000" w14:sy="100000" w14:kx="0" w14:ky="0" w14:algn="tl">
                  <w14:srgbClr w14:val="000000">
                    <w14:alpha w14:val="60000"/>
                  </w14:srgbClr>
                </w14:shadow>
              </w:rPr>
              <w:t> </w:t>
            </w:r>
          </w:p>
          <w:p w14:paraId="0EFB4973" w14:textId="77777777" w:rsidR="00B7237D" w:rsidRPr="00B7237D" w:rsidRDefault="00B7237D">
            <w:pPr>
              <w:widowControl w:val="0"/>
              <w:autoSpaceDE w:val="0"/>
              <w:autoSpaceDN w:val="0"/>
              <w:adjustRightInd w:val="0"/>
              <w:jc w:val="center"/>
              <w:rPr>
                <w:rFonts w:ascii="Helvetica" w:hAnsi="Helvetica" w:cs="Helvetica"/>
                <w:color w:val="262626"/>
                <w:sz w:val="26"/>
                <w:szCs w:val="26"/>
                <w:lang w:val="en-US"/>
                <w14:shadow w14:blurRad="50800" w14:dist="38100" w14:dir="2700000" w14:sx="100000" w14:sy="100000" w14:kx="0" w14:ky="0" w14:algn="tl">
                  <w14:srgbClr w14:val="000000">
                    <w14:alpha w14:val="60000"/>
                  </w14:srgbClr>
                </w14:shadow>
              </w:rPr>
            </w:pPr>
            <w:r w:rsidRPr="00B7237D">
              <w:rPr>
                <w:rFonts w:ascii="Helvetica" w:hAnsi="Helvetica" w:cs="Helvetica"/>
                <w:noProof/>
                <w:color w:val="262626"/>
                <w:sz w:val="26"/>
                <w:szCs w:val="26"/>
                <w:lang w:val="en-US"/>
                <w14:shadow w14:blurRad="50800" w14:dist="38100" w14:dir="2700000" w14:sx="100000" w14:sy="100000" w14:kx="0" w14:ky="0" w14:algn="tl">
                  <w14:srgbClr w14:val="000000">
                    <w14:alpha w14:val="60000"/>
                  </w14:srgbClr>
                </w14:shadow>
              </w:rPr>
              <w:drawing>
                <wp:inline distT="0" distB="0" distL="0" distR="0" wp14:anchorId="6AB3A17B" wp14:editId="0846E54C">
                  <wp:extent cx="8130540" cy="54254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30540" cy="5425440"/>
                          </a:xfrm>
                          <a:prstGeom prst="rect">
                            <a:avLst/>
                          </a:prstGeom>
                          <a:noFill/>
                          <a:ln>
                            <a:noFill/>
                          </a:ln>
                        </pic:spPr>
                      </pic:pic>
                    </a:graphicData>
                  </a:graphic>
                </wp:inline>
              </w:drawing>
            </w:r>
          </w:p>
          <w:p w14:paraId="593D893B" w14:textId="77777777" w:rsidR="00B7237D" w:rsidRPr="00B7237D" w:rsidRDefault="00B7237D">
            <w:pPr>
              <w:widowControl w:val="0"/>
              <w:autoSpaceDE w:val="0"/>
              <w:autoSpaceDN w:val="0"/>
              <w:adjustRightInd w:val="0"/>
              <w:jc w:val="center"/>
              <w:rPr>
                <w:rFonts w:ascii="Helvetica" w:hAnsi="Helvetica" w:cs="Helvetica"/>
                <w:color w:val="262626"/>
                <w:sz w:val="26"/>
                <w:szCs w:val="26"/>
                <w:lang w:val="en-US"/>
                <w14:shadow w14:blurRad="50800" w14:dist="38100" w14:dir="2700000" w14:sx="100000" w14:sy="100000" w14:kx="0" w14:ky="0" w14:algn="tl">
                  <w14:srgbClr w14:val="000000">
                    <w14:alpha w14:val="60000"/>
                  </w14:srgbClr>
                </w14:shadow>
              </w:rPr>
            </w:pPr>
            <w:r w:rsidRPr="00B7237D">
              <w:rPr>
                <w:rFonts w:ascii="Helvetica" w:hAnsi="Helvetica" w:cs="Helvetica"/>
                <w:color w:val="262626"/>
                <w:sz w:val="26"/>
                <w:szCs w:val="26"/>
                <w:lang w:val="en-US"/>
                <w14:shadow w14:blurRad="50800" w14:dist="38100" w14:dir="2700000" w14:sx="100000" w14:sy="100000" w14:kx="0" w14:ky="0" w14:algn="tl">
                  <w14:srgbClr w14:val="000000">
                    <w14:alpha w14:val="60000"/>
                  </w14:srgbClr>
                </w14:shadow>
              </w:rPr>
              <w:t>Tập đoàn Dầu khí Việt Nam hoàn thành chỉ tiêu khai thác năm 2016</w:t>
            </w:r>
          </w:p>
          <w:p w14:paraId="28C68F13" w14:textId="77777777" w:rsidR="00B7237D" w:rsidRPr="00B7237D" w:rsidRDefault="00B7237D">
            <w:pPr>
              <w:widowControl w:val="0"/>
              <w:autoSpaceDE w:val="0"/>
              <w:autoSpaceDN w:val="0"/>
              <w:adjustRightInd w:val="0"/>
              <w:jc w:val="center"/>
              <w:rPr>
                <w:rFonts w:ascii="Helvetica" w:hAnsi="Helvetica" w:cs="Helvetica"/>
                <w:color w:val="262626"/>
                <w:sz w:val="26"/>
                <w:szCs w:val="26"/>
                <w:lang w:val="en-US"/>
                <w14:shadow w14:blurRad="50800" w14:dist="38100" w14:dir="2700000" w14:sx="100000" w14:sy="100000" w14:kx="0" w14:ky="0" w14:algn="tl">
                  <w14:srgbClr w14:val="000000">
                    <w14:alpha w14:val="60000"/>
                  </w14:srgbClr>
                </w14:shadow>
              </w:rPr>
            </w:pPr>
            <w:r w:rsidRPr="00B7237D">
              <w:rPr>
                <w:rFonts w:ascii="Helvetica" w:hAnsi="Helvetica" w:cs="Helvetica"/>
                <w:color w:val="262626"/>
                <w:sz w:val="26"/>
                <w:szCs w:val="26"/>
                <w:lang w:val="en-US"/>
                <w14:shadow w14:blurRad="50800" w14:dist="38100" w14:dir="2700000" w14:sx="100000" w14:sy="100000" w14:kx="0" w14:ky="0" w14:algn="tl">
                  <w14:srgbClr w14:val="000000">
                    <w14:alpha w14:val="60000"/>
                  </w14:srgbClr>
                </w14:shadow>
              </w:rPr>
              <w:t> </w:t>
            </w:r>
          </w:p>
        </w:tc>
      </w:tr>
      <w:tr w:rsidR="00B7237D" w:rsidRPr="00B7237D" w14:paraId="29F30638" w14:textId="77777777">
        <w:tblPrEx>
          <w:tblCellMar>
            <w:top w:w="0" w:type="dxa"/>
            <w:bottom w:w="0" w:type="dxa"/>
          </w:tblCellMar>
        </w:tblPrEx>
        <w:tc>
          <w:tcPr>
            <w:tcW w:w="16010" w:type="dxa"/>
            <w:vAlign w:val="center"/>
          </w:tcPr>
          <w:p w14:paraId="103E01A6" w14:textId="77777777" w:rsidR="00B7237D" w:rsidRPr="00B7237D" w:rsidRDefault="00B7237D">
            <w:pPr>
              <w:widowControl w:val="0"/>
              <w:autoSpaceDE w:val="0"/>
              <w:autoSpaceDN w:val="0"/>
              <w:adjustRightInd w:val="0"/>
              <w:jc w:val="both"/>
              <w:rPr>
                <w:rFonts w:ascii="Helvetica" w:hAnsi="Helvetica" w:cs="Helvetica"/>
                <w:color w:val="262626"/>
                <w:sz w:val="26"/>
                <w:szCs w:val="26"/>
                <w:lang w:val="en-US"/>
                <w14:shadow w14:blurRad="50800" w14:dist="38100" w14:dir="2700000" w14:sx="100000" w14:sy="100000" w14:kx="0" w14:ky="0" w14:algn="tl">
                  <w14:srgbClr w14:val="000000">
                    <w14:alpha w14:val="60000"/>
                  </w14:srgbClr>
                </w14:shadow>
              </w:rPr>
            </w:pPr>
            <w:r w:rsidRPr="00B7237D">
              <w:rPr>
                <w:rFonts w:ascii="Helvetica" w:hAnsi="Helvetica" w:cs="Helvetica"/>
                <w:color w:val="262626"/>
                <w:sz w:val="26"/>
                <w:szCs w:val="26"/>
                <w:lang w:val="en-US"/>
                <w14:shadow w14:blurRad="50800" w14:dist="38100" w14:dir="2700000" w14:sx="100000" w14:sy="100000" w14:kx="0" w14:ky="0" w14:algn="tl">
                  <w14:srgbClr w14:val="000000">
                    <w14:alpha w14:val="60000"/>
                  </w14:srgbClr>
                </w14:shadow>
              </w:rPr>
              <w:t>Trong bối cảnh giá dầu năm 2016 rất thấp (trung bình 44$/</w:t>
            </w:r>
            <w:proofErr w:type="gramStart"/>
            <w:r w:rsidRPr="00B7237D">
              <w:rPr>
                <w:rFonts w:ascii="Helvetica" w:hAnsi="Helvetica" w:cs="Helvetica"/>
                <w:color w:val="262626"/>
                <w:sz w:val="26"/>
                <w:szCs w:val="26"/>
                <w:lang w:val="en-US"/>
                <w14:shadow w14:blurRad="50800" w14:dist="38100" w14:dir="2700000" w14:sx="100000" w14:sy="100000" w14:kx="0" w14:ky="0" w14:algn="tl">
                  <w14:srgbClr w14:val="000000">
                    <w14:alpha w14:val="60000"/>
                  </w14:srgbClr>
                </w14:shadow>
              </w:rPr>
              <w:t>thùng)  nên</w:t>
            </w:r>
            <w:proofErr w:type="gramEnd"/>
            <w:r w:rsidRPr="00B7237D">
              <w:rPr>
                <w:rFonts w:ascii="Helvetica" w:hAnsi="Helvetica" w:cs="Helvetica"/>
                <w:color w:val="262626"/>
                <w:sz w:val="26"/>
                <w:szCs w:val="26"/>
                <w:lang w:val="en-US"/>
                <w14:shadow w14:blurRad="50800" w14:dist="38100" w14:dir="2700000" w14:sx="100000" w14:sy="100000" w14:kx="0" w14:ky="0" w14:algn="tl">
                  <w14:srgbClr w14:val="000000">
                    <w14:alpha w14:val="60000"/>
                  </w14:srgbClr>
                </w14:shadow>
              </w:rPr>
              <w:t xml:space="preserve"> hoạt động vận hành khai thác của Tập đoàn Dầu khí Việt Nam gặp rất nhiều khó khăn, một số mỏ có nguy cơ phải dừng khai thác và toàn bộ các mỏ phải cắt giảm chi phí tối đa. Với những nỗ lực vượt bậc, </w:t>
            </w:r>
            <w:r w:rsidRPr="00B7237D">
              <w:rPr>
                <w:rFonts w:ascii="Helvetica" w:hAnsi="Helvetica" w:cs="Helvetica"/>
                <w:color w:val="262626"/>
                <w:sz w:val="26"/>
                <w:szCs w:val="26"/>
                <w:lang w:val="en-US"/>
                <w14:shadow w14:blurRad="50800" w14:dist="38100" w14:dir="2700000" w14:sx="100000" w14:sy="100000" w14:kx="0" w14:ky="0" w14:algn="tl">
                  <w14:srgbClr w14:val="000000">
                    <w14:alpha w14:val="60000"/>
                  </w14:srgbClr>
                </w14:shadow>
              </w:rPr>
              <w:lastRenderedPageBreak/>
              <w:t>Tập đoàn đã chỉ đạo các đơn vị tập trung phương tiện, nhân lực, thực hiện mọi giải pháp để hoàn thành và vượt kế hoạch khai thác dầu khí.</w:t>
            </w:r>
          </w:p>
          <w:p w14:paraId="35D1EE15" w14:textId="77777777" w:rsidR="00B7237D" w:rsidRPr="00B7237D" w:rsidRDefault="00B7237D">
            <w:pPr>
              <w:widowControl w:val="0"/>
              <w:autoSpaceDE w:val="0"/>
              <w:autoSpaceDN w:val="0"/>
              <w:adjustRightInd w:val="0"/>
              <w:jc w:val="both"/>
              <w:rPr>
                <w:rFonts w:ascii="Helvetica" w:hAnsi="Helvetica" w:cs="Helvetica"/>
                <w:color w:val="262626"/>
                <w:sz w:val="26"/>
                <w:szCs w:val="26"/>
                <w:lang w:val="en-US"/>
                <w14:shadow w14:blurRad="50800" w14:dist="38100" w14:dir="2700000" w14:sx="100000" w14:sy="100000" w14:kx="0" w14:ky="0" w14:algn="tl">
                  <w14:srgbClr w14:val="000000">
                    <w14:alpha w14:val="60000"/>
                  </w14:srgbClr>
                </w14:shadow>
              </w:rPr>
            </w:pPr>
            <w:r w:rsidRPr="00B7237D">
              <w:rPr>
                <w:rFonts w:ascii="Helvetica" w:hAnsi="Helvetica" w:cs="Helvetica"/>
                <w:color w:val="262626"/>
                <w:sz w:val="26"/>
                <w:szCs w:val="26"/>
                <w:lang w:val="en-US"/>
                <w14:shadow w14:blurRad="50800" w14:dist="38100" w14:dir="2700000" w14:sx="100000" w14:sy="100000" w14:kx="0" w14:ky="0" w14:algn="tl">
                  <w14:srgbClr w14:val="000000">
                    <w14:alpha w14:val="60000"/>
                  </w14:srgbClr>
                </w14:shadow>
              </w:rPr>
              <w:t> </w:t>
            </w:r>
          </w:p>
          <w:p w14:paraId="51A77EFC" w14:textId="77777777" w:rsidR="00B7237D" w:rsidRPr="00B7237D" w:rsidRDefault="00B7237D">
            <w:pPr>
              <w:widowControl w:val="0"/>
              <w:autoSpaceDE w:val="0"/>
              <w:autoSpaceDN w:val="0"/>
              <w:adjustRightInd w:val="0"/>
              <w:jc w:val="both"/>
              <w:rPr>
                <w:rFonts w:ascii="Helvetica" w:hAnsi="Helvetica" w:cs="Helvetica"/>
                <w:color w:val="262626"/>
                <w:sz w:val="26"/>
                <w:szCs w:val="26"/>
                <w:lang w:val="en-US"/>
                <w14:shadow w14:blurRad="50800" w14:dist="38100" w14:dir="2700000" w14:sx="100000" w14:sy="100000" w14:kx="0" w14:ky="0" w14:algn="tl">
                  <w14:srgbClr w14:val="000000">
                    <w14:alpha w14:val="60000"/>
                  </w14:srgbClr>
                </w14:shadow>
              </w:rPr>
            </w:pPr>
            <w:r w:rsidRPr="00B7237D">
              <w:rPr>
                <w:rFonts w:ascii="Helvetica" w:hAnsi="Helvetica" w:cs="Helvetica"/>
                <w:color w:val="262626"/>
                <w:sz w:val="26"/>
                <w:szCs w:val="26"/>
                <w:lang w:val="en-US"/>
                <w14:shadow w14:blurRad="50800" w14:dist="38100" w14:dir="2700000" w14:sx="100000" w14:sy="100000" w14:kx="0" w14:ky="0" w14:algn="tl">
                  <w14:srgbClr w14:val="000000">
                    <w14:alpha w14:val="60000"/>
                  </w14:srgbClr>
                </w14:shadow>
              </w:rPr>
              <w:t>Tập đoàn đã chủ động và kịp thời thực hiện các giải pháp đảm bảo sản lượng khai thác tại hơn 30 mỏ dầu khí trong nước như:  thực hiện các biện pháp nâng cao hệ số thu hồi dầu, nâng cao hệ số vận hành khai thác, thực hiện tốt công tác sửa chữa, bảo dưỡng duy trì thiết bị, đưa vào khai thác tại 2 mỏ/công trình mới (RC-9 và Thiên Ưng, trong đó công trình giàn RC-9 vào sớm hơn kế hoạch 70 ngày)... Phần lớn các mỏ đều hoàn thành nhiệm vụ sản xuất, đạt hoặc vượt mức kế hoạch đề ra về khai thác dầu và khí.</w:t>
            </w:r>
          </w:p>
          <w:p w14:paraId="21BF5DD8" w14:textId="77777777" w:rsidR="00B7237D" w:rsidRPr="00B7237D" w:rsidRDefault="00B7237D">
            <w:pPr>
              <w:widowControl w:val="0"/>
              <w:autoSpaceDE w:val="0"/>
              <w:autoSpaceDN w:val="0"/>
              <w:adjustRightInd w:val="0"/>
              <w:jc w:val="both"/>
              <w:rPr>
                <w:rFonts w:ascii="Helvetica" w:hAnsi="Helvetica" w:cs="Helvetica"/>
                <w:color w:val="262626"/>
                <w:sz w:val="26"/>
                <w:szCs w:val="26"/>
                <w:lang w:val="en-US"/>
                <w14:shadow w14:blurRad="50800" w14:dist="38100" w14:dir="2700000" w14:sx="100000" w14:sy="100000" w14:kx="0" w14:ky="0" w14:algn="tl">
                  <w14:srgbClr w14:val="000000">
                    <w14:alpha w14:val="60000"/>
                  </w14:srgbClr>
                </w14:shadow>
              </w:rPr>
            </w:pPr>
            <w:r w:rsidRPr="00B7237D">
              <w:rPr>
                <w:rFonts w:ascii="Helvetica" w:hAnsi="Helvetica" w:cs="Helvetica"/>
                <w:color w:val="262626"/>
                <w:sz w:val="26"/>
                <w:szCs w:val="26"/>
                <w:lang w:val="en-US"/>
                <w14:shadow w14:blurRad="50800" w14:dist="38100" w14:dir="2700000" w14:sx="100000" w14:sy="100000" w14:kx="0" w14:ky="0" w14:algn="tl">
                  <w14:srgbClr w14:val="000000">
                    <w14:alpha w14:val="60000"/>
                  </w14:srgbClr>
                </w14:shadow>
              </w:rPr>
              <w:t> </w:t>
            </w:r>
          </w:p>
          <w:p w14:paraId="457FE835" w14:textId="77777777" w:rsidR="00B7237D" w:rsidRPr="00B7237D" w:rsidRDefault="00B7237D">
            <w:pPr>
              <w:widowControl w:val="0"/>
              <w:autoSpaceDE w:val="0"/>
              <w:autoSpaceDN w:val="0"/>
              <w:adjustRightInd w:val="0"/>
              <w:jc w:val="both"/>
              <w:rPr>
                <w:rFonts w:ascii="Helvetica" w:hAnsi="Helvetica" w:cs="Helvetica"/>
                <w:color w:val="262626"/>
                <w:sz w:val="26"/>
                <w:szCs w:val="26"/>
                <w:lang w:val="en-US"/>
                <w14:shadow w14:blurRad="50800" w14:dist="38100" w14:dir="2700000" w14:sx="100000" w14:sy="100000" w14:kx="0" w14:ky="0" w14:algn="tl">
                  <w14:srgbClr w14:val="000000">
                    <w14:alpha w14:val="60000"/>
                  </w14:srgbClr>
                </w14:shadow>
              </w:rPr>
            </w:pPr>
            <w:r w:rsidRPr="00B7237D">
              <w:rPr>
                <w:rFonts w:ascii="Helvetica" w:hAnsi="Helvetica" w:cs="Helvetica"/>
                <w:color w:val="262626"/>
                <w:sz w:val="26"/>
                <w:szCs w:val="26"/>
                <w:lang w:val="en-US"/>
                <w14:shadow w14:blurRad="50800" w14:dist="38100" w14:dir="2700000" w14:sx="100000" w14:sy="100000" w14:kx="0" w14:ky="0" w14:algn="tl">
                  <w14:srgbClr w14:val="000000">
                    <w14:alpha w14:val="60000"/>
                  </w14:srgbClr>
                </w14:shadow>
              </w:rPr>
              <w:t>Việc vượt kế hoạch khai thác năm 2016 chủ yếu do Tập đoàn đã thực hiện tốt công tác quản lý mỏ, tối ưu khai thác cũng như một số mỏ có trạng thái khai thác tốt hơn so với dự kiến. Ngoài ra các hoạt động sửa chữa, bảo dưỡng tại các dự án được thực hiện rút ngắn thời gian so với kế hoạch.</w:t>
            </w:r>
          </w:p>
          <w:p w14:paraId="56FC10B2" w14:textId="77777777" w:rsidR="00B7237D" w:rsidRPr="00B7237D" w:rsidRDefault="00B7237D">
            <w:pPr>
              <w:widowControl w:val="0"/>
              <w:autoSpaceDE w:val="0"/>
              <w:autoSpaceDN w:val="0"/>
              <w:adjustRightInd w:val="0"/>
              <w:jc w:val="both"/>
              <w:rPr>
                <w:rFonts w:ascii="Helvetica" w:hAnsi="Helvetica" w:cs="Helvetica"/>
                <w:color w:val="262626"/>
                <w:sz w:val="26"/>
                <w:szCs w:val="26"/>
                <w:lang w:val="en-US"/>
                <w14:shadow w14:blurRad="50800" w14:dist="38100" w14:dir="2700000" w14:sx="100000" w14:sy="100000" w14:kx="0" w14:ky="0" w14:algn="tl">
                  <w14:srgbClr w14:val="000000">
                    <w14:alpha w14:val="60000"/>
                  </w14:srgbClr>
                </w14:shadow>
              </w:rPr>
            </w:pPr>
            <w:r w:rsidRPr="00B7237D">
              <w:rPr>
                <w:rFonts w:ascii="Helvetica" w:hAnsi="Helvetica" w:cs="Helvetica"/>
                <w:color w:val="262626"/>
                <w:sz w:val="26"/>
                <w:szCs w:val="26"/>
                <w:lang w:val="en-US"/>
                <w14:shadow w14:blurRad="50800" w14:dist="38100" w14:dir="2700000" w14:sx="100000" w14:sy="100000" w14:kx="0" w14:ky="0" w14:algn="tl">
                  <w14:srgbClr w14:val="000000">
                    <w14:alpha w14:val="60000"/>
                  </w14:srgbClr>
                </w14:shadow>
              </w:rPr>
              <w:t> </w:t>
            </w:r>
          </w:p>
          <w:p w14:paraId="1F195588" w14:textId="77777777" w:rsidR="00B7237D" w:rsidRPr="00B7237D" w:rsidRDefault="00B7237D">
            <w:pPr>
              <w:widowControl w:val="0"/>
              <w:autoSpaceDE w:val="0"/>
              <w:autoSpaceDN w:val="0"/>
              <w:adjustRightInd w:val="0"/>
              <w:jc w:val="both"/>
              <w:rPr>
                <w:rFonts w:ascii="Helvetica" w:hAnsi="Helvetica" w:cs="Helvetica"/>
                <w:color w:val="262626"/>
                <w:sz w:val="26"/>
                <w:szCs w:val="26"/>
                <w:lang w:val="en-US"/>
                <w14:shadow w14:blurRad="50800" w14:dist="38100" w14:dir="2700000" w14:sx="100000" w14:sy="100000" w14:kx="0" w14:ky="0" w14:algn="tl">
                  <w14:srgbClr w14:val="000000">
                    <w14:alpha w14:val="60000"/>
                  </w14:srgbClr>
                </w14:shadow>
              </w:rPr>
            </w:pPr>
            <w:r w:rsidRPr="00B7237D">
              <w:rPr>
                <w:rFonts w:ascii="Helvetica" w:hAnsi="Helvetica" w:cs="Helvetica"/>
                <w:color w:val="262626"/>
                <w:sz w:val="26"/>
                <w:szCs w:val="26"/>
                <w:lang w:val="en-US"/>
                <w14:shadow w14:blurRad="50800" w14:dist="38100" w14:dir="2700000" w14:sx="100000" w14:sy="100000" w14:kx="0" w14:ky="0" w14:algn="tl">
                  <w14:srgbClr w14:val="000000">
                    <w14:alpha w14:val="60000"/>
                  </w14:srgbClr>
                </w14:shadow>
              </w:rPr>
              <w:t>Song song với đó, Tập đoàn nhận được sự hỗ trợ kịp thời của các cơ quan quản lý trong việc phê duyệt các công việc bổ sung, góp phần gia tăng sản lượng khai thác. Năm 2016 là năm thứ 8 liên tiếp Tập đoàn Dầu khí Việt Nam hoàn thành vượt mức kế hoạch sản lượng khai thác, cụ thể, tổng sản lượng khai thác đạt khoảng 27,73 triệu tấn dầu quy đổi, trong đó sản lượng dầu dự kiến vượt 7,3% và khí vượt 9,7% so với kế hoạch Chính phủ giao</w:t>
            </w:r>
          </w:p>
        </w:tc>
      </w:tr>
    </w:tbl>
    <w:p w14:paraId="6B425494" w14:textId="77777777" w:rsidR="002615F8" w:rsidRDefault="00B7237D"/>
    <w:sectPr w:rsidR="002615F8" w:rsidSect="000A7D8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37D"/>
    <w:rsid w:val="00071EE6"/>
    <w:rsid w:val="000A7D8D"/>
    <w:rsid w:val="004F2D78"/>
    <w:rsid w:val="00585B86"/>
    <w:rsid w:val="006B0C8A"/>
    <w:rsid w:val="008F1A11"/>
    <w:rsid w:val="00A85F8B"/>
    <w:rsid w:val="00B7237D"/>
    <w:rsid w:val="00BF6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0EFA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1775</Characters>
  <Application>Microsoft Macintosh Word</Application>
  <DocSecurity>0</DocSecurity>
  <Lines>14</Lines>
  <Paragraphs>4</Paragraphs>
  <ScaleCrop>false</ScaleCrop>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Vo Phuong Bui</dc:creator>
  <cp:keywords/>
  <dc:description/>
  <cp:lastModifiedBy>Thao Vo Phuong Bui</cp:lastModifiedBy>
  <cp:revision>1</cp:revision>
  <dcterms:created xsi:type="dcterms:W3CDTF">2017-02-17T11:47:00Z</dcterms:created>
  <dcterms:modified xsi:type="dcterms:W3CDTF">2017-02-17T11:48:00Z</dcterms:modified>
</cp:coreProperties>
</file>