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269" w:rsidRPr="00164269" w:rsidRDefault="00164269" w:rsidP="00164269">
      <w:pPr>
        <w:pStyle w:val="Heading3"/>
        <w:spacing w:line="276" w:lineRule="auto"/>
        <w:rPr>
          <w:sz w:val="24"/>
          <w:szCs w:val="24"/>
        </w:rPr>
      </w:pPr>
      <w:bookmarkStart w:id="0" w:name="_Toc307391582"/>
      <w:r w:rsidRPr="00164269">
        <w:rPr>
          <w:sz w:val="24"/>
          <w:szCs w:val="24"/>
        </w:rPr>
        <w:t>Petroleum</w:t>
      </w:r>
      <w:bookmarkEnd w:id="0"/>
    </w:p>
    <w:p w:rsidR="00164269" w:rsidRPr="00164269" w:rsidRDefault="00164269" w:rsidP="00164269">
      <w:pPr>
        <w:pStyle w:val="BodyText"/>
        <w:spacing w:line="276" w:lineRule="auto"/>
        <w:rPr>
          <w:sz w:val="24"/>
          <w:szCs w:val="24"/>
        </w:rPr>
      </w:pPr>
      <w:r w:rsidRPr="00164269">
        <w:rPr>
          <w:sz w:val="24"/>
          <w:szCs w:val="24"/>
        </w:rPr>
        <w:t xml:space="preserve">The petroleum subsector dominates the Kuwaiti economy, accounting for nearly half of GDP, 95% of export revenues, and 84% of government income (Chapter </w:t>
      </w:r>
      <w:proofErr w:type="gramStart"/>
      <w:r w:rsidRPr="00164269">
        <w:rPr>
          <w:sz w:val="24"/>
          <w:szCs w:val="24"/>
        </w:rPr>
        <w:t>I(</w:t>
      </w:r>
      <w:proofErr w:type="gramEnd"/>
      <w:r w:rsidRPr="00164269">
        <w:rPr>
          <w:sz w:val="24"/>
          <w:szCs w:val="24"/>
        </w:rPr>
        <w:t>1)).</w:t>
      </w:r>
      <w:r w:rsidRPr="00164269">
        <w:rPr>
          <w:rStyle w:val="FootnoteReference"/>
          <w:sz w:val="24"/>
          <w:szCs w:val="24"/>
        </w:rPr>
        <w:footnoteReference w:id="1"/>
      </w:r>
      <w:r w:rsidRPr="00164269">
        <w:rPr>
          <w:sz w:val="24"/>
          <w:szCs w:val="24"/>
        </w:rPr>
        <w:t xml:space="preserve">  In 2010, Kuwait was the world's ninth-largest oil producer and the fourth-largest producer in the Organization of the Petroleum Exporting Countries (OPEC).  Kuwait's estimates of proven crude oil reserves are 101.5 billion barrels, equivalent to almost 8% of the world's reserves.</w:t>
      </w:r>
      <w:r w:rsidRPr="00164269">
        <w:rPr>
          <w:sz w:val="24"/>
          <w:szCs w:val="24"/>
          <w:vertAlign w:val="superscript"/>
        </w:rPr>
        <w:footnoteReference w:id="2"/>
      </w:r>
      <w:r w:rsidRPr="00164269">
        <w:rPr>
          <w:sz w:val="24"/>
          <w:szCs w:val="24"/>
        </w:rPr>
        <w:t xml:space="preserve">  In 2010, OPEC allocated an oil production quota of about 2.3 million barrels per day (</w:t>
      </w:r>
      <w:proofErr w:type="spellStart"/>
      <w:r w:rsidRPr="00164269">
        <w:rPr>
          <w:sz w:val="24"/>
          <w:szCs w:val="24"/>
        </w:rPr>
        <w:t>mmbd</w:t>
      </w:r>
      <w:proofErr w:type="spellEnd"/>
      <w:r w:rsidRPr="00164269">
        <w:rPr>
          <w:sz w:val="24"/>
          <w:szCs w:val="24"/>
        </w:rPr>
        <w:t>) to Kuwait.</w:t>
      </w:r>
    </w:p>
    <w:p w:rsidR="00164269" w:rsidRPr="00164269" w:rsidRDefault="00164269" w:rsidP="00164269">
      <w:pPr>
        <w:pStyle w:val="BodyText"/>
        <w:spacing w:line="276" w:lineRule="auto"/>
        <w:rPr>
          <w:sz w:val="24"/>
          <w:szCs w:val="24"/>
        </w:rPr>
      </w:pPr>
      <w:r w:rsidRPr="00164269">
        <w:rPr>
          <w:sz w:val="24"/>
          <w:szCs w:val="24"/>
        </w:rPr>
        <w:t xml:space="preserve">The majority of Kuwait's oil reserves are located south of Kuwait City in the Greater Burgan area (the Burgan, </w:t>
      </w:r>
      <w:proofErr w:type="spellStart"/>
      <w:r w:rsidRPr="00164269">
        <w:rPr>
          <w:sz w:val="24"/>
          <w:szCs w:val="24"/>
        </w:rPr>
        <w:t>Magwa</w:t>
      </w:r>
      <w:proofErr w:type="spellEnd"/>
      <w:r w:rsidRPr="00164269">
        <w:rPr>
          <w:sz w:val="24"/>
          <w:szCs w:val="24"/>
        </w:rPr>
        <w:t xml:space="preserve"> and Ahmadi onshore fields).</w:t>
      </w:r>
      <w:r w:rsidRPr="00164269">
        <w:rPr>
          <w:sz w:val="24"/>
          <w:szCs w:val="24"/>
          <w:vertAlign w:val="superscript"/>
        </w:rPr>
        <w:footnoteReference w:id="3"/>
      </w:r>
      <w:r w:rsidRPr="00164269">
        <w:rPr>
          <w:sz w:val="24"/>
          <w:szCs w:val="24"/>
        </w:rPr>
        <w:t xml:space="preserve">  Other notable fields include South </w:t>
      </w:r>
      <w:proofErr w:type="spellStart"/>
      <w:r w:rsidRPr="00164269">
        <w:rPr>
          <w:sz w:val="24"/>
          <w:szCs w:val="24"/>
        </w:rPr>
        <w:t>Magwa</w:t>
      </w:r>
      <w:proofErr w:type="spellEnd"/>
      <w:r w:rsidRPr="00164269">
        <w:rPr>
          <w:sz w:val="24"/>
          <w:szCs w:val="24"/>
        </w:rPr>
        <w:t xml:space="preserve">, </w:t>
      </w:r>
      <w:proofErr w:type="spellStart"/>
      <w:r w:rsidRPr="00164269">
        <w:rPr>
          <w:sz w:val="24"/>
          <w:szCs w:val="24"/>
        </w:rPr>
        <w:t>Raudhatain</w:t>
      </w:r>
      <w:proofErr w:type="spellEnd"/>
      <w:r w:rsidRPr="00164269">
        <w:rPr>
          <w:sz w:val="24"/>
          <w:szCs w:val="24"/>
        </w:rPr>
        <w:t xml:space="preserve">, Umm </w:t>
      </w:r>
      <w:proofErr w:type="spellStart"/>
      <w:r w:rsidRPr="00164269">
        <w:rPr>
          <w:sz w:val="24"/>
          <w:szCs w:val="24"/>
        </w:rPr>
        <w:t>Gudair</w:t>
      </w:r>
      <w:proofErr w:type="spellEnd"/>
      <w:r w:rsidRPr="00164269">
        <w:rPr>
          <w:sz w:val="24"/>
          <w:szCs w:val="24"/>
        </w:rPr>
        <w:t xml:space="preserve">, </w:t>
      </w:r>
      <w:proofErr w:type="spellStart"/>
      <w:r w:rsidRPr="00164269">
        <w:rPr>
          <w:sz w:val="24"/>
          <w:szCs w:val="24"/>
        </w:rPr>
        <w:t>Minagish</w:t>
      </w:r>
      <w:proofErr w:type="spellEnd"/>
      <w:r w:rsidRPr="00164269">
        <w:rPr>
          <w:sz w:val="24"/>
          <w:szCs w:val="24"/>
        </w:rPr>
        <w:t xml:space="preserve">, and </w:t>
      </w:r>
      <w:proofErr w:type="spellStart"/>
      <w:r w:rsidRPr="00164269">
        <w:rPr>
          <w:sz w:val="24"/>
          <w:szCs w:val="24"/>
        </w:rPr>
        <w:t>Abdaliya</w:t>
      </w:r>
      <w:proofErr w:type="spellEnd"/>
      <w:r w:rsidRPr="00164269">
        <w:rPr>
          <w:sz w:val="24"/>
          <w:szCs w:val="24"/>
        </w:rPr>
        <w:t>.  In addition, Kuwait shares the oil found in the Partitioned Neutral Zone (Divided Zone and Neutral Zone) with Saudi Arabia on a 50-50 basis.</w:t>
      </w:r>
      <w:r w:rsidRPr="00164269">
        <w:rPr>
          <w:sz w:val="24"/>
          <w:szCs w:val="24"/>
          <w:vertAlign w:val="superscript"/>
        </w:rPr>
        <w:footnoteReference w:id="4"/>
      </w:r>
      <w:r w:rsidRPr="00164269">
        <w:rPr>
          <w:sz w:val="24"/>
          <w:szCs w:val="24"/>
        </w:rPr>
        <w:t xml:space="preserve"> Kuwait boasts more than twelve developed oil fields spread all over the country.</w:t>
      </w:r>
    </w:p>
    <w:p w:rsidR="00164269" w:rsidRPr="00164269" w:rsidRDefault="00164269" w:rsidP="00164269">
      <w:pPr>
        <w:pStyle w:val="BodyText"/>
        <w:spacing w:line="276" w:lineRule="auto"/>
        <w:rPr>
          <w:sz w:val="24"/>
          <w:szCs w:val="24"/>
        </w:rPr>
      </w:pPr>
      <w:r w:rsidRPr="00164269">
        <w:rPr>
          <w:sz w:val="24"/>
          <w:szCs w:val="24"/>
        </w:rPr>
        <w:t xml:space="preserve">In 2010, Kuwait's crude oil production increased by 2.3% to 2.312 </w:t>
      </w:r>
      <w:proofErr w:type="spellStart"/>
      <w:r w:rsidRPr="00164269">
        <w:rPr>
          <w:sz w:val="24"/>
          <w:szCs w:val="24"/>
        </w:rPr>
        <w:t>mmbd</w:t>
      </w:r>
      <w:proofErr w:type="spellEnd"/>
      <w:r w:rsidRPr="00164269">
        <w:rPr>
          <w:sz w:val="24"/>
          <w:szCs w:val="24"/>
        </w:rPr>
        <w:t>, compared to 2.261 </w:t>
      </w:r>
      <w:proofErr w:type="spellStart"/>
      <w:r w:rsidRPr="00164269">
        <w:rPr>
          <w:sz w:val="24"/>
          <w:szCs w:val="24"/>
        </w:rPr>
        <w:t>mmbd</w:t>
      </w:r>
      <w:proofErr w:type="spellEnd"/>
      <w:r w:rsidRPr="00164269">
        <w:rPr>
          <w:sz w:val="24"/>
          <w:szCs w:val="24"/>
        </w:rPr>
        <w:t xml:space="preserve"> in 2009.  Kuwait exported 1.430 </w:t>
      </w:r>
      <w:proofErr w:type="spellStart"/>
      <w:r w:rsidRPr="00164269">
        <w:rPr>
          <w:sz w:val="24"/>
          <w:szCs w:val="24"/>
        </w:rPr>
        <w:t>mmbd</w:t>
      </w:r>
      <w:proofErr w:type="spellEnd"/>
      <w:r w:rsidRPr="00164269">
        <w:rPr>
          <w:sz w:val="24"/>
          <w:szCs w:val="24"/>
        </w:rPr>
        <w:t xml:space="preserve"> of crude oil in 2010, representing around 61.8% of total crude oil production.  Production of refined petroleum products</w:t>
      </w:r>
      <w:r w:rsidRPr="00164269">
        <w:rPr>
          <w:rStyle w:val="FootnoteReference"/>
          <w:sz w:val="24"/>
          <w:szCs w:val="24"/>
        </w:rPr>
        <w:footnoteReference w:id="5"/>
      </w:r>
      <w:r w:rsidRPr="00164269">
        <w:rPr>
          <w:sz w:val="24"/>
          <w:szCs w:val="24"/>
        </w:rPr>
        <w:t xml:space="preserve"> accounted for 979.4 </w:t>
      </w:r>
      <w:proofErr w:type="spellStart"/>
      <w:r w:rsidRPr="00164269">
        <w:rPr>
          <w:sz w:val="24"/>
          <w:szCs w:val="24"/>
        </w:rPr>
        <w:t>mmbd</w:t>
      </w:r>
      <w:proofErr w:type="spellEnd"/>
      <w:r w:rsidRPr="00164269">
        <w:rPr>
          <w:sz w:val="24"/>
          <w:szCs w:val="24"/>
        </w:rPr>
        <w:t xml:space="preserve"> in 2010, out of which domestic consumption was 260.4 </w:t>
      </w:r>
      <w:proofErr w:type="spellStart"/>
      <w:r w:rsidRPr="00164269">
        <w:rPr>
          <w:sz w:val="24"/>
          <w:szCs w:val="24"/>
        </w:rPr>
        <w:t>mmbd</w:t>
      </w:r>
      <w:proofErr w:type="spellEnd"/>
      <w:r w:rsidRPr="00164269">
        <w:rPr>
          <w:sz w:val="24"/>
          <w:szCs w:val="24"/>
        </w:rPr>
        <w:t xml:space="preserve"> and exports accounted for 631.6 </w:t>
      </w:r>
      <w:proofErr w:type="spellStart"/>
      <w:r w:rsidRPr="00164269">
        <w:rPr>
          <w:sz w:val="24"/>
          <w:szCs w:val="24"/>
        </w:rPr>
        <w:t>mmbd</w:t>
      </w:r>
      <w:proofErr w:type="spellEnd"/>
      <w:proofErr w:type="gramStart"/>
      <w:r w:rsidRPr="00164269">
        <w:rPr>
          <w:sz w:val="24"/>
          <w:szCs w:val="24"/>
        </w:rPr>
        <w:t>;  representing</w:t>
      </w:r>
      <w:proofErr w:type="gramEnd"/>
      <w:r w:rsidRPr="00164269">
        <w:rPr>
          <w:sz w:val="24"/>
          <w:szCs w:val="24"/>
        </w:rPr>
        <w:t xml:space="preserve"> 26.5% and 64.4% respectively.</w:t>
      </w:r>
    </w:p>
    <w:p w:rsidR="00164269" w:rsidRPr="00164269" w:rsidRDefault="00164269" w:rsidP="00164269">
      <w:pPr>
        <w:pStyle w:val="BodyText"/>
        <w:spacing w:line="276" w:lineRule="auto"/>
        <w:rPr>
          <w:sz w:val="24"/>
          <w:szCs w:val="24"/>
        </w:rPr>
      </w:pPr>
      <w:r w:rsidRPr="00164269">
        <w:rPr>
          <w:sz w:val="24"/>
          <w:szCs w:val="24"/>
        </w:rPr>
        <w:t>The Supreme Petroleum Council (</w:t>
      </w:r>
      <w:smartTag w:uri="urn:schemas-microsoft-com:office:smarttags" w:element="stockticker">
        <w:r w:rsidRPr="00164269">
          <w:rPr>
            <w:sz w:val="24"/>
            <w:szCs w:val="24"/>
          </w:rPr>
          <w:t>SPC</w:t>
        </w:r>
      </w:smartTag>
      <w:r w:rsidRPr="00164269">
        <w:rPr>
          <w:sz w:val="24"/>
          <w:szCs w:val="24"/>
        </w:rPr>
        <w:t xml:space="preserve">) is the highest policy </w:t>
      </w:r>
      <w:proofErr w:type="gramStart"/>
      <w:r w:rsidRPr="00164269">
        <w:rPr>
          <w:sz w:val="24"/>
          <w:szCs w:val="24"/>
        </w:rPr>
        <w:t>body which</w:t>
      </w:r>
      <w:proofErr w:type="gramEnd"/>
      <w:r w:rsidRPr="00164269">
        <w:rPr>
          <w:sz w:val="24"/>
          <w:szCs w:val="24"/>
        </w:rPr>
        <w:t xml:space="preserve"> oversees Kuwait's overall petroleum and gas sector.</w:t>
      </w:r>
      <w:r w:rsidRPr="00164269">
        <w:rPr>
          <w:rStyle w:val="FootnoteReference"/>
          <w:sz w:val="24"/>
          <w:szCs w:val="24"/>
        </w:rPr>
        <w:footnoteReference w:id="6"/>
      </w:r>
      <w:r w:rsidRPr="00164269">
        <w:rPr>
          <w:sz w:val="24"/>
          <w:szCs w:val="24"/>
        </w:rPr>
        <w:t xml:space="preserve">  The Council sets general oil and gas policy within the framework of the national economic and social development plan</w:t>
      </w:r>
      <w:proofErr w:type="gramStart"/>
      <w:r w:rsidRPr="00164269">
        <w:rPr>
          <w:sz w:val="24"/>
          <w:szCs w:val="24"/>
        </w:rPr>
        <w:t>;  is</w:t>
      </w:r>
      <w:proofErr w:type="gramEnd"/>
      <w:r w:rsidRPr="00164269">
        <w:rPr>
          <w:sz w:val="24"/>
          <w:szCs w:val="24"/>
        </w:rPr>
        <w:t xml:space="preserve"> chaired by the Prime Minister and meets at least four times a year.  The Ministry of Oil is the main regulator of the oil and gas sector in Kuwait and exercises policy-making powers in conjunction with the </w:t>
      </w:r>
      <w:smartTag w:uri="urn:schemas-microsoft-com:office:smarttags" w:element="stockticker">
        <w:r w:rsidRPr="00164269">
          <w:rPr>
            <w:sz w:val="24"/>
            <w:szCs w:val="24"/>
          </w:rPr>
          <w:t>SPC</w:t>
        </w:r>
      </w:smartTag>
      <w:r w:rsidRPr="00164269">
        <w:rPr>
          <w:sz w:val="24"/>
          <w:szCs w:val="24"/>
        </w:rPr>
        <w:t>.  The Minister of oil oversees the Kuwait Petroleum Corporation (KPC), chairs the Board of its directors and is a member of the Supreme Petroleum Council.</w:t>
      </w:r>
    </w:p>
    <w:p w:rsidR="00164269" w:rsidRPr="00164269" w:rsidRDefault="00164269" w:rsidP="00164269">
      <w:pPr>
        <w:pStyle w:val="BodyText"/>
        <w:spacing w:line="276" w:lineRule="auto"/>
        <w:rPr>
          <w:sz w:val="24"/>
          <w:szCs w:val="24"/>
        </w:rPr>
      </w:pPr>
      <w:r w:rsidRPr="00164269">
        <w:rPr>
          <w:sz w:val="24"/>
          <w:szCs w:val="24"/>
        </w:rPr>
        <w:lastRenderedPageBreak/>
        <w:t>KPC, established in 1980, is the main operational entity responsible for Kuwait's hydrocarbon interests throughout the world.  KPC is a state-owned holding corporation of ten specialized subsidiaries in Kuwait and worldwide, encompassing all aspects of the hydrocarbon industry (Table IV.1).  Although state-owned, KPC is run by an independent management team and Board of Directors.</w:t>
      </w:r>
    </w:p>
    <w:p w:rsidR="00164269" w:rsidRPr="00164269" w:rsidRDefault="00164269" w:rsidP="00164269">
      <w:pPr>
        <w:pStyle w:val="BodyText"/>
        <w:spacing w:line="276" w:lineRule="auto"/>
        <w:rPr>
          <w:sz w:val="24"/>
          <w:szCs w:val="24"/>
        </w:rPr>
      </w:pPr>
      <w:bookmarkStart w:id="1" w:name="_GoBack"/>
      <w:r w:rsidRPr="00164269">
        <w:rPr>
          <w:sz w:val="24"/>
          <w:szCs w:val="24"/>
        </w:rPr>
        <w:t>KPC and its subsidiary companies enjoy certain exclusive concessionary rights and privileges in the oil and gas subsector.  For example, downstream petroleum activities (i.e. processing of crude oil to fuel) are fully controlled and owned by KNPC, while the exploration and production of natural gas are the sole responsibility of KOC.</w:t>
      </w:r>
    </w:p>
    <w:bookmarkEnd w:id="1"/>
    <w:p w:rsidR="00164269" w:rsidRPr="00164269" w:rsidRDefault="00164269" w:rsidP="00164269">
      <w:pPr>
        <w:spacing w:line="276" w:lineRule="auto"/>
        <w:rPr>
          <w:b/>
          <w:sz w:val="24"/>
          <w:szCs w:val="24"/>
        </w:rPr>
      </w:pPr>
      <w:r w:rsidRPr="00164269">
        <w:rPr>
          <w:b/>
          <w:sz w:val="24"/>
          <w:szCs w:val="24"/>
        </w:rPr>
        <w:t>Table IV.1</w:t>
      </w:r>
    </w:p>
    <w:p w:rsidR="00164269" w:rsidRPr="00164269" w:rsidRDefault="00164269" w:rsidP="00164269">
      <w:pPr>
        <w:spacing w:line="276" w:lineRule="auto"/>
        <w:rPr>
          <w:b/>
          <w:sz w:val="24"/>
          <w:szCs w:val="24"/>
        </w:rPr>
      </w:pPr>
      <w:r w:rsidRPr="00164269">
        <w:rPr>
          <w:b/>
          <w:sz w:val="24"/>
          <w:szCs w:val="24"/>
        </w:rPr>
        <w:t>Subsidiaries of the Kuwait Petroleum Corporation (KPC)</w:t>
      </w:r>
    </w:p>
    <w:tbl>
      <w:tblPr>
        <w:tblW w:w="9072" w:type="dxa"/>
        <w:tblInd w:w="1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4253"/>
        <w:gridCol w:w="4819"/>
      </w:tblGrid>
      <w:tr w:rsidR="00164269" w:rsidRPr="00164269" w:rsidTr="00D231E5">
        <w:tc>
          <w:tcPr>
            <w:tcW w:w="4253" w:type="dxa"/>
            <w:tcBorders>
              <w:top w:val="double" w:sz="6" w:space="0" w:color="auto"/>
              <w:left w:val="double" w:sz="6" w:space="0" w:color="auto"/>
              <w:bottom w:val="double" w:sz="4" w:space="0" w:color="auto"/>
            </w:tcBorders>
            <w:shd w:val="clear" w:color="auto" w:fill="auto"/>
          </w:tcPr>
          <w:p w:rsidR="00164269" w:rsidRPr="00164269" w:rsidRDefault="00164269" w:rsidP="00164269">
            <w:pPr>
              <w:spacing w:before="60" w:after="60" w:line="276" w:lineRule="auto"/>
              <w:jc w:val="left"/>
              <w:rPr>
                <w:b/>
                <w:sz w:val="24"/>
                <w:szCs w:val="24"/>
              </w:rPr>
            </w:pPr>
            <w:r w:rsidRPr="00164269">
              <w:rPr>
                <w:b/>
                <w:sz w:val="24"/>
                <w:szCs w:val="24"/>
              </w:rPr>
              <w:t>Name</w:t>
            </w:r>
          </w:p>
        </w:tc>
        <w:tc>
          <w:tcPr>
            <w:tcW w:w="4819" w:type="dxa"/>
            <w:tcBorders>
              <w:top w:val="double" w:sz="6" w:space="0" w:color="auto"/>
              <w:bottom w:val="double" w:sz="4" w:space="0" w:color="auto"/>
              <w:right w:val="double" w:sz="6" w:space="0" w:color="auto"/>
            </w:tcBorders>
            <w:shd w:val="clear" w:color="auto" w:fill="auto"/>
          </w:tcPr>
          <w:p w:rsidR="00164269" w:rsidRPr="00164269" w:rsidRDefault="00164269" w:rsidP="00164269">
            <w:pPr>
              <w:spacing w:before="60" w:after="60" w:line="276" w:lineRule="auto"/>
              <w:jc w:val="left"/>
              <w:rPr>
                <w:b/>
                <w:sz w:val="24"/>
                <w:szCs w:val="24"/>
              </w:rPr>
            </w:pPr>
            <w:r w:rsidRPr="00164269">
              <w:rPr>
                <w:b/>
                <w:sz w:val="24"/>
                <w:szCs w:val="24"/>
              </w:rPr>
              <w:t>Main activities</w:t>
            </w:r>
          </w:p>
        </w:tc>
      </w:tr>
      <w:tr w:rsidR="00164269" w:rsidRPr="00164269" w:rsidTr="00D231E5">
        <w:tc>
          <w:tcPr>
            <w:tcW w:w="4253" w:type="dxa"/>
            <w:tcBorders>
              <w:left w:val="double" w:sz="6" w:space="0" w:color="auto"/>
            </w:tcBorders>
            <w:shd w:val="clear" w:color="auto" w:fill="auto"/>
          </w:tcPr>
          <w:p w:rsidR="00164269" w:rsidRPr="00164269" w:rsidRDefault="00164269" w:rsidP="00164269">
            <w:pPr>
              <w:spacing w:before="30" w:after="30" w:line="276" w:lineRule="auto"/>
              <w:jc w:val="left"/>
              <w:rPr>
                <w:sz w:val="24"/>
                <w:szCs w:val="24"/>
              </w:rPr>
            </w:pPr>
            <w:r w:rsidRPr="00164269">
              <w:rPr>
                <w:sz w:val="24"/>
                <w:szCs w:val="24"/>
              </w:rPr>
              <w:t>Kuwait Oil Company (KOC)</w:t>
            </w:r>
          </w:p>
        </w:tc>
        <w:tc>
          <w:tcPr>
            <w:tcW w:w="4819" w:type="dxa"/>
            <w:tcBorders>
              <w:right w:val="double" w:sz="6" w:space="0" w:color="auto"/>
            </w:tcBorders>
            <w:shd w:val="clear" w:color="auto" w:fill="auto"/>
            <w:tcMar>
              <w:right w:w="142" w:type="dxa"/>
            </w:tcMar>
          </w:tcPr>
          <w:p w:rsidR="00164269" w:rsidRPr="00164269" w:rsidRDefault="00164269" w:rsidP="00164269">
            <w:pPr>
              <w:spacing w:before="30" w:after="30" w:line="276" w:lineRule="auto"/>
              <w:ind w:right="340"/>
              <w:jc w:val="left"/>
              <w:rPr>
                <w:sz w:val="24"/>
                <w:szCs w:val="24"/>
              </w:rPr>
            </w:pPr>
            <w:r w:rsidRPr="00164269">
              <w:rPr>
                <w:sz w:val="24"/>
                <w:szCs w:val="24"/>
              </w:rPr>
              <w:t>Upstream operations for oil exploration and extraction</w:t>
            </w:r>
          </w:p>
        </w:tc>
      </w:tr>
      <w:tr w:rsidR="00164269" w:rsidRPr="00164269" w:rsidTr="00D231E5">
        <w:tc>
          <w:tcPr>
            <w:tcW w:w="4253" w:type="dxa"/>
            <w:tcBorders>
              <w:left w:val="double" w:sz="6" w:space="0" w:color="auto"/>
            </w:tcBorders>
            <w:shd w:val="clear" w:color="auto" w:fill="auto"/>
          </w:tcPr>
          <w:p w:rsidR="00164269" w:rsidRPr="00164269" w:rsidRDefault="00164269" w:rsidP="00164269">
            <w:pPr>
              <w:spacing w:before="30" w:after="30" w:line="276" w:lineRule="auto"/>
              <w:jc w:val="left"/>
              <w:rPr>
                <w:sz w:val="24"/>
                <w:szCs w:val="24"/>
              </w:rPr>
            </w:pPr>
            <w:r w:rsidRPr="00164269">
              <w:rPr>
                <w:sz w:val="24"/>
                <w:szCs w:val="24"/>
              </w:rPr>
              <w:t>Kuwait National Petroleum Company (KNPC)</w:t>
            </w:r>
          </w:p>
        </w:tc>
        <w:tc>
          <w:tcPr>
            <w:tcW w:w="4819" w:type="dxa"/>
            <w:tcBorders>
              <w:right w:val="double" w:sz="6" w:space="0" w:color="auto"/>
            </w:tcBorders>
            <w:shd w:val="clear" w:color="auto" w:fill="auto"/>
            <w:tcMar>
              <w:right w:w="142" w:type="dxa"/>
            </w:tcMar>
          </w:tcPr>
          <w:p w:rsidR="00164269" w:rsidRPr="00164269" w:rsidRDefault="00164269" w:rsidP="00164269">
            <w:pPr>
              <w:spacing w:before="30" w:after="30" w:line="276" w:lineRule="auto"/>
              <w:ind w:right="340"/>
              <w:jc w:val="left"/>
              <w:rPr>
                <w:sz w:val="24"/>
                <w:szCs w:val="24"/>
              </w:rPr>
            </w:pPr>
            <w:r w:rsidRPr="00164269">
              <w:rPr>
                <w:sz w:val="24"/>
                <w:szCs w:val="24"/>
              </w:rPr>
              <w:t>Downstream operations of refining and distribution (local)</w:t>
            </w:r>
          </w:p>
        </w:tc>
      </w:tr>
      <w:tr w:rsidR="00164269" w:rsidRPr="00164269" w:rsidTr="00D231E5">
        <w:tc>
          <w:tcPr>
            <w:tcW w:w="4253" w:type="dxa"/>
            <w:tcBorders>
              <w:left w:val="double" w:sz="6" w:space="0" w:color="auto"/>
            </w:tcBorders>
            <w:shd w:val="clear" w:color="auto" w:fill="auto"/>
          </w:tcPr>
          <w:p w:rsidR="00164269" w:rsidRPr="00164269" w:rsidRDefault="00164269" w:rsidP="00164269">
            <w:pPr>
              <w:spacing w:before="30" w:after="30" w:line="276" w:lineRule="auto"/>
              <w:jc w:val="left"/>
              <w:rPr>
                <w:sz w:val="24"/>
                <w:szCs w:val="24"/>
              </w:rPr>
            </w:pPr>
            <w:r w:rsidRPr="00164269">
              <w:rPr>
                <w:sz w:val="24"/>
                <w:szCs w:val="24"/>
              </w:rPr>
              <w:t>Kuwait Foreign Petroleum Exploration Company (KUFPEC)</w:t>
            </w:r>
          </w:p>
        </w:tc>
        <w:tc>
          <w:tcPr>
            <w:tcW w:w="4819" w:type="dxa"/>
            <w:tcBorders>
              <w:right w:val="double" w:sz="6" w:space="0" w:color="auto"/>
            </w:tcBorders>
            <w:shd w:val="clear" w:color="auto" w:fill="auto"/>
            <w:tcMar>
              <w:right w:w="142" w:type="dxa"/>
            </w:tcMar>
          </w:tcPr>
          <w:p w:rsidR="00164269" w:rsidRPr="00164269" w:rsidRDefault="00164269" w:rsidP="00164269">
            <w:pPr>
              <w:spacing w:before="30" w:after="30" w:line="276" w:lineRule="auto"/>
              <w:ind w:right="340"/>
              <w:jc w:val="left"/>
              <w:rPr>
                <w:sz w:val="24"/>
                <w:szCs w:val="24"/>
              </w:rPr>
            </w:pPr>
            <w:r w:rsidRPr="00164269">
              <w:rPr>
                <w:sz w:val="24"/>
                <w:szCs w:val="24"/>
              </w:rPr>
              <w:t>Foreign upstream exploration and extraction operations</w:t>
            </w:r>
          </w:p>
        </w:tc>
      </w:tr>
      <w:tr w:rsidR="00164269" w:rsidRPr="00164269" w:rsidTr="00D231E5">
        <w:tc>
          <w:tcPr>
            <w:tcW w:w="4253" w:type="dxa"/>
            <w:tcBorders>
              <w:left w:val="double" w:sz="6" w:space="0" w:color="auto"/>
            </w:tcBorders>
            <w:shd w:val="clear" w:color="auto" w:fill="auto"/>
          </w:tcPr>
          <w:p w:rsidR="00164269" w:rsidRPr="00164269" w:rsidRDefault="00164269" w:rsidP="00164269">
            <w:pPr>
              <w:spacing w:before="30" w:after="30" w:line="276" w:lineRule="auto"/>
              <w:jc w:val="left"/>
              <w:rPr>
                <w:sz w:val="24"/>
                <w:szCs w:val="24"/>
              </w:rPr>
            </w:pPr>
            <w:r w:rsidRPr="00164269">
              <w:rPr>
                <w:sz w:val="24"/>
                <w:szCs w:val="24"/>
              </w:rPr>
              <w:t>Kuwait Petroleum International (KPI)</w:t>
            </w:r>
          </w:p>
        </w:tc>
        <w:tc>
          <w:tcPr>
            <w:tcW w:w="4819" w:type="dxa"/>
            <w:tcBorders>
              <w:right w:val="double" w:sz="6" w:space="0" w:color="auto"/>
            </w:tcBorders>
            <w:shd w:val="clear" w:color="auto" w:fill="auto"/>
            <w:tcMar>
              <w:right w:w="142" w:type="dxa"/>
            </w:tcMar>
          </w:tcPr>
          <w:p w:rsidR="00164269" w:rsidRPr="00164269" w:rsidRDefault="00164269" w:rsidP="00164269">
            <w:pPr>
              <w:spacing w:before="30" w:after="30" w:line="276" w:lineRule="auto"/>
              <w:ind w:right="340"/>
              <w:jc w:val="left"/>
              <w:rPr>
                <w:sz w:val="24"/>
                <w:szCs w:val="24"/>
              </w:rPr>
            </w:pPr>
            <w:r w:rsidRPr="00164269">
              <w:rPr>
                <w:sz w:val="24"/>
                <w:szCs w:val="24"/>
              </w:rPr>
              <w:t>Foreign downstream operations</w:t>
            </w:r>
          </w:p>
        </w:tc>
      </w:tr>
      <w:tr w:rsidR="00164269" w:rsidRPr="00164269" w:rsidTr="00D231E5">
        <w:tc>
          <w:tcPr>
            <w:tcW w:w="4253" w:type="dxa"/>
            <w:tcBorders>
              <w:left w:val="double" w:sz="6" w:space="0" w:color="auto"/>
            </w:tcBorders>
            <w:shd w:val="clear" w:color="auto" w:fill="auto"/>
          </w:tcPr>
          <w:p w:rsidR="00164269" w:rsidRPr="00164269" w:rsidRDefault="00164269" w:rsidP="00164269">
            <w:pPr>
              <w:spacing w:before="30" w:after="30" w:line="276" w:lineRule="auto"/>
              <w:jc w:val="left"/>
              <w:rPr>
                <w:sz w:val="24"/>
                <w:szCs w:val="24"/>
              </w:rPr>
            </w:pPr>
            <w:r w:rsidRPr="00164269">
              <w:rPr>
                <w:sz w:val="24"/>
                <w:szCs w:val="24"/>
              </w:rPr>
              <w:t>Petrochemical Industries Company (</w:t>
            </w:r>
            <w:smartTag w:uri="urn:schemas-microsoft-com:office:smarttags" w:element="stockticker">
              <w:r w:rsidRPr="00164269">
                <w:rPr>
                  <w:sz w:val="24"/>
                  <w:szCs w:val="24"/>
                </w:rPr>
                <w:t>PIC</w:t>
              </w:r>
            </w:smartTag>
            <w:r w:rsidRPr="00164269">
              <w:rPr>
                <w:sz w:val="24"/>
                <w:szCs w:val="24"/>
              </w:rPr>
              <w:t>)</w:t>
            </w:r>
          </w:p>
        </w:tc>
        <w:tc>
          <w:tcPr>
            <w:tcW w:w="4819" w:type="dxa"/>
            <w:tcBorders>
              <w:right w:val="double" w:sz="6" w:space="0" w:color="auto"/>
            </w:tcBorders>
            <w:shd w:val="clear" w:color="auto" w:fill="auto"/>
            <w:tcMar>
              <w:right w:w="142" w:type="dxa"/>
            </w:tcMar>
          </w:tcPr>
          <w:p w:rsidR="00164269" w:rsidRPr="00164269" w:rsidRDefault="00164269" w:rsidP="00164269">
            <w:pPr>
              <w:spacing w:before="30" w:after="30" w:line="276" w:lineRule="auto"/>
              <w:ind w:right="340"/>
              <w:jc w:val="left"/>
              <w:rPr>
                <w:sz w:val="24"/>
                <w:szCs w:val="24"/>
              </w:rPr>
            </w:pPr>
            <w:r w:rsidRPr="00164269">
              <w:rPr>
                <w:sz w:val="24"/>
                <w:szCs w:val="24"/>
              </w:rPr>
              <w:t>Petrochemical industry</w:t>
            </w:r>
          </w:p>
        </w:tc>
      </w:tr>
      <w:tr w:rsidR="00164269" w:rsidRPr="00164269" w:rsidTr="00D231E5">
        <w:tc>
          <w:tcPr>
            <w:tcW w:w="4253" w:type="dxa"/>
            <w:tcBorders>
              <w:left w:val="double" w:sz="6" w:space="0" w:color="auto"/>
            </w:tcBorders>
            <w:shd w:val="clear" w:color="auto" w:fill="auto"/>
          </w:tcPr>
          <w:p w:rsidR="00164269" w:rsidRPr="00164269" w:rsidRDefault="00164269" w:rsidP="00164269">
            <w:pPr>
              <w:spacing w:before="30" w:after="30" w:line="276" w:lineRule="auto"/>
              <w:jc w:val="left"/>
              <w:rPr>
                <w:sz w:val="24"/>
                <w:szCs w:val="24"/>
              </w:rPr>
            </w:pPr>
            <w:r w:rsidRPr="00164269">
              <w:rPr>
                <w:sz w:val="24"/>
                <w:szCs w:val="24"/>
              </w:rPr>
              <w:t>Kuwait Oil Tanker Company (KOTC)</w:t>
            </w:r>
          </w:p>
        </w:tc>
        <w:tc>
          <w:tcPr>
            <w:tcW w:w="4819" w:type="dxa"/>
            <w:tcBorders>
              <w:right w:val="double" w:sz="6" w:space="0" w:color="auto"/>
            </w:tcBorders>
            <w:shd w:val="clear" w:color="auto" w:fill="auto"/>
            <w:tcMar>
              <w:right w:w="142" w:type="dxa"/>
            </w:tcMar>
          </w:tcPr>
          <w:p w:rsidR="00164269" w:rsidRPr="00164269" w:rsidRDefault="00164269" w:rsidP="00164269">
            <w:pPr>
              <w:spacing w:before="30" w:after="30" w:line="276" w:lineRule="auto"/>
              <w:ind w:right="340"/>
              <w:jc w:val="left"/>
              <w:rPr>
                <w:sz w:val="24"/>
                <w:szCs w:val="24"/>
              </w:rPr>
            </w:pPr>
            <w:r w:rsidRPr="00164269">
              <w:rPr>
                <w:sz w:val="24"/>
                <w:szCs w:val="24"/>
              </w:rPr>
              <w:t>Marine transportation of hydrocarbons</w:t>
            </w:r>
          </w:p>
        </w:tc>
      </w:tr>
      <w:tr w:rsidR="00164269" w:rsidRPr="00164269" w:rsidTr="00D231E5">
        <w:tc>
          <w:tcPr>
            <w:tcW w:w="4253" w:type="dxa"/>
            <w:tcBorders>
              <w:left w:val="double" w:sz="6" w:space="0" w:color="auto"/>
            </w:tcBorders>
            <w:shd w:val="clear" w:color="auto" w:fill="auto"/>
          </w:tcPr>
          <w:p w:rsidR="00164269" w:rsidRPr="00164269" w:rsidRDefault="00164269" w:rsidP="00164269">
            <w:pPr>
              <w:spacing w:before="30" w:after="30" w:line="276" w:lineRule="auto"/>
              <w:jc w:val="left"/>
              <w:rPr>
                <w:sz w:val="24"/>
                <w:szCs w:val="24"/>
              </w:rPr>
            </w:pPr>
            <w:r w:rsidRPr="00164269">
              <w:rPr>
                <w:sz w:val="24"/>
                <w:szCs w:val="24"/>
              </w:rPr>
              <w:t>Kuwait Aviation Fuelling Company (KAFCO)</w:t>
            </w:r>
          </w:p>
        </w:tc>
        <w:tc>
          <w:tcPr>
            <w:tcW w:w="4819" w:type="dxa"/>
            <w:tcBorders>
              <w:right w:val="double" w:sz="6" w:space="0" w:color="auto"/>
            </w:tcBorders>
            <w:shd w:val="clear" w:color="auto" w:fill="auto"/>
            <w:tcMar>
              <w:right w:w="142" w:type="dxa"/>
            </w:tcMar>
          </w:tcPr>
          <w:p w:rsidR="00164269" w:rsidRPr="00164269" w:rsidRDefault="00164269" w:rsidP="00164269">
            <w:pPr>
              <w:spacing w:before="30" w:after="30" w:line="276" w:lineRule="auto"/>
              <w:ind w:right="340"/>
              <w:jc w:val="left"/>
              <w:rPr>
                <w:sz w:val="24"/>
                <w:szCs w:val="24"/>
              </w:rPr>
            </w:pPr>
            <w:r w:rsidRPr="00164269">
              <w:rPr>
                <w:sz w:val="24"/>
                <w:szCs w:val="24"/>
              </w:rPr>
              <w:t>Oil refuelling services</w:t>
            </w:r>
          </w:p>
        </w:tc>
      </w:tr>
      <w:tr w:rsidR="00164269" w:rsidRPr="00164269" w:rsidTr="00D231E5">
        <w:tc>
          <w:tcPr>
            <w:tcW w:w="4253" w:type="dxa"/>
            <w:tcBorders>
              <w:left w:val="double" w:sz="6" w:space="0" w:color="auto"/>
            </w:tcBorders>
            <w:shd w:val="clear" w:color="auto" w:fill="auto"/>
          </w:tcPr>
          <w:p w:rsidR="00164269" w:rsidRPr="00164269" w:rsidRDefault="00164269" w:rsidP="00164269">
            <w:pPr>
              <w:spacing w:before="30" w:after="30" w:line="276" w:lineRule="auto"/>
              <w:jc w:val="left"/>
              <w:rPr>
                <w:sz w:val="24"/>
                <w:szCs w:val="24"/>
              </w:rPr>
            </w:pPr>
            <w:r w:rsidRPr="00164269">
              <w:rPr>
                <w:sz w:val="24"/>
                <w:szCs w:val="24"/>
              </w:rPr>
              <w:t>Kuwait Gulf Oil Company (KGOC)</w:t>
            </w:r>
          </w:p>
        </w:tc>
        <w:tc>
          <w:tcPr>
            <w:tcW w:w="4819" w:type="dxa"/>
            <w:tcBorders>
              <w:right w:val="double" w:sz="6" w:space="0" w:color="auto"/>
            </w:tcBorders>
            <w:shd w:val="clear" w:color="auto" w:fill="auto"/>
            <w:tcMar>
              <w:right w:w="142" w:type="dxa"/>
            </w:tcMar>
          </w:tcPr>
          <w:p w:rsidR="00164269" w:rsidRPr="00164269" w:rsidRDefault="00164269" w:rsidP="00164269">
            <w:pPr>
              <w:spacing w:before="30" w:after="30" w:line="276" w:lineRule="auto"/>
              <w:ind w:right="340"/>
              <w:jc w:val="left"/>
              <w:rPr>
                <w:sz w:val="24"/>
                <w:szCs w:val="24"/>
              </w:rPr>
            </w:pPr>
            <w:r w:rsidRPr="00164269">
              <w:rPr>
                <w:rStyle w:val="bodytext1"/>
                <w:sz w:val="24"/>
                <w:szCs w:val="24"/>
              </w:rPr>
              <w:t>Manages  Kuwait's share of natural resources in the Partitioned Neutral Zone with Saudi Arabia</w:t>
            </w:r>
          </w:p>
        </w:tc>
      </w:tr>
      <w:tr w:rsidR="00164269" w:rsidRPr="00164269" w:rsidTr="00D231E5">
        <w:tc>
          <w:tcPr>
            <w:tcW w:w="4253" w:type="dxa"/>
            <w:tcBorders>
              <w:left w:val="double" w:sz="6" w:space="0" w:color="auto"/>
            </w:tcBorders>
            <w:shd w:val="clear" w:color="auto" w:fill="auto"/>
          </w:tcPr>
          <w:p w:rsidR="00164269" w:rsidRPr="00164269" w:rsidRDefault="00164269" w:rsidP="00164269">
            <w:pPr>
              <w:spacing w:before="30" w:after="30" w:line="276" w:lineRule="auto"/>
              <w:jc w:val="left"/>
              <w:rPr>
                <w:sz w:val="24"/>
                <w:szCs w:val="24"/>
              </w:rPr>
            </w:pPr>
            <w:r w:rsidRPr="00164269">
              <w:rPr>
                <w:sz w:val="24"/>
                <w:szCs w:val="24"/>
              </w:rPr>
              <w:t>Oil Development Company (</w:t>
            </w:r>
            <w:smartTag w:uri="urn:schemas-microsoft-com:office:smarttags" w:element="stockticker">
              <w:r w:rsidRPr="00164269">
                <w:rPr>
                  <w:sz w:val="24"/>
                  <w:szCs w:val="24"/>
                </w:rPr>
                <w:t>ODC</w:t>
              </w:r>
            </w:smartTag>
            <w:r w:rsidRPr="00164269">
              <w:rPr>
                <w:sz w:val="24"/>
                <w:szCs w:val="24"/>
              </w:rPr>
              <w:t>)</w:t>
            </w:r>
          </w:p>
        </w:tc>
        <w:tc>
          <w:tcPr>
            <w:tcW w:w="4819" w:type="dxa"/>
            <w:tcBorders>
              <w:right w:val="double" w:sz="6" w:space="0" w:color="auto"/>
            </w:tcBorders>
            <w:shd w:val="clear" w:color="auto" w:fill="auto"/>
            <w:tcMar>
              <w:right w:w="142" w:type="dxa"/>
            </w:tcMar>
          </w:tcPr>
          <w:p w:rsidR="00164269" w:rsidRPr="00164269" w:rsidRDefault="00164269" w:rsidP="00164269">
            <w:pPr>
              <w:spacing w:before="30" w:after="30" w:line="276" w:lineRule="auto"/>
              <w:ind w:right="340"/>
              <w:jc w:val="left"/>
              <w:rPr>
                <w:rStyle w:val="bodytext1"/>
                <w:sz w:val="24"/>
                <w:szCs w:val="24"/>
              </w:rPr>
            </w:pPr>
            <w:r w:rsidRPr="00164269">
              <w:rPr>
                <w:rStyle w:val="bodytext1"/>
                <w:sz w:val="24"/>
                <w:szCs w:val="24"/>
              </w:rPr>
              <w:t>In charge of "Kuwait Project"</w:t>
            </w:r>
          </w:p>
        </w:tc>
      </w:tr>
      <w:tr w:rsidR="00164269" w:rsidRPr="00164269" w:rsidTr="00D231E5">
        <w:tc>
          <w:tcPr>
            <w:tcW w:w="4253" w:type="dxa"/>
            <w:tcBorders>
              <w:left w:val="double" w:sz="6" w:space="0" w:color="auto"/>
              <w:bottom w:val="double" w:sz="6" w:space="0" w:color="auto"/>
            </w:tcBorders>
            <w:shd w:val="clear" w:color="auto" w:fill="auto"/>
          </w:tcPr>
          <w:p w:rsidR="00164269" w:rsidRPr="00164269" w:rsidRDefault="00164269" w:rsidP="00164269">
            <w:pPr>
              <w:spacing w:before="30" w:after="30" w:line="276" w:lineRule="auto"/>
              <w:jc w:val="left"/>
              <w:rPr>
                <w:sz w:val="24"/>
                <w:szCs w:val="24"/>
              </w:rPr>
            </w:pPr>
            <w:r w:rsidRPr="00164269">
              <w:rPr>
                <w:sz w:val="24"/>
                <w:szCs w:val="24"/>
              </w:rPr>
              <w:t>Oil Sector Services Company (OSSC)</w:t>
            </w:r>
          </w:p>
        </w:tc>
        <w:tc>
          <w:tcPr>
            <w:tcW w:w="4819" w:type="dxa"/>
            <w:tcBorders>
              <w:bottom w:val="double" w:sz="6" w:space="0" w:color="auto"/>
              <w:right w:val="double" w:sz="6" w:space="0" w:color="auto"/>
            </w:tcBorders>
            <w:shd w:val="clear" w:color="auto" w:fill="auto"/>
            <w:tcMar>
              <w:right w:w="142" w:type="dxa"/>
            </w:tcMar>
          </w:tcPr>
          <w:p w:rsidR="00164269" w:rsidRPr="00164269" w:rsidRDefault="00164269" w:rsidP="00164269">
            <w:pPr>
              <w:spacing w:before="30" w:after="30" w:line="276" w:lineRule="auto"/>
              <w:ind w:right="340"/>
              <w:jc w:val="left"/>
              <w:rPr>
                <w:rStyle w:val="bodytext1"/>
                <w:sz w:val="24"/>
                <w:szCs w:val="24"/>
              </w:rPr>
            </w:pPr>
            <w:r w:rsidRPr="00164269">
              <w:rPr>
                <w:rStyle w:val="bodytext1"/>
                <w:sz w:val="24"/>
                <w:szCs w:val="24"/>
              </w:rPr>
              <w:t>Shared services provider for oil sector</w:t>
            </w:r>
          </w:p>
        </w:tc>
      </w:tr>
    </w:tbl>
    <w:p w:rsidR="00164269" w:rsidRPr="00164269" w:rsidRDefault="00164269" w:rsidP="00164269">
      <w:pPr>
        <w:pStyle w:val="BodyText"/>
        <w:numPr>
          <w:ilvl w:val="0"/>
          <w:numId w:val="0"/>
        </w:numPr>
        <w:spacing w:after="0" w:line="276" w:lineRule="auto"/>
        <w:rPr>
          <w:sz w:val="24"/>
          <w:szCs w:val="24"/>
        </w:rPr>
      </w:pPr>
    </w:p>
    <w:p w:rsidR="00164269" w:rsidRPr="00164269" w:rsidRDefault="00164269" w:rsidP="00164269">
      <w:pPr>
        <w:pStyle w:val="BodyText"/>
        <w:numPr>
          <w:ilvl w:val="0"/>
          <w:numId w:val="0"/>
        </w:numPr>
        <w:spacing w:line="276" w:lineRule="auto"/>
        <w:rPr>
          <w:sz w:val="24"/>
          <w:szCs w:val="24"/>
        </w:rPr>
      </w:pPr>
      <w:r w:rsidRPr="00164269">
        <w:rPr>
          <w:i/>
          <w:sz w:val="24"/>
          <w:szCs w:val="24"/>
        </w:rPr>
        <w:t>Source:</w:t>
      </w:r>
      <w:r w:rsidRPr="00164269">
        <w:rPr>
          <w:sz w:val="24"/>
          <w:szCs w:val="24"/>
        </w:rPr>
        <w:tab/>
        <w:t xml:space="preserve">Kuwait Petroleum Corporation website:  </w:t>
      </w:r>
      <w:hyperlink r:id="rId7" w:history="1">
        <w:r w:rsidRPr="00164269">
          <w:rPr>
            <w:rStyle w:val="Hyperlink"/>
            <w:sz w:val="24"/>
            <w:szCs w:val="24"/>
          </w:rPr>
          <w:t>www.kpc.com.kw</w:t>
        </w:r>
      </w:hyperlink>
      <w:r w:rsidRPr="00164269">
        <w:rPr>
          <w:sz w:val="24"/>
          <w:szCs w:val="24"/>
        </w:rPr>
        <w:t>.</w:t>
      </w:r>
    </w:p>
    <w:p w:rsidR="00164269" w:rsidRPr="00164269" w:rsidRDefault="00164269" w:rsidP="00164269">
      <w:pPr>
        <w:pStyle w:val="BodyText"/>
        <w:spacing w:line="276" w:lineRule="auto"/>
        <w:rPr>
          <w:sz w:val="24"/>
          <w:szCs w:val="24"/>
        </w:rPr>
      </w:pPr>
      <w:r w:rsidRPr="00164269">
        <w:rPr>
          <w:sz w:val="24"/>
          <w:szCs w:val="24"/>
        </w:rPr>
        <w:t xml:space="preserve">Under the Kuwaiti Constitution, all natural resources, including oil are owned by the State. The State alone has the right to exploit, utilize and safeguard those resources (Article 21).  The right to concessions and/or monopolies for the exploitation of Kuwait's natural resources, including oil, may only be created by virtue of a law and for a limited time only (Article 152 and 153).  According to </w:t>
      </w:r>
      <w:r w:rsidRPr="00164269">
        <w:rPr>
          <w:sz w:val="24"/>
          <w:szCs w:val="24"/>
        </w:rPr>
        <w:lastRenderedPageBreak/>
        <w:t xml:space="preserve">Kuwait's Foreign Investment Law No. 8 of 2001, </w:t>
      </w:r>
      <w:r w:rsidRPr="00164269">
        <w:rPr>
          <w:bCs/>
          <w:sz w:val="24"/>
          <w:szCs w:val="24"/>
        </w:rPr>
        <w:t>a</w:t>
      </w:r>
      <w:r w:rsidRPr="00164269">
        <w:rPr>
          <w:b/>
          <w:bCs/>
          <w:sz w:val="24"/>
          <w:szCs w:val="24"/>
        </w:rPr>
        <w:t xml:space="preserve"> </w:t>
      </w:r>
      <w:r w:rsidRPr="00164269">
        <w:rPr>
          <w:sz w:val="24"/>
          <w:szCs w:val="24"/>
        </w:rPr>
        <w:t xml:space="preserve">foreign investor may carry out economic activities in industries other than oil and gas exploration and production (Chapter </w:t>
      </w:r>
      <w:proofErr w:type="gramStart"/>
      <w:r w:rsidRPr="00164269">
        <w:rPr>
          <w:sz w:val="24"/>
          <w:szCs w:val="24"/>
        </w:rPr>
        <w:t>II(</w:t>
      </w:r>
      <w:proofErr w:type="gramEnd"/>
      <w:r w:rsidRPr="00164269">
        <w:rPr>
          <w:sz w:val="24"/>
          <w:szCs w:val="24"/>
        </w:rPr>
        <w:t>3)(</w:t>
      </w:r>
      <w:proofErr w:type="spellStart"/>
      <w:r w:rsidRPr="00164269">
        <w:rPr>
          <w:sz w:val="24"/>
          <w:szCs w:val="24"/>
        </w:rPr>
        <w:t>i</w:t>
      </w:r>
      <w:proofErr w:type="spellEnd"/>
      <w:r w:rsidRPr="00164269">
        <w:rPr>
          <w:sz w:val="24"/>
          <w:szCs w:val="24"/>
        </w:rPr>
        <w:t>).</w:t>
      </w:r>
    </w:p>
    <w:p w:rsidR="00164269" w:rsidRPr="00164269" w:rsidRDefault="00164269" w:rsidP="00164269">
      <w:pPr>
        <w:pStyle w:val="BodyText"/>
        <w:spacing w:line="276" w:lineRule="auto"/>
        <w:rPr>
          <w:sz w:val="24"/>
          <w:szCs w:val="24"/>
        </w:rPr>
      </w:pPr>
      <w:proofErr w:type="gramStart"/>
      <w:r w:rsidRPr="00164269">
        <w:rPr>
          <w:sz w:val="24"/>
          <w:szCs w:val="24"/>
        </w:rPr>
        <w:t>KPC has developed a long term strategy which aims to (</w:t>
      </w:r>
      <w:proofErr w:type="spellStart"/>
      <w:r w:rsidRPr="00164269">
        <w:rPr>
          <w:sz w:val="24"/>
          <w:szCs w:val="24"/>
        </w:rPr>
        <w:t>i</w:t>
      </w:r>
      <w:proofErr w:type="spellEnd"/>
      <w:r w:rsidRPr="00164269">
        <w:rPr>
          <w:sz w:val="24"/>
          <w:szCs w:val="24"/>
        </w:rPr>
        <w:t xml:space="preserve">) increase Kuwait's crude oil production, mainly heavy oil from its current 2.3 </w:t>
      </w:r>
      <w:proofErr w:type="spellStart"/>
      <w:r w:rsidRPr="00164269">
        <w:rPr>
          <w:sz w:val="24"/>
          <w:szCs w:val="24"/>
        </w:rPr>
        <w:t>mmbd</w:t>
      </w:r>
      <w:proofErr w:type="spellEnd"/>
      <w:r w:rsidRPr="00164269">
        <w:rPr>
          <w:sz w:val="24"/>
          <w:szCs w:val="24"/>
        </w:rPr>
        <w:t xml:space="preserve"> to 4 </w:t>
      </w:r>
      <w:proofErr w:type="spellStart"/>
      <w:r w:rsidRPr="00164269">
        <w:rPr>
          <w:sz w:val="24"/>
          <w:szCs w:val="24"/>
        </w:rPr>
        <w:t>mmbd</w:t>
      </w:r>
      <w:proofErr w:type="spellEnd"/>
      <w:r w:rsidRPr="00164269">
        <w:rPr>
          <w:sz w:val="24"/>
          <w:szCs w:val="24"/>
        </w:rPr>
        <w:t xml:space="preserve"> by 2020</w:t>
      </w:r>
      <w:r w:rsidRPr="00164269">
        <w:rPr>
          <w:sz w:val="24"/>
          <w:szCs w:val="24"/>
          <w:vertAlign w:val="superscript"/>
        </w:rPr>
        <w:footnoteReference w:id="7"/>
      </w:r>
      <w:r w:rsidRPr="00164269">
        <w:rPr>
          <w:sz w:val="24"/>
          <w:szCs w:val="24"/>
        </w:rPr>
        <w:t>;  (ii) improve reservoir management practices;  (iii) develop technically complex fields in a cost-effective manner;  (iv) maximize the transfer of modern technology in oil extraction and (v) create job and training development opportunities for Kuwaitis.</w:t>
      </w:r>
      <w:proofErr w:type="gramEnd"/>
      <w:r w:rsidRPr="00164269">
        <w:rPr>
          <w:sz w:val="24"/>
          <w:szCs w:val="24"/>
        </w:rPr>
        <w:t xml:space="preserve">  KPC plans to increase oil production by augmenting the potential of existing reservoirs and by adding the production of new discoveries.  To finance KPC's plan, in February 2010, the Kuwaiti National Assembly approved a budget worth KD 35 billion until 2013/14, where the oil and gas sector's share represents around 84% of the budget.</w:t>
      </w:r>
    </w:p>
    <w:p w:rsidR="00164269" w:rsidRPr="00164269" w:rsidRDefault="00164269" w:rsidP="00164269">
      <w:pPr>
        <w:pStyle w:val="BodyText"/>
        <w:spacing w:line="276" w:lineRule="auto"/>
        <w:rPr>
          <w:sz w:val="24"/>
          <w:szCs w:val="24"/>
        </w:rPr>
      </w:pPr>
      <w:r w:rsidRPr="00164269">
        <w:rPr>
          <w:sz w:val="24"/>
          <w:szCs w:val="24"/>
        </w:rPr>
        <w:t>Under KPC's umbrella, Kuwait Oil Company (KOC)'s responsibilities are the exploration, drilling, and production of oil and gas within Kuwait.  KOC is also involved in the storage of crude oil and delivery to tankers for export.  KOC is increasing its focus on developing the more challenging fields in North and West Kuwait in order to preserve the mature oil reserves in the Greater Burgan Area.</w:t>
      </w:r>
    </w:p>
    <w:p w:rsidR="00164269" w:rsidRPr="00164269" w:rsidRDefault="00164269" w:rsidP="00164269">
      <w:pPr>
        <w:pStyle w:val="BodyText"/>
        <w:spacing w:line="276" w:lineRule="auto"/>
        <w:rPr>
          <w:sz w:val="24"/>
          <w:szCs w:val="24"/>
        </w:rPr>
      </w:pPr>
      <w:r w:rsidRPr="00164269">
        <w:rPr>
          <w:sz w:val="24"/>
          <w:szCs w:val="24"/>
        </w:rPr>
        <w:t>In partnership with international oil companies (IOCs), "Project Kuwait" was set up under the auspices of the Oil Development Company in the early nineties to help meet KPC's strategic objectives.  This partnership between Kuwait and IOCs would be reflected in an Operating Service Agreement (OSA).  Under the OSA and consistent with the Kuwaiti Constitution, Kuwait retains full ownership of petroleum production, reserves and revenue</w:t>
      </w:r>
      <w:proofErr w:type="gramStart"/>
      <w:r w:rsidRPr="00164269">
        <w:rPr>
          <w:sz w:val="24"/>
          <w:szCs w:val="24"/>
        </w:rPr>
        <w:t>;  and</w:t>
      </w:r>
      <w:proofErr w:type="gramEnd"/>
      <w:r w:rsidRPr="00164269">
        <w:rPr>
          <w:sz w:val="24"/>
          <w:szCs w:val="24"/>
        </w:rPr>
        <w:t xml:space="preserve"> strategic management of the ventures. The OSA does not involve production sharing, concessions, or the "booking" of reserves by IOCs. The IOC, however, maintains control over the operational management</w:t>
      </w:r>
      <w:proofErr w:type="gramStart"/>
      <w:r w:rsidRPr="00164269">
        <w:rPr>
          <w:sz w:val="24"/>
          <w:szCs w:val="24"/>
        </w:rPr>
        <w:t>;  acts</w:t>
      </w:r>
      <w:proofErr w:type="gramEnd"/>
      <w:r w:rsidRPr="00164269">
        <w:rPr>
          <w:sz w:val="24"/>
          <w:szCs w:val="24"/>
        </w:rPr>
        <w:t xml:space="preserve"> as a contractor or service provider and employs a set quota of 30% of Kuwaiti labour.  In addition, the IOC incurs 100% of the capital and operating costs and is paid in return a per-barrel fee, along with allowances for capital recovery and incentive fees for increasing reserves.</w:t>
      </w:r>
    </w:p>
    <w:p w:rsidR="00164269" w:rsidRPr="00164269" w:rsidRDefault="00164269" w:rsidP="00164269">
      <w:pPr>
        <w:pStyle w:val="BodyText"/>
        <w:spacing w:line="276" w:lineRule="auto"/>
        <w:rPr>
          <w:sz w:val="24"/>
          <w:szCs w:val="24"/>
        </w:rPr>
      </w:pPr>
      <w:r w:rsidRPr="00164269">
        <w:rPr>
          <w:sz w:val="24"/>
          <w:szCs w:val="24"/>
        </w:rPr>
        <w:t>So far and in the oil upstream subsector, KOC has only managed in 2007 to sign a memorandum of understanding with Exxon-Mobil to produce heavy crude oil.  An OSA has however been recently signed with Royal Dutch Shell to develop natural gas.</w:t>
      </w:r>
    </w:p>
    <w:p w:rsidR="00164269" w:rsidRPr="00164269" w:rsidRDefault="00164269" w:rsidP="00164269">
      <w:pPr>
        <w:pStyle w:val="BodyText"/>
        <w:spacing w:line="276" w:lineRule="auto"/>
        <w:rPr>
          <w:sz w:val="24"/>
          <w:szCs w:val="24"/>
        </w:rPr>
      </w:pPr>
      <w:r w:rsidRPr="00164269">
        <w:rPr>
          <w:sz w:val="24"/>
          <w:szCs w:val="24"/>
        </w:rPr>
        <w:t>The majority of Kuwaiti crude oil exports, around 83.3% were exported to Asia in 2010, followed by North America (8.9%) and Europe (4.3%) (Table IV.2).  Most of the crude oil is sold on term contracts, with the price linked to the respective market benchmark crude in each of the Asian, European and the U.S. markets.</w:t>
      </w:r>
    </w:p>
    <w:p w:rsidR="00164269" w:rsidRPr="00164269" w:rsidRDefault="00164269" w:rsidP="00164269">
      <w:pPr>
        <w:widowControl w:val="0"/>
        <w:tabs>
          <w:tab w:val="clear" w:pos="720"/>
        </w:tabs>
        <w:spacing w:line="276" w:lineRule="auto"/>
        <w:rPr>
          <w:b/>
          <w:sz w:val="24"/>
          <w:szCs w:val="24"/>
        </w:rPr>
      </w:pPr>
      <w:r w:rsidRPr="00164269">
        <w:rPr>
          <w:b/>
          <w:sz w:val="24"/>
          <w:szCs w:val="24"/>
        </w:rPr>
        <w:lastRenderedPageBreak/>
        <w:t>Table IV.2</w:t>
      </w:r>
    </w:p>
    <w:p w:rsidR="00164269" w:rsidRPr="00164269" w:rsidRDefault="00164269" w:rsidP="00164269">
      <w:pPr>
        <w:widowControl w:val="0"/>
        <w:tabs>
          <w:tab w:val="clear" w:pos="720"/>
        </w:tabs>
        <w:spacing w:line="276" w:lineRule="auto"/>
        <w:rPr>
          <w:b/>
          <w:sz w:val="24"/>
          <w:szCs w:val="24"/>
        </w:rPr>
      </w:pPr>
      <w:r w:rsidRPr="00164269">
        <w:rPr>
          <w:b/>
          <w:sz w:val="24"/>
          <w:szCs w:val="24"/>
        </w:rPr>
        <w:t xml:space="preserve">Kuwait's exports of crude oil, and refined </w:t>
      </w:r>
      <w:proofErr w:type="spellStart"/>
      <w:r w:rsidRPr="00164269">
        <w:rPr>
          <w:b/>
          <w:sz w:val="24"/>
          <w:szCs w:val="24"/>
        </w:rPr>
        <w:t>products</w:t>
      </w:r>
      <w:r w:rsidRPr="00164269">
        <w:rPr>
          <w:b/>
          <w:sz w:val="24"/>
          <w:szCs w:val="24"/>
          <w:vertAlign w:val="superscript"/>
        </w:rPr>
        <w:t>a</w:t>
      </w:r>
      <w:proofErr w:type="spellEnd"/>
      <w:r w:rsidRPr="00164269">
        <w:rPr>
          <w:b/>
          <w:sz w:val="24"/>
          <w:szCs w:val="24"/>
          <w:vertAlign w:val="superscript"/>
        </w:rPr>
        <w:t xml:space="preserve"> </w:t>
      </w:r>
      <w:r w:rsidRPr="00164269">
        <w:rPr>
          <w:b/>
          <w:sz w:val="24"/>
          <w:szCs w:val="24"/>
        </w:rPr>
        <w:t>(by region), 2009-10</w:t>
      </w:r>
    </w:p>
    <w:p w:rsidR="00164269" w:rsidRPr="00164269" w:rsidRDefault="00164269" w:rsidP="00164269">
      <w:pPr>
        <w:widowControl w:val="0"/>
        <w:tabs>
          <w:tab w:val="clear" w:pos="720"/>
        </w:tabs>
        <w:spacing w:line="276" w:lineRule="auto"/>
        <w:rPr>
          <w:sz w:val="24"/>
          <w:szCs w:val="24"/>
        </w:rPr>
      </w:pPr>
      <w:r w:rsidRPr="00164269">
        <w:rPr>
          <w:sz w:val="24"/>
          <w:szCs w:val="24"/>
        </w:rPr>
        <w:t>(Million barrels)</w:t>
      </w:r>
    </w:p>
    <w:tbl>
      <w:tblPr>
        <w:tblW w:w="9072" w:type="dxa"/>
        <w:tblInd w:w="108" w:type="dxa"/>
        <w:tblBorders>
          <w:top w:val="double" w:sz="6" w:space="0" w:color="auto"/>
          <w:left w:val="double" w:sz="6" w:space="0" w:color="auto"/>
          <w:bottom w:val="double" w:sz="6" w:space="0" w:color="auto"/>
          <w:right w:val="double" w:sz="6" w:space="0" w:color="auto"/>
        </w:tblBorders>
        <w:tblLayout w:type="fixed"/>
        <w:tblLook w:val="00A0" w:firstRow="1" w:lastRow="0" w:firstColumn="1" w:lastColumn="0" w:noHBand="0" w:noVBand="0"/>
      </w:tblPr>
      <w:tblGrid>
        <w:gridCol w:w="1276"/>
        <w:gridCol w:w="284"/>
        <w:gridCol w:w="992"/>
        <w:gridCol w:w="992"/>
        <w:gridCol w:w="284"/>
        <w:gridCol w:w="992"/>
        <w:gridCol w:w="1134"/>
        <w:gridCol w:w="425"/>
        <w:gridCol w:w="1276"/>
        <w:gridCol w:w="1417"/>
      </w:tblGrid>
      <w:tr w:rsidR="00164269" w:rsidRPr="00164269" w:rsidTr="00D231E5">
        <w:trPr>
          <w:tblHeader/>
        </w:trPr>
        <w:tc>
          <w:tcPr>
            <w:tcW w:w="1276" w:type="dxa"/>
            <w:tcBorders>
              <w:top w:val="double" w:sz="6" w:space="0" w:color="auto"/>
              <w:bottom w:val="nil"/>
            </w:tcBorders>
          </w:tcPr>
          <w:p w:rsidR="00164269" w:rsidRPr="00164269" w:rsidRDefault="00164269" w:rsidP="00164269">
            <w:pPr>
              <w:widowControl w:val="0"/>
              <w:spacing w:before="60" w:after="20" w:line="276" w:lineRule="auto"/>
              <w:jc w:val="center"/>
              <w:rPr>
                <w:b/>
                <w:sz w:val="24"/>
                <w:szCs w:val="24"/>
              </w:rPr>
            </w:pPr>
          </w:p>
        </w:tc>
        <w:tc>
          <w:tcPr>
            <w:tcW w:w="284" w:type="dxa"/>
            <w:tcBorders>
              <w:top w:val="double" w:sz="6" w:space="0" w:color="auto"/>
              <w:bottom w:val="nil"/>
            </w:tcBorders>
          </w:tcPr>
          <w:p w:rsidR="00164269" w:rsidRPr="00164269" w:rsidRDefault="00164269" w:rsidP="00164269">
            <w:pPr>
              <w:widowControl w:val="0"/>
              <w:spacing w:before="60" w:after="20" w:line="276" w:lineRule="auto"/>
              <w:jc w:val="center"/>
              <w:rPr>
                <w:b/>
                <w:sz w:val="24"/>
                <w:szCs w:val="24"/>
              </w:rPr>
            </w:pPr>
          </w:p>
        </w:tc>
        <w:tc>
          <w:tcPr>
            <w:tcW w:w="1984" w:type="dxa"/>
            <w:gridSpan w:val="2"/>
            <w:tcBorders>
              <w:top w:val="double" w:sz="6" w:space="0" w:color="auto"/>
              <w:bottom w:val="single" w:sz="4" w:space="0" w:color="auto"/>
            </w:tcBorders>
          </w:tcPr>
          <w:p w:rsidR="00164269" w:rsidRPr="00164269" w:rsidRDefault="00164269" w:rsidP="00164269">
            <w:pPr>
              <w:widowControl w:val="0"/>
              <w:spacing w:before="60" w:after="20" w:line="276" w:lineRule="auto"/>
              <w:jc w:val="center"/>
              <w:rPr>
                <w:b/>
                <w:sz w:val="24"/>
                <w:szCs w:val="24"/>
              </w:rPr>
            </w:pPr>
            <w:r w:rsidRPr="00164269">
              <w:rPr>
                <w:b/>
                <w:sz w:val="24"/>
                <w:szCs w:val="24"/>
              </w:rPr>
              <w:t>2009</w:t>
            </w:r>
          </w:p>
        </w:tc>
        <w:tc>
          <w:tcPr>
            <w:tcW w:w="284" w:type="dxa"/>
            <w:tcBorders>
              <w:top w:val="double" w:sz="6" w:space="0" w:color="auto"/>
              <w:bottom w:val="nil"/>
            </w:tcBorders>
          </w:tcPr>
          <w:p w:rsidR="00164269" w:rsidRPr="00164269" w:rsidRDefault="00164269" w:rsidP="00164269">
            <w:pPr>
              <w:widowControl w:val="0"/>
              <w:spacing w:before="60" w:after="20" w:line="276" w:lineRule="auto"/>
              <w:jc w:val="center"/>
              <w:rPr>
                <w:b/>
                <w:sz w:val="24"/>
                <w:szCs w:val="24"/>
              </w:rPr>
            </w:pPr>
          </w:p>
        </w:tc>
        <w:tc>
          <w:tcPr>
            <w:tcW w:w="2126" w:type="dxa"/>
            <w:gridSpan w:val="2"/>
            <w:tcBorders>
              <w:top w:val="double" w:sz="6" w:space="0" w:color="auto"/>
              <w:bottom w:val="single" w:sz="4" w:space="0" w:color="auto"/>
            </w:tcBorders>
          </w:tcPr>
          <w:p w:rsidR="00164269" w:rsidRPr="00164269" w:rsidRDefault="00164269" w:rsidP="00164269">
            <w:pPr>
              <w:widowControl w:val="0"/>
              <w:spacing w:before="60" w:after="20" w:line="276" w:lineRule="auto"/>
              <w:jc w:val="center"/>
              <w:rPr>
                <w:b/>
                <w:sz w:val="24"/>
                <w:szCs w:val="24"/>
              </w:rPr>
            </w:pPr>
            <w:r w:rsidRPr="00164269">
              <w:rPr>
                <w:b/>
                <w:sz w:val="24"/>
                <w:szCs w:val="24"/>
              </w:rPr>
              <w:t>2010</w:t>
            </w:r>
          </w:p>
        </w:tc>
        <w:tc>
          <w:tcPr>
            <w:tcW w:w="425" w:type="dxa"/>
            <w:tcBorders>
              <w:top w:val="double" w:sz="6" w:space="0" w:color="auto"/>
              <w:bottom w:val="nil"/>
            </w:tcBorders>
          </w:tcPr>
          <w:p w:rsidR="00164269" w:rsidRPr="00164269" w:rsidRDefault="00164269" w:rsidP="00164269">
            <w:pPr>
              <w:widowControl w:val="0"/>
              <w:spacing w:before="60" w:after="20" w:line="276" w:lineRule="auto"/>
              <w:jc w:val="center"/>
              <w:rPr>
                <w:b/>
                <w:sz w:val="24"/>
                <w:szCs w:val="24"/>
              </w:rPr>
            </w:pPr>
          </w:p>
        </w:tc>
        <w:tc>
          <w:tcPr>
            <w:tcW w:w="2693" w:type="dxa"/>
            <w:gridSpan w:val="2"/>
            <w:tcBorders>
              <w:top w:val="double" w:sz="6" w:space="0" w:color="auto"/>
              <w:bottom w:val="single" w:sz="4" w:space="0" w:color="auto"/>
            </w:tcBorders>
          </w:tcPr>
          <w:p w:rsidR="00164269" w:rsidRPr="00164269" w:rsidRDefault="00164269" w:rsidP="00164269">
            <w:pPr>
              <w:widowControl w:val="0"/>
              <w:spacing w:before="60" w:after="20" w:line="276" w:lineRule="auto"/>
              <w:jc w:val="center"/>
              <w:rPr>
                <w:b/>
                <w:sz w:val="24"/>
                <w:szCs w:val="24"/>
              </w:rPr>
            </w:pPr>
            <w:r w:rsidRPr="00164269">
              <w:rPr>
                <w:b/>
                <w:sz w:val="24"/>
                <w:szCs w:val="24"/>
              </w:rPr>
              <w:t>% share in 2010</w:t>
            </w:r>
          </w:p>
        </w:tc>
      </w:tr>
      <w:tr w:rsidR="00164269" w:rsidRPr="00164269" w:rsidTr="00D231E5">
        <w:trPr>
          <w:tblHeader/>
        </w:trPr>
        <w:tc>
          <w:tcPr>
            <w:tcW w:w="1276" w:type="dxa"/>
            <w:tcBorders>
              <w:top w:val="nil"/>
              <w:bottom w:val="double" w:sz="6" w:space="0" w:color="auto"/>
            </w:tcBorders>
          </w:tcPr>
          <w:p w:rsidR="00164269" w:rsidRPr="00164269" w:rsidRDefault="00164269" w:rsidP="00164269">
            <w:pPr>
              <w:widowControl w:val="0"/>
              <w:spacing w:before="60" w:after="20" w:line="276" w:lineRule="auto"/>
              <w:jc w:val="left"/>
              <w:rPr>
                <w:b/>
                <w:sz w:val="24"/>
                <w:szCs w:val="24"/>
              </w:rPr>
            </w:pPr>
            <w:r w:rsidRPr="00164269">
              <w:rPr>
                <w:b/>
                <w:sz w:val="24"/>
                <w:szCs w:val="24"/>
              </w:rPr>
              <w:t>Exports to</w:t>
            </w:r>
          </w:p>
        </w:tc>
        <w:tc>
          <w:tcPr>
            <w:tcW w:w="284" w:type="dxa"/>
            <w:tcBorders>
              <w:top w:val="nil"/>
              <w:bottom w:val="double" w:sz="6" w:space="0" w:color="auto"/>
            </w:tcBorders>
          </w:tcPr>
          <w:p w:rsidR="00164269" w:rsidRPr="00164269" w:rsidRDefault="00164269" w:rsidP="00164269">
            <w:pPr>
              <w:widowControl w:val="0"/>
              <w:spacing w:before="60" w:after="20" w:line="276" w:lineRule="auto"/>
              <w:jc w:val="center"/>
              <w:rPr>
                <w:b/>
                <w:sz w:val="24"/>
                <w:szCs w:val="24"/>
              </w:rPr>
            </w:pPr>
          </w:p>
        </w:tc>
        <w:tc>
          <w:tcPr>
            <w:tcW w:w="992" w:type="dxa"/>
            <w:tcBorders>
              <w:top w:val="single" w:sz="4" w:space="0" w:color="auto"/>
              <w:bottom w:val="double" w:sz="6" w:space="0" w:color="auto"/>
            </w:tcBorders>
          </w:tcPr>
          <w:p w:rsidR="00164269" w:rsidRPr="00164269" w:rsidRDefault="00164269" w:rsidP="00164269">
            <w:pPr>
              <w:widowControl w:val="0"/>
              <w:spacing w:before="60" w:after="20" w:line="276" w:lineRule="auto"/>
              <w:jc w:val="center"/>
              <w:rPr>
                <w:b/>
                <w:sz w:val="24"/>
                <w:szCs w:val="24"/>
              </w:rPr>
            </w:pPr>
            <w:r w:rsidRPr="00164269">
              <w:rPr>
                <w:b/>
                <w:sz w:val="24"/>
                <w:szCs w:val="24"/>
              </w:rPr>
              <w:t>Crude oil</w:t>
            </w:r>
          </w:p>
        </w:tc>
        <w:tc>
          <w:tcPr>
            <w:tcW w:w="992" w:type="dxa"/>
            <w:tcBorders>
              <w:top w:val="single" w:sz="4" w:space="0" w:color="auto"/>
              <w:bottom w:val="double" w:sz="6" w:space="0" w:color="auto"/>
            </w:tcBorders>
          </w:tcPr>
          <w:p w:rsidR="00164269" w:rsidRPr="00164269" w:rsidRDefault="00164269" w:rsidP="00164269">
            <w:pPr>
              <w:widowControl w:val="0"/>
              <w:spacing w:before="60" w:after="20" w:line="276" w:lineRule="auto"/>
              <w:jc w:val="center"/>
              <w:rPr>
                <w:b/>
                <w:sz w:val="24"/>
                <w:szCs w:val="24"/>
              </w:rPr>
            </w:pPr>
            <w:r w:rsidRPr="00164269">
              <w:rPr>
                <w:b/>
                <w:sz w:val="24"/>
                <w:szCs w:val="24"/>
              </w:rPr>
              <w:t>Refined Products</w:t>
            </w:r>
          </w:p>
        </w:tc>
        <w:tc>
          <w:tcPr>
            <w:tcW w:w="284" w:type="dxa"/>
            <w:tcBorders>
              <w:top w:val="nil"/>
              <w:bottom w:val="double" w:sz="6" w:space="0" w:color="auto"/>
            </w:tcBorders>
          </w:tcPr>
          <w:p w:rsidR="00164269" w:rsidRPr="00164269" w:rsidRDefault="00164269" w:rsidP="00164269">
            <w:pPr>
              <w:widowControl w:val="0"/>
              <w:spacing w:before="60" w:after="20" w:line="276" w:lineRule="auto"/>
              <w:jc w:val="center"/>
              <w:rPr>
                <w:b/>
                <w:sz w:val="24"/>
                <w:szCs w:val="24"/>
              </w:rPr>
            </w:pPr>
          </w:p>
        </w:tc>
        <w:tc>
          <w:tcPr>
            <w:tcW w:w="992" w:type="dxa"/>
            <w:tcBorders>
              <w:top w:val="single" w:sz="4" w:space="0" w:color="auto"/>
              <w:bottom w:val="double" w:sz="6" w:space="0" w:color="auto"/>
            </w:tcBorders>
          </w:tcPr>
          <w:p w:rsidR="00164269" w:rsidRPr="00164269" w:rsidRDefault="00164269" w:rsidP="00164269">
            <w:pPr>
              <w:widowControl w:val="0"/>
              <w:spacing w:before="60" w:after="20" w:line="276" w:lineRule="auto"/>
              <w:jc w:val="center"/>
              <w:rPr>
                <w:b/>
                <w:sz w:val="24"/>
                <w:szCs w:val="24"/>
              </w:rPr>
            </w:pPr>
            <w:r w:rsidRPr="00164269">
              <w:rPr>
                <w:b/>
                <w:sz w:val="24"/>
                <w:szCs w:val="24"/>
              </w:rPr>
              <w:t>Crude oil</w:t>
            </w:r>
          </w:p>
        </w:tc>
        <w:tc>
          <w:tcPr>
            <w:tcW w:w="1134" w:type="dxa"/>
            <w:tcBorders>
              <w:top w:val="single" w:sz="4" w:space="0" w:color="auto"/>
              <w:bottom w:val="double" w:sz="6" w:space="0" w:color="auto"/>
            </w:tcBorders>
          </w:tcPr>
          <w:p w:rsidR="00164269" w:rsidRPr="00164269" w:rsidRDefault="00164269" w:rsidP="00164269">
            <w:pPr>
              <w:widowControl w:val="0"/>
              <w:spacing w:before="60" w:after="20" w:line="276" w:lineRule="auto"/>
              <w:jc w:val="center"/>
              <w:rPr>
                <w:b/>
                <w:sz w:val="24"/>
                <w:szCs w:val="24"/>
              </w:rPr>
            </w:pPr>
            <w:r w:rsidRPr="00164269">
              <w:rPr>
                <w:b/>
                <w:sz w:val="24"/>
                <w:szCs w:val="24"/>
              </w:rPr>
              <w:t>Refined Products</w:t>
            </w:r>
          </w:p>
        </w:tc>
        <w:tc>
          <w:tcPr>
            <w:tcW w:w="425" w:type="dxa"/>
            <w:tcBorders>
              <w:top w:val="nil"/>
              <w:bottom w:val="double" w:sz="6" w:space="0" w:color="auto"/>
            </w:tcBorders>
          </w:tcPr>
          <w:p w:rsidR="00164269" w:rsidRPr="00164269" w:rsidRDefault="00164269" w:rsidP="00164269">
            <w:pPr>
              <w:widowControl w:val="0"/>
              <w:spacing w:before="60" w:after="20" w:line="276" w:lineRule="auto"/>
              <w:jc w:val="center"/>
              <w:rPr>
                <w:b/>
                <w:sz w:val="24"/>
                <w:szCs w:val="24"/>
              </w:rPr>
            </w:pPr>
          </w:p>
        </w:tc>
        <w:tc>
          <w:tcPr>
            <w:tcW w:w="1276" w:type="dxa"/>
            <w:tcBorders>
              <w:top w:val="single" w:sz="4" w:space="0" w:color="auto"/>
              <w:bottom w:val="double" w:sz="6" w:space="0" w:color="auto"/>
            </w:tcBorders>
          </w:tcPr>
          <w:p w:rsidR="00164269" w:rsidRPr="00164269" w:rsidRDefault="00164269" w:rsidP="00164269">
            <w:pPr>
              <w:widowControl w:val="0"/>
              <w:spacing w:before="60" w:after="20" w:line="276" w:lineRule="auto"/>
              <w:jc w:val="center"/>
              <w:rPr>
                <w:b/>
                <w:sz w:val="24"/>
                <w:szCs w:val="24"/>
              </w:rPr>
            </w:pPr>
            <w:r w:rsidRPr="00164269">
              <w:rPr>
                <w:b/>
                <w:sz w:val="24"/>
                <w:szCs w:val="24"/>
              </w:rPr>
              <w:t>Crude oil</w:t>
            </w:r>
          </w:p>
        </w:tc>
        <w:tc>
          <w:tcPr>
            <w:tcW w:w="1417" w:type="dxa"/>
            <w:tcBorders>
              <w:top w:val="single" w:sz="4" w:space="0" w:color="auto"/>
              <w:bottom w:val="double" w:sz="6" w:space="0" w:color="auto"/>
            </w:tcBorders>
          </w:tcPr>
          <w:p w:rsidR="00164269" w:rsidRPr="00164269" w:rsidRDefault="00164269" w:rsidP="00164269">
            <w:pPr>
              <w:widowControl w:val="0"/>
              <w:spacing w:before="60" w:after="20" w:line="276" w:lineRule="auto"/>
              <w:jc w:val="center"/>
              <w:rPr>
                <w:b/>
                <w:sz w:val="24"/>
                <w:szCs w:val="24"/>
              </w:rPr>
            </w:pPr>
            <w:r w:rsidRPr="00164269">
              <w:rPr>
                <w:b/>
                <w:sz w:val="24"/>
                <w:szCs w:val="24"/>
              </w:rPr>
              <w:t>Refined Products</w:t>
            </w:r>
          </w:p>
        </w:tc>
      </w:tr>
      <w:tr w:rsidR="00164269" w:rsidRPr="00164269" w:rsidTr="00D231E5">
        <w:tc>
          <w:tcPr>
            <w:tcW w:w="1276" w:type="dxa"/>
            <w:tcBorders>
              <w:top w:val="double" w:sz="6" w:space="0" w:color="auto"/>
              <w:bottom w:val="nil"/>
            </w:tcBorders>
          </w:tcPr>
          <w:p w:rsidR="00164269" w:rsidRPr="00164269" w:rsidRDefault="00164269" w:rsidP="00164269">
            <w:pPr>
              <w:widowControl w:val="0"/>
              <w:spacing w:before="40" w:after="20" w:line="276" w:lineRule="auto"/>
              <w:rPr>
                <w:sz w:val="24"/>
                <w:szCs w:val="24"/>
              </w:rPr>
            </w:pPr>
            <w:r w:rsidRPr="00164269">
              <w:rPr>
                <w:sz w:val="24"/>
                <w:szCs w:val="24"/>
              </w:rPr>
              <w:t>Africa</w:t>
            </w:r>
          </w:p>
        </w:tc>
        <w:tc>
          <w:tcPr>
            <w:tcW w:w="284" w:type="dxa"/>
            <w:tcBorders>
              <w:top w:val="double" w:sz="6" w:space="0" w:color="auto"/>
              <w:bottom w:val="nil"/>
            </w:tcBorders>
          </w:tcPr>
          <w:p w:rsidR="00164269" w:rsidRPr="00164269" w:rsidRDefault="00164269" w:rsidP="00164269">
            <w:pPr>
              <w:widowControl w:val="0"/>
              <w:spacing w:before="40" w:after="20" w:line="276" w:lineRule="auto"/>
              <w:ind w:right="113"/>
              <w:jc w:val="right"/>
              <w:rPr>
                <w:sz w:val="24"/>
                <w:szCs w:val="24"/>
              </w:rPr>
            </w:pPr>
          </w:p>
        </w:tc>
        <w:tc>
          <w:tcPr>
            <w:tcW w:w="992" w:type="dxa"/>
            <w:tcBorders>
              <w:top w:val="double" w:sz="6" w:space="0" w:color="auto"/>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40</w:t>
            </w:r>
          </w:p>
        </w:tc>
        <w:tc>
          <w:tcPr>
            <w:tcW w:w="992" w:type="dxa"/>
            <w:tcBorders>
              <w:top w:val="double" w:sz="6" w:space="0" w:color="auto"/>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w:t>
            </w:r>
          </w:p>
        </w:tc>
        <w:tc>
          <w:tcPr>
            <w:tcW w:w="284" w:type="dxa"/>
            <w:tcBorders>
              <w:top w:val="double" w:sz="6" w:space="0" w:color="auto"/>
              <w:bottom w:val="nil"/>
            </w:tcBorders>
          </w:tcPr>
          <w:p w:rsidR="00164269" w:rsidRPr="00164269" w:rsidRDefault="00164269" w:rsidP="00164269">
            <w:pPr>
              <w:widowControl w:val="0"/>
              <w:spacing w:before="40" w:after="20" w:line="276" w:lineRule="auto"/>
              <w:ind w:right="113"/>
              <w:jc w:val="right"/>
              <w:rPr>
                <w:sz w:val="24"/>
                <w:szCs w:val="24"/>
              </w:rPr>
            </w:pPr>
          </w:p>
        </w:tc>
        <w:tc>
          <w:tcPr>
            <w:tcW w:w="992" w:type="dxa"/>
            <w:tcBorders>
              <w:top w:val="double" w:sz="6" w:space="0" w:color="auto"/>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42</w:t>
            </w:r>
          </w:p>
        </w:tc>
        <w:tc>
          <w:tcPr>
            <w:tcW w:w="1134" w:type="dxa"/>
            <w:tcBorders>
              <w:top w:val="double" w:sz="6" w:space="0" w:color="auto"/>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w:t>
            </w:r>
          </w:p>
        </w:tc>
        <w:tc>
          <w:tcPr>
            <w:tcW w:w="425" w:type="dxa"/>
            <w:tcBorders>
              <w:top w:val="double" w:sz="6" w:space="0" w:color="auto"/>
              <w:bottom w:val="nil"/>
            </w:tcBorders>
          </w:tcPr>
          <w:p w:rsidR="00164269" w:rsidRPr="00164269" w:rsidRDefault="00164269" w:rsidP="00164269">
            <w:pPr>
              <w:widowControl w:val="0"/>
              <w:spacing w:before="40" w:after="20" w:line="276" w:lineRule="auto"/>
              <w:ind w:right="113"/>
              <w:jc w:val="right"/>
              <w:rPr>
                <w:sz w:val="24"/>
                <w:szCs w:val="24"/>
              </w:rPr>
            </w:pPr>
          </w:p>
        </w:tc>
        <w:tc>
          <w:tcPr>
            <w:tcW w:w="1276" w:type="dxa"/>
            <w:tcBorders>
              <w:top w:val="double" w:sz="6" w:space="0" w:color="auto"/>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2.90</w:t>
            </w:r>
          </w:p>
        </w:tc>
        <w:tc>
          <w:tcPr>
            <w:tcW w:w="1417" w:type="dxa"/>
            <w:tcBorders>
              <w:top w:val="double" w:sz="6" w:space="0" w:color="auto"/>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w:t>
            </w:r>
          </w:p>
        </w:tc>
      </w:tr>
      <w:tr w:rsidR="00164269" w:rsidRPr="00164269" w:rsidTr="00D231E5">
        <w:tc>
          <w:tcPr>
            <w:tcW w:w="1276" w:type="dxa"/>
            <w:tcBorders>
              <w:top w:val="nil"/>
              <w:bottom w:val="nil"/>
            </w:tcBorders>
          </w:tcPr>
          <w:p w:rsidR="00164269" w:rsidRPr="00164269" w:rsidRDefault="00164269" w:rsidP="00164269">
            <w:pPr>
              <w:widowControl w:val="0"/>
              <w:spacing w:before="40" w:after="20" w:line="276" w:lineRule="auto"/>
              <w:jc w:val="left"/>
              <w:rPr>
                <w:sz w:val="24"/>
                <w:szCs w:val="24"/>
              </w:rPr>
            </w:pPr>
            <w:r w:rsidRPr="00164269">
              <w:rPr>
                <w:sz w:val="24"/>
                <w:szCs w:val="24"/>
              </w:rPr>
              <w:t>Asia and Pacific</w:t>
            </w:r>
          </w:p>
        </w:tc>
        <w:tc>
          <w:tcPr>
            <w:tcW w:w="284"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p>
        </w:tc>
        <w:tc>
          <w:tcPr>
            <w:tcW w:w="992"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1,162</w:t>
            </w:r>
          </w:p>
        </w:tc>
        <w:tc>
          <w:tcPr>
            <w:tcW w:w="992"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620</w:t>
            </w:r>
          </w:p>
        </w:tc>
        <w:tc>
          <w:tcPr>
            <w:tcW w:w="284"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p>
        </w:tc>
        <w:tc>
          <w:tcPr>
            <w:tcW w:w="992"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1,199</w:t>
            </w:r>
          </w:p>
        </w:tc>
        <w:tc>
          <w:tcPr>
            <w:tcW w:w="1134"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582</w:t>
            </w:r>
          </w:p>
        </w:tc>
        <w:tc>
          <w:tcPr>
            <w:tcW w:w="425"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p>
        </w:tc>
        <w:tc>
          <w:tcPr>
            <w:tcW w:w="1276"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83.80</w:t>
            </w:r>
          </w:p>
        </w:tc>
        <w:tc>
          <w:tcPr>
            <w:tcW w:w="1417"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92.0</w:t>
            </w:r>
          </w:p>
        </w:tc>
      </w:tr>
      <w:tr w:rsidR="00164269" w:rsidRPr="00164269" w:rsidTr="00D231E5">
        <w:tc>
          <w:tcPr>
            <w:tcW w:w="1276" w:type="dxa"/>
            <w:tcBorders>
              <w:top w:val="nil"/>
              <w:bottom w:val="nil"/>
            </w:tcBorders>
          </w:tcPr>
          <w:p w:rsidR="00164269" w:rsidRPr="00164269" w:rsidRDefault="00164269" w:rsidP="00164269">
            <w:pPr>
              <w:widowControl w:val="0"/>
              <w:spacing w:before="40" w:after="20" w:line="276" w:lineRule="auto"/>
              <w:rPr>
                <w:sz w:val="24"/>
                <w:szCs w:val="24"/>
              </w:rPr>
            </w:pPr>
            <w:r w:rsidRPr="00164269">
              <w:rPr>
                <w:sz w:val="24"/>
                <w:szCs w:val="24"/>
              </w:rPr>
              <w:t>Europe</w:t>
            </w:r>
          </w:p>
        </w:tc>
        <w:tc>
          <w:tcPr>
            <w:tcW w:w="284"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p>
        </w:tc>
        <w:tc>
          <w:tcPr>
            <w:tcW w:w="992"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51</w:t>
            </w:r>
          </w:p>
        </w:tc>
        <w:tc>
          <w:tcPr>
            <w:tcW w:w="992"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52</w:t>
            </w:r>
          </w:p>
        </w:tc>
        <w:tc>
          <w:tcPr>
            <w:tcW w:w="284"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p>
        </w:tc>
        <w:tc>
          <w:tcPr>
            <w:tcW w:w="992"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62</w:t>
            </w:r>
          </w:p>
        </w:tc>
        <w:tc>
          <w:tcPr>
            <w:tcW w:w="1134"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49</w:t>
            </w:r>
          </w:p>
        </w:tc>
        <w:tc>
          <w:tcPr>
            <w:tcW w:w="425"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p>
        </w:tc>
        <w:tc>
          <w:tcPr>
            <w:tcW w:w="1276"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4.30</w:t>
            </w:r>
          </w:p>
        </w:tc>
        <w:tc>
          <w:tcPr>
            <w:tcW w:w="1417"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7.75</w:t>
            </w:r>
          </w:p>
        </w:tc>
      </w:tr>
      <w:tr w:rsidR="00164269" w:rsidRPr="00164269" w:rsidTr="00D231E5">
        <w:tc>
          <w:tcPr>
            <w:tcW w:w="1276" w:type="dxa"/>
            <w:tcBorders>
              <w:top w:val="nil"/>
              <w:bottom w:val="nil"/>
            </w:tcBorders>
          </w:tcPr>
          <w:p w:rsidR="00164269" w:rsidRPr="00164269" w:rsidRDefault="00164269" w:rsidP="00164269">
            <w:pPr>
              <w:widowControl w:val="0"/>
              <w:spacing w:before="40" w:after="20" w:line="276" w:lineRule="auto"/>
              <w:jc w:val="left"/>
              <w:rPr>
                <w:sz w:val="24"/>
                <w:szCs w:val="24"/>
              </w:rPr>
            </w:pPr>
            <w:r w:rsidRPr="00164269">
              <w:rPr>
                <w:sz w:val="24"/>
                <w:szCs w:val="24"/>
              </w:rPr>
              <w:t>The Middle East</w:t>
            </w:r>
          </w:p>
        </w:tc>
        <w:tc>
          <w:tcPr>
            <w:tcW w:w="284"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p>
        </w:tc>
        <w:tc>
          <w:tcPr>
            <w:tcW w:w="992"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w:t>
            </w:r>
          </w:p>
        </w:tc>
        <w:tc>
          <w:tcPr>
            <w:tcW w:w="992"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w:t>
            </w:r>
          </w:p>
        </w:tc>
        <w:tc>
          <w:tcPr>
            <w:tcW w:w="284"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p>
        </w:tc>
        <w:tc>
          <w:tcPr>
            <w:tcW w:w="992"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w:t>
            </w:r>
          </w:p>
        </w:tc>
        <w:tc>
          <w:tcPr>
            <w:tcW w:w="1134"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w:t>
            </w:r>
          </w:p>
        </w:tc>
        <w:tc>
          <w:tcPr>
            <w:tcW w:w="425"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p>
        </w:tc>
        <w:tc>
          <w:tcPr>
            <w:tcW w:w="1276"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w:t>
            </w:r>
          </w:p>
        </w:tc>
        <w:tc>
          <w:tcPr>
            <w:tcW w:w="1417"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w:t>
            </w:r>
          </w:p>
        </w:tc>
      </w:tr>
      <w:tr w:rsidR="00164269" w:rsidRPr="00164269" w:rsidTr="00D231E5">
        <w:tc>
          <w:tcPr>
            <w:tcW w:w="1276" w:type="dxa"/>
            <w:tcBorders>
              <w:top w:val="nil"/>
              <w:bottom w:val="nil"/>
            </w:tcBorders>
          </w:tcPr>
          <w:p w:rsidR="00164269" w:rsidRPr="00164269" w:rsidRDefault="00164269" w:rsidP="00164269">
            <w:pPr>
              <w:widowControl w:val="0"/>
              <w:spacing w:before="40" w:after="20" w:line="276" w:lineRule="auto"/>
              <w:rPr>
                <w:sz w:val="24"/>
                <w:szCs w:val="24"/>
              </w:rPr>
            </w:pPr>
            <w:r w:rsidRPr="00164269">
              <w:rPr>
                <w:sz w:val="24"/>
                <w:szCs w:val="24"/>
              </w:rPr>
              <w:t>North America</w:t>
            </w:r>
          </w:p>
        </w:tc>
        <w:tc>
          <w:tcPr>
            <w:tcW w:w="284"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p>
        </w:tc>
        <w:tc>
          <w:tcPr>
            <w:tcW w:w="992"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95</w:t>
            </w:r>
          </w:p>
        </w:tc>
        <w:tc>
          <w:tcPr>
            <w:tcW w:w="992"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1</w:t>
            </w:r>
          </w:p>
        </w:tc>
        <w:tc>
          <w:tcPr>
            <w:tcW w:w="284"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p>
        </w:tc>
        <w:tc>
          <w:tcPr>
            <w:tcW w:w="992"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127</w:t>
            </w:r>
          </w:p>
        </w:tc>
        <w:tc>
          <w:tcPr>
            <w:tcW w:w="1134"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1</w:t>
            </w:r>
          </w:p>
        </w:tc>
        <w:tc>
          <w:tcPr>
            <w:tcW w:w="425"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p>
        </w:tc>
        <w:tc>
          <w:tcPr>
            <w:tcW w:w="1276"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8.90</w:t>
            </w:r>
          </w:p>
        </w:tc>
        <w:tc>
          <w:tcPr>
            <w:tcW w:w="1417" w:type="dxa"/>
            <w:tcBorders>
              <w:top w:val="nil"/>
              <w:bottom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0.16</w:t>
            </w:r>
          </w:p>
        </w:tc>
      </w:tr>
      <w:tr w:rsidR="00164269" w:rsidRPr="00164269" w:rsidTr="00D231E5">
        <w:tc>
          <w:tcPr>
            <w:tcW w:w="1276" w:type="dxa"/>
            <w:tcBorders>
              <w:top w:val="nil"/>
            </w:tcBorders>
          </w:tcPr>
          <w:p w:rsidR="00164269" w:rsidRPr="00164269" w:rsidRDefault="00164269" w:rsidP="00164269">
            <w:pPr>
              <w:widowControl w:val="0"/>
              <w:spacing w:before="40" w:after="20" w:line="276" w:lineRule="auto"/>
              <w:rPr>
                <w:sz w:val="24"/>
                <w:szCs w:val="24"/>
              </w:rPr>
            </w:pPr>
            <w:r w:rsidRPr="00164269">
              <w:rPr>
                <w:sz w:val="24"/>
                <w:szCs w:val="24"/>
              </w:rPr>
              <w:t>Latin America</w:t>
            </w:r>
          </w:p>
        </w:tc>
        <w:tc>
          <w:tcPr>
            <w:tcW w:w="284" w:type="dxa"/>
            <w:tcBorders>
              <w:top w:val="nil"/>
            </w:tcBorders>
          </w:tcPr>
          <w:p w:rsidR="00164269" w:rsidRPr="00164269" w:rsidRDefault="00164269" w:rsidP="00164269">
            <w:pPr>
              <w:widowControl w:val="0"/>
              <w:spacing w:before="40" w:after="20" w:line="276" w:lineRule="auto"/>
              <w:ind w:right="113"/>
              <w:jc w:val="right"/>
              <w:rPr>
                <w:sz w:val="24"/>
                <w:szCs w:val="24"/>
              </w:rPr>
            </w:pPr>
          </w:p>
        </w:tc>
        <w:tc>
          <w:tcPr>
            <w:tcW w:w="992" w:type="dxa"/>
            <w:tcBorders>
              <w:top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w:t>
            </w:r>
          </w:p>
        </w:tc>
        <w:tc>
          <w:tcPr>
            <w:tcW w:w="992" w:type="dxa"/>
            <w:tcBorders>
              <w:top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w:t>
            </w:r>
          </w:p>
        </w:tc>
        <w:tc>
          <w:tcPr>
            <w:tcW w:w="284" w:type="dxa"/>
            <w:tcBorders>
              <w:top w:val="nil"/>
            </w:tcBorders>
          </w:tcPr>
          <w:p w:rsidR="00164269" w:rsidRPr="00164269" w:rsidRDefault="00164269" w:rsidP="00164269">
            <w:pPr>
              <w:widowControl w:val="0"/>
              <w:spacing w:before="40" w:after="20" w:line="276" w:lineRule="auto"/>
              <w:ind w:right="113"/>
              <w:jc w:val="right"/>
              <w:rPr>
                <w:sz w:val="24"/>
                <w:szCs w:val="24"/>
              </w:rPr>
            </w:pPr>
          </w:p>
        </w:tc>
        <w:tc>
          <w:tcPr>
            <w:tcW w:w="992" w:type="dxa"/>
            <w:tcBorders>
              <w:top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w:t>
            </w:r>
          </w:p>
        </w:tc>
        <w:tc>
          <w:tcPr>
            <w:tcW w:w="1134" w:type="dxa"/>
            <w:tcBorders>
              <w:top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w:t>
            </w:r>
          </w:p>
        </w:tc>
        <w:tc>
          <w:tcPr>
            <w:tcW w:w="425" w:type="dxa"/>
            <w:tcBorders>
              <w:top w:val="nil"/>
            </w:tcBorders>
          </w:tcPr>
          <w:p w:rsidR="00164269" w:rsidRPr="00164269" w:rsidRDefault="00164269" w:rsidP="00164269">
            <w:pPr>
              <w:widowControl w:val="0"/>
              <w:spacing w:before="40" w:after="20" w:line="276" w:lineRule="auto"/>
              <w:ind w:right="113"/>
              <w:jc w:val="right"/>
              <w:rPr>
                <w:sz w:val="24"/>
                <w:szCs w:val="24"/>
              </w:rPr>
            </w:pPr>
          </w:p>
        </w:tc>
        <w:tc>
          <w:tcPr>
            <w:tcW w:w="1276" w:type="dxa"/>
            <w:tcBorders>
              <w:top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w:t>
            </w:r>
          </w:p>
        </w:tc>
        <w:tc>
          <w:tcPr>
            <w:tcW w:w="1417" w:type="dxa"/>
            <w:tcBorders>
              <w:top w:val="nil"/>
            </w:tcBorders>
          </w:tcPr>
          <w:p w:rsidR="00164269" w:rsidRPr="00164269" w:rsidRDefault="00164269" w:rsidP="00164269">
            <w:pPr>
              <w:widowControl w:val="0"/>
              <w:spacing w:before="40" w:after="20" w:line="276" w:lineRule="auto"/>
              <w:ind w:right="113"/>
              <w:jc w:val="right"/>
              <w:rPr>
                <w:sz w:val="24"/>
                <w:szCs w:val="24"/>
              </w:rPr>
            </w:pPr>
            <w:r w:rsidRPr="00164269">
              <w:rPr>
                <w:sz w:val="24"/>
                <w:szCs w:val="24"/>
              </w:rPr>
              <w:t>-</w:t>
            </w:r>
          </w:p>
        </w:tc>
      </w:tr>
      <w:tr w:rsidR="00164269" w:rsidRPr="00164269" w:rsidTr="00D231E5">
        <w:tc>
          <w:tcPr>
            <w:tcW w:w="1276" w:type="dxa"/>
            <w:tcBorders>
              <w:bottom w:val="double" w:sz="6" w:space="0" w:color="auto"/>
            </w:tcBorders>
          </w:tcPr>
          <w:p w:rsidR="00164269" w:rsidRPr="00164269" w:rsidRDefault="00164269" w:rsidP="00164269">
            <w:pPr>
              <w:widowControl w:val="0"/>
              <w:spacing w:before="40" w:after="20" w:line="276" w:lineRule="auto"/>
              <w:rPr>
                <w:b/>
                <w:sz w:val="24"/>
                <w:szCs w:val="24"/>
              </w:rPr>
            </w:pPr>
            <w:r w:rsidRPr="00164269">
              <w:rPr>
                <w:b/>
                <w:sz w:val="24"/>
                <w:szCs w:val="24"/>
              </w:rPr>
              <w:t>Total</w:t>
            </w:r>
          </w:p>
        </w:tc>
        <w:tc>
          <w:tcPr>
            <w:tcW w:w="284" w:type="dxa"/>
            <w:tcBorders>
              <w:bottom w:val="double" w:sz="6" w:space="0" w:color="auto"/>
            </w:tcBorders>
          </w:tcPr>
          <w:p w:rsidR="00164269" w:rsidRPr="00164269" w:rsidRDefault="00164269" w:rsidP="00164269">
            <w:pPr>
              <w:widowControl w:val="0"/>
              <w:spacing w:before="40" w:after="20" w:line="276" w:lineRule="auto"/>
              <w:ind w:right="113"/>
              <w:jc w:val="right"/>
              <w:rPr>
                <w:b/>
                <w:sz w:val="24"/>
                <w:szCs w:val="24"/>
              </w:rPr>
            </w:pPr>
          </w:p>
        </w:tc>
        <w:tc>
          <w:tcPr>
            <w:tcW w:w="992" w:type="dxa"/>
            <w:tcBorders>
              <w:bottom w:val="double" w:sz="6" w:space="0" w:color="auto"/>
            </w:tcBorders>
          </w:tcPr>
          <w:p w:rsidR="00164269" w:rsidRPr="00164269" w:rsidRDefault="00164269" w:rsidP="00164269">
            <w:pPr>
              <w:widowControl w:val="0"/>
              <w:spacing w:before="40" w:after="20" w:line="276" w:lineRule="auto"/>
              <w:ind w:right="113"/>
              <w:jc w:val="right"/>
              <w:rPr>
                <w:b/>
                <w:sz w:val="24"/>
                <w:szCs w:val="24"/>
              </w:rPr>
            </w:pPr>
            <w:r w:rsidRPr="00164269">
              <w:rPr>
                <w:b/>
                <w:sz w:val="24"/>
                <w:szCs w:val="24"/>
              </w:rPr>
              <w:t>1,348</w:t>
            </w:r>
          </w:p>
        </w:tc>
        <w:tc>
          <w:tcPr>
            <w:tcW w:w="992" w:type="dxa"/>
            <w:tcBorders>
              <w:bottom w:val="double" w:sz="6" w:space="0" w:color="auto"/>
            </w:tcBorders>
          </w:tcPr>
          <w:p w:rsidR="00164269" w:rsidRPr="00164269" w:rsidRDefault="00164269" w:rsidP="00164269">
            <w:pPr>
              <w:widowControl w:val="0"/>
              <w:spacing w:before="40" w:after="20" w:line="276" w:lineRule="auto"/>
              <w:ind w:right="113"/>
              <w:jc w:val="right"/>
              <w:rPr>
                <w:b/>
                <w:sz w:val="24"/>
                <w:szCs w:val="24"/>
              </w:rPr>
            </w:pPr>
            <w:r w:rsidRPr="00164269">
              <w:rPr>
                <w:b/>
                <w:sz w:val="24"/>
                <w:szCs w:val="24"/>
              </w:rPr>
              <w:t>673.5</w:t>
            </w:r>
          </w:p>
        </w:tc>
        <w:tc>
          <w:tcPr>
            <w:tcW w:w="284" w:type="dxa"/>
            <w:tcBorders>
              <w:bottom w:val="double" w:sz="6" w:space="0" w:color="auto"/>
            </w:tcBorders>
          </w:tcPr>
          <w:p w:rsidR="00164269" w:rsidRPr="00164269" w:rsidRDefault="00164269" w:rsidP="00164269">
            <w:pPr>
              <w:widowControl w:val="0"/>
              <w:spacing w:before="40" w:after="20" w:line="276" w:lineRule="auto"/>
              <w:ind w:right="113"/>
              <w:jc w:val="right"/>
              <w:rPr>
                <w:b/>
                <w:sz w:val="24"/>
                <w:szCs w:val="24"/>
              </w:rPr>
            </w:pPr>
          </w:p>
        </w:tc>
        <w:tc>
          <w:tcPr>
            <w:tcW w:w="992" w:type="dxa"/>
            <w:tcBorders>
              <w:bottom w:val="double" w:sz="6" w:space="0" w:color="auto"/>
            </w:tcBorders>
          </w:tcPr>
          <w:p w:rsidR="00164269" w:rsidRPr="00164269" w:rsidRDefault="00164269" w:rsidP="00164269">
            <w:pPr>
              <w:widowControl w:val="0"/>
              <w:spacing w:before="40" w:after="20" w:line="276" w:lineRule="auto"/>
              <w:ind w:right="113"/>
              <w:jc w:val="right"/>
              <w:rPr>
                <w:b/>
                <w:sz w:val="24"/>
                <w:szCs w:val="24"/>
              </w:rPr>
            </w:pPr>
            <w:r w:rsidRPr="00164269">
              <w:rPr>
                <w:b/>
                <w:sz w:val="24"/>
                <w:szCs w:val="24"/>
              </w:rPr>
              <w:t>1,430</w:t>
            </w:r>
          </w:p>
        </w:tc>
        <w:tc>
          <w:tcPr>
            <w:tcW w:w="1134" w:type="dxa"/>
            <w:tcBorders>
              <w:bottom w:val="double" w:sz="6" w:space="0" w:color="auto"/>
            </w:tcBorders>
          </w:tcPr>
          <w:p w:rsidR="00164269" w:rsidRPr="00164269" w:rsidRDefault="00164269" w:rsidP="00164269">
            <w:pPr>
              <w:widowControl w:val="0"/>
              <w:spacing w:before="40" w:after="20" w:line="276" w:lineRule="auto"/>
              <w:ind w:right="113"/>
              <w:jc w:val="right"/>
              <w:rPr>
                <w:b/>
                <w:sz w:val="24"/>
                <w:szCs w:val="24"/>
              </w:rPr>
            </w:pPr>
            <w:r w:rsidRPr="00164269">
              <w:rPr>
                <w:b/>
                <w:sz w:val="24"/>
                <w:szCs w:val="24"/>
              </w:rPr>
              <w:t>632</w:t>
            </w:r>
          </w:p>
        </w:tc>
        <w:tc>
          <w:tcPr>
            <w:tcW w:w="425" w:type="dxa"/>
            <w:tcBorders>
              <w:bottom w:val="double" w:sz="6" w:space="0" w:color="auto"/>
            </w:tcBorders>
          </w:tcPr>
          <w:p w:rsidR="00164269" w:rsidRPr="00164269" w:rsidRDefault="00164269" w:rsidP="00164269">
            <w:pPr>
              <w:widowControl w:val="0"/>
              <w:spacing w:before="40" w:after="20" w:line="276" w:lineRule="auto"/>
              <w:ind w:right="113"/>
              <w:jc w:val="right"/>
              <w:rPr>
                <w:b/>
                <w:sz w:val="24"/>
                <w:szCs w:val="24"/>
              </w:rPr>
            </w:pPr>
          </w:p>
        </w:tc>
        <w:tc>
          <w:tcPr>
            <w:tcW w:w="1276" w:type="dxa"/>
            <w:tcBorders>
              <w:bottom w:val="double" w:sz="6" w:space="0" w:color="auto"/>
            </w:tcBorders>
          </w:tcPr>
          <w:p w:rsidR="00164269" w:rsidRPr="00164269" w:rsidRDefault="00164269" w:rsidP="00164269">
            <w:pPr>
              <w:widowControl w:val="0"/>
              <w:spacing w:before="40" w:after="20" w:line="276" w:lineRule="auto"/>
              <w:ind w:right="113"/>
              <w:jc w:val="right"/>
              <w:rPr>
                <w:b/>
                <w:sz w:val="24"/>
                <w:szCs w:val="24"/>
              </w:rPr>
            </w:pPr>
            <w:r w:rsidRPr="00164269">
              <w:rPr>
                <w:b/>
                <w:sz w:val="24"/>
                <w:szCs w:val="24"/>
              </w:rPr>
              <w:t>100</w:t>
            </w:r>
          </w:p>
        </w:tc>
        <w:tc>
          <w:tcPr>
            <w:tcW w:w="1417" w:type="dxa"/>
            <w:tcBorders>
              <w:bottom w:val="double" w:sz="6" w:space="0" w:color="auto"/>
            </w:tcBorders>
          </w:tcPr>
          <w:p w:rsidR="00164269" w:rsidRPr="00164269" w:rsidRDefault="00164269" w:rsidP="00164269">
            <w:pPr>
              <w:widowControl w:val="0"/>
              <w:spacing w:before="40" w:after="20" w:line="276" w:lineRule="auto"/>
              <w:ind w:right="113"/>
              <w:jc w:val="right"/>
              <w:rPr>
                <w:b/>
                <w:sz w:val="24"/>
                <w:szCs w:val="24"/>
              </w:rPr>
            </w:pPr>
            <w:r w:rsidRPr="00164269">
              <w:rPr>
                <w:b/>
                <w:sz w:val="24"/>
                <w:szCs w:val="24"/>
              </w:rPr>
              <w:t>100</w:t>
            </w:r>
          </w:p>
        </w:tc>
      </w:tr>
    </w:tbl>
    <w:p w:rsidR="00164269" w:rsidRPr="00164269" w:rsidRDefault="00164269" w:rsidP="00164269">
      <w:pPr>
        <w:spacing w:line="276" w:lineRule="auto"/>
        <w:rPr>
          <w:sz w:val="24"/>
          <w:szCs w:val="24"/>
        </w:rPr>
      </w:pPr>
    </w:p>
    <w:p w:rsidR="00164269" w:rsidRPr="00164269" w:rsidRDefault="00164269" w:rsidP="00164269">
      <w:pPr>
        <w:spacing w:line="276" w:lineRule="auto"/>
        <w:rPr>
          <w:sz w:val="24"/>
          <w:szCs w:val="24"/>
        </w:rPr>
      </w:pPr>
      <w:proofErr w:type="gramStart"/>
      <w:r w:rsidRPr="00164269">
        <w:rPr>
          <w:sz w:val="24"/>
          <w:szCs w:val="24"/>
        </w:rPr>
        <w:t>a</w:t>
      </w:r>
      <w:proofErr w:type="gramEnd"/>
      <w:r w:rsidRPr="00164269">
        <w:rPr>
          <w:sz w:val="24"/>
          <w:szCs w:val="24"/>
        </w:rPr>
        <w:tab/>
        <w:t>Including liquefied petroleum and natural gas.</w:t>
      </w:r>
    </w:p>
    <w:p w:rsidR="00164269" w:rsidRPr="00164269" w:rsidRDefault="00164269" w:rsidP="00164269">
      <w:pPr>
        <w:spacing w:line="276" w:lineRule="auto"/>
        <w:rPr>
          <w:sz w:val="24"/>
          <w:szCs w:val="24"/>
        </w:rPr>
      </w:pPr>
    </w:p>
    <w:p w:rsidR="00164269" w:rsidRPr="00164269" w:rsidRDefault="00164269" w:rsidP="00164269">
      <w:pPr>
        <w:spacing w:after="240" w:line="276" w:lineRule="auto"/>
        <w:rPr>
          <w:sz w:val="24"/>
          <w:szCs w:val="24"/>
        </w:rPr>
      </w:pPr>
      <w:r w:rsidRPr="00164269">
        <w:rPr>
          <w:i/>
          <w:sz w:val="24"/>
          <w:szCs w:val="24"/>
        </w:rPr>
        <w:t>Source:</w:t>
      </w:r>
      <w:r w:rsidRPr="00164269">
        <w:rPr>
          <w:sz w:val="24"/>
          <w:szCs w:val="24"/>
        </w:rPr>
        <w:tab/>
        <w:t>OPEC Statistical Bulletin (2009, 2010/2011).</w:t>
      </w:r>
    </w:p>
    <w:p w:rsidR="00164269" w:rsidRPr="00164269" w:rsidRDefault="00164269" w:rsidP="00164269">
      <w:pPr>
        <w:pStyle w:val="BodyText"/>
        <w:spacing w:line="276" w:lineRule="auto"/>
        <w:rPr>
          <w:sz w:val="24"/>
          <w:szCs w:val="24"/>
        </w:rPr>
      </w:pPr>
      <w:r w:rsidRPr="00164269">
        <w:rPr>
          <w:sz w:val="24"/>
          <w:szCs w:val="24"/>
        </w:rPr>
        <w:t xml:space="preserve">Kuwait's main port for crude oil exports is Mina al-Ahmadi.  Operational oil export terminals are Mina Abdullah, </w:t>
      </w:r>
      <w:proofErr w:type="spellStart"/>
      <w:r w:rsidRPr="00164269">
        <w:rPr>
          <w:sz w:val="24"/>
          <w:szCs w:val="24"/>
        </w:rPr>
        <w:t>Shuaiba</w:t>
      </w:r>
      <w:proofErr w:type="spellEnd"/>
      <w:r w:rsidRPr="00164269">
        <w:rPr>
          <w:sz w:val="24"/>
          <w:szCs w:val="24"/>
        </w:rPr>
        <w:t xml:space="preserve"> and Mina Al </w:t>
      </w:r>
      <w:proofErr w:type="spellStart"/>
      <w:r w:rsidRPr="00164269">
        <w:rPr>
          <w:sz w:val="24"/>
          <w:szCs w:val="24"/>
        </w:rPr>
        <w:t>Zour</w:t>
      </w:r>
      <w:proofErr w:type="spellEnd"/>
      <w:r w:rsidRPr="00164269">
        <w:rPr>
          <w:sz w:val="24"/>
          <w:szCs w:val="24"/>
        </w:rPr>
        <w:t xml:space="preserve">.  A new terminal is planned on </w:t>
      </w:r>
      <w:proofErr w:type="spellStart"/>
      <w:r w:rsidRPr="00164269">
        <w:rPr>
          <w:sz w:val="24"/>
          <w:szCs w:val="24"/>
        </w:rPr>
        <w:t>Bubiyan</w:t>
      </w:r>
      <w:proofErr w:type="spellEnd"/>
      <w:r w:rsidRPr="00164269">
        <w:rPr>
          <w:sz w:val="24"/>
          <w:szCs w:val="24"/>
        </w:rPr>
        <w:t xml:space="preserve"> Island to handle increased crude oil production, generated by the Northern fields.</w:t>
      </w:r>
    </w:p>
    <w:p w:rsidR="00164269" w:rsidRPr="00164269" w:rsidRDefault="00164269" w:rsidP="00164269">
      <w:pPr>
        <w:pStyle w:val="BodyText"/>
        <w:spacing w:line="276" w:lineRule="auto"/>
        <w:rPr>
          <w:sz w:val="24"/>
          <w:szCs w:val="24"/>
        </w:rPr>
      </w:pPr>
      <w:r w:rsidRPr="00164269">
        <w:rPr>
          <w:sz w:val="24"/>
          <w:szCs w:val="24"/>
        </w:rPr>
        <w:t>In addition to local oil production, Kuwait is also engaged in crude oil and natural gas exploration, development and production in 15 countries in Africa, the Middle East and Asia, through the Foreign Petroleum Exploration Company (KUFPEC).  A subsidiary of KPC, KUFPEC is an international oil company, which participates in joint ventures with companies in oil and gas exploration and production both as an operator and partner around the world.  In 2009, KUFPEC's total operating revenue amounted to US$820.9 million, of which oil and condensate represented 47.7% of total revenues, while gas accounted for 52.3%.  Total investments amounted to US$760 million in 2010.  According to the authorities, KUFPEC aims to produce around 100 thousand barrels per day (oil equivalent) of crude oil by 2015.</w:t>
      </w:r>
    </w:p>
    <w:p w:rsidR="00164269" w:rsidRPr="00164269" w:rsidRDefault="00164269" w:rsidP="00164269">
      <w:pPr>
        <w:pStyle w:val="BodyText"/>
        <w:spacing w:line="276" w:lineRule="auto"/>
        <w:rPr>
          <w:sz w:val="24"/>
          <w:szCs w:val="24"/>
        </w:rPr>
      </w:pPr>
      <w:r w:rsidRPr="00164269">
        <w:rPr>
          <w:sz w:val="24"/>
          <w:szCs w:val="24"/>
        </w:rPr>
        <w:lastRenderedPageBreak/>
        <w:t>Procurement by oil companies is generally excluded from the Public Tenders Law and the regulatory controls of the Central Tenders Committee (CTC).  However, when there are purchases of either a minimum value of KD 5 million and/or a variation by more than 10% of the contract value, in the case of three oil companies – KOC, KNPC, KOTC- and the Petrochemical Industries Company (PIC), these procurements must be managed by the CTC under the Public Tenders Law.</w:t>
      </w:r>
    </w:p>
    <w:p w:rsidR="00164269" w:rsidRPr="00164269" w:rsidRDefault="00164269" w:rsidP="00164269">
      <w:pPr>
        <w:pStyle w:val="Heading4"/>
        <w:numPr>
          <w:ilvl w:val="3"/>
          <w:numId w:val="3"/>
        </w:numPr>
        <w:spacing w:line="276" w:lineRule="auto"/>
        <w:rPr>
          <w:sz w:val="24"/>
          <w:szCs w:val="24"/>
        </w:rPr>
      </w:pPr>
      <w:r w:rsidRPr="00164269">
        <w:rPr>
          <w:sz w:val="24"/>
          <w:szCs w:val="24"/>
          <w:lang w:eastAsia="en-US"/>
        </w:rPr>
        <w:t>Downstream petroleum activities</w:t>
      </w:r>
    </w:p>
    <w:p w:rsidR="00164269" w:rsidRPr="00164269" w:rsidRDefault="00164269" w:rsidP="00164269">
      <w:pPr>
        <w:pStyle w:val="BodyText"/>
        <w:spacing w:line="276" w:lineRule="auto"/>
        <w:rPr>
          <w:sz w:val="24"/>
          <w:szCs w:val="24"/>
        </w:rPr>
      </w:pPr>
      <w:r w:rsidRPr="00164269">
        <w:rPr>
          <w:sz w:val="24"/>
          <w:szCs w:val="24"/>
        </w:rPr>
        <w:t xml:space="preserve">Downstream petroleum activities (i.e. the processing of crude oil to fuel) are fully controlled and owned by the Kuwait National Petroleum Company (KNPC), a subsidiary of KPC.  KNPC is in charge of refining operations and aims to be the best refiner in the Gulf region.  Kuwait's refining capacity stands at around 936,000 barrels per day (b/d).  There are three refineries in Kuwait:  Mina al-Ahmadi is the country's largest refinery with a capacity of 466,000 b/d, followed by Mina Abdullah (270,000 b/d) and </w:t>
      </w:r>
      <w:proofErr w:type="spellStart"/>
      <w:r w:rsidRPr="00164269">
        <w:rPr>
          <w:sz w:val="24"/>
          <w:szCs w:val="24"/>
        </w:rPr>
        <w:t>Shuaiba</w:t>
      </w:r>
      <w:proofErr w:type="spellEnd"/>
      <w:r w:rsidRPr="00164269">
        <w:rPr>
          <w:sz w:val="24"/>
          <w:szCs w:val="24"/>
        </w:rPr>
        <w:t xml:space="preserve"> (200,000 b/d).  A fourth new refinery is estimated to cost around US$15 billion and once operational</w:t>
      </w:r>
      <w:r w:rsidRPr="00164269">
        <w:rPr>
          <w:b/>
          <w:sz w:val="24"/>
          <w:szCs w:val="24"/>
        </w:rPr>
        <w:t>,</w:t>
      </w:r>
      <w:r w:rsidRPr="00164269">
        <w:rPr>
          <w:sz w:val="24"/>
          <w:szCs w:val="24"/>
        </w:rPr>
        <w:t xml:space="preserve"> it would be able to process ultra-heavy oil, at a refining capacity of 600,000 b/d.</w:t>
      </w:r>
    </w:p>
    <w:p w:rsidR="00164269" w:rsidRPr="00164269" w:rsidRDefault="00164269" w:rsidP="00164269">
      <w:pPr>
        <w:pStyle w:val="BodyText"/>
        <w:spacing w:line="276" w:lineRule="auto"/>
        <w:rPr>
          <w:sz w:val="24"/>
          <w:szCs w:val="24"/>
        </w:rPr>
      </w:pPr>
      <w:r w:rsidRPr="00164269">
        <w:rPr>
          <w:sz w:val="24"/>
          <w:szCs w:val="24"/>
        </w:rPr>
        <w:t>Kuwait's production of refined products increased to 979,000 b/d in 2010 from 892,700 b/d in 2009.  The majority of Kuwait's refined petroleum exports</w:t>
      </w:r>
      <w:proofErr w:type="gramStart"/>
      <w:r w:rsidRPr="00164269">
        <w:rPr>
          <w:sz w:val="24"/>
          <w:szCs w:val="24"/>
        </w:rPr>
        <w:t>;  around</w:t>
      </w:r>
      <w:proofErr w:type="gramEnd"/>
      <w:r w:rsidRPr="00164269">
        <w:rPr>
          <w:sz w:val="24"/>
          <w:szCs w:val="24"/>
        </w:rPr>
        <w:t xml:space="preserve"> 92% was exported to Asia in 2010, followed by Europe (7.75%) and North America (0.16%) (Table IV.2).</w:t>
      </w:r>
    </w:p>
    <w:p w:rsidR="00164269" w:rsidRPr="00164269" w:rsidRDefault="00164269" w:rsidP="00164269">
      <w:pPr>
        <w:pStyle w:val="BodyText"/>
        <w:spacing w:line="276" w:lineRule="auto"/>
        <w:rPr>
          <w:sz w:val="24"/>
          <w:szCs w:val="24"/>
        </w:rPr>
      </w:pPr>
      <w:r w:rsidRPr="00164269">
        <w:rPr>
          <w:sz w:val="24"/>
          <w:szCs w:val="24"/>
        </w:rPr>
        <w:t>Following the refining process, petroleum products are deposited in large storage depots at the refineries and then shipped through seven pipelines to two main storage depots (</w:t>
      </w:r>
      <w:proofErr w:type="spellStart"/>
      <w:r w:rsidRPr="00164269">
        <w:rPr>
          <w:sz w:val="24"/>
          <w:szCs w:val="24"/>
        </w:rPr>
        <w:t>Sabhan</w:t>
      </w:r>
      <w:proofErr w:type="spellEnd"/>
      <w:r w:rsidRPr="00164269">
        <w:rPr>
          <w:sz w:val="24"/>
          <w:szCs w:val="24"/>
        </w:rPr>
        <w:t xml:space="preserve"> and Al-Ahmadi).  </w:t>
      </w:r>
      <w:r w:rsidRPr="00164269">
        <w:rPr>
          <w:color w:val="000000"/>
          <w:sz w:val="24"/>
          <w:szCs w:val="24"/>
          <w:lang w:eastAsia="en-US"/>
        </w:rPr>
        <w:t>Petroleum products are supplied to domestic consumers through 99 filling gas stations across the country.</w:t>
      </w:r>
      <w:r w:rsidRPr="00164269">
        <w:rPr>
          <w:sz w:val="24"/>
          <w:szCs w:val="24"/>
        </w:rPr>
        <w:t xml:space="preserve">  The distribution and the storage facilities are fully controlled and owned by KNPC.  Some gas stations have been privatized.</w:t>
      </w:r>
    </w:p>
    <w:p w:rsidR="00164269" w:rsidRPr="00164269" w:rsidRDefault="00164269" w:rsidP="00164269">
      <w:pPr>
        <w:pStyle w:val="BodyText"/>
        <w:spacing w:line="276" w:lineRule="auto"/>
        <w:rPr>
          <w:sz w:val="24"/>
          <w:szCs w:val="24"/>
        </w:rPr>
      </w:pPr>
      <w:r w:rsidRPr="00164269">
        <w:rPr>
          <w:sz w:val="24"/>
          <w:szCs w:val="24"/>
        </w:rPr>
        <w:t>Since 1999, Kuwait's domestic fuel supply has been unleaded gasoline. Table IV.3 shows regulated prices of refined petroleum and gas products.</w:t>
      </w:r>
    </w:p>
    <w:p w:rsidR="00164269" w:rsidRPr="00164269" w:rsidRDefault="00164269" w:rsidP="00164269">
      <w:pPr>
        <w:pStyle w:val="BodyTextFirstIndent2"/>
        <w:widowControl w:val="0"/>
        <w:tabs>
          <w:tab w:val="clear" w:pos="720"/>
        </w:tabs>
        <w:spacing w:after="0" w:line="276" w:lineRule="auto"/>
        <w:ind w:left="0" w:firstLine="0"/>
        <w:rPr>
          <w:b/>
          <w:color w:val="000000"/>
          <w:w w:val="0"/>
          <w:sz w:val="24"/>
          <w:szCs w:val="24"/>
        </w:rPr>
      </w:pPr>
      <w:r w:rsidRPr="00164269">
        <w:rPr>
          <w:b/>
          <w:color w:val="000000"/>
          <w:w w:val="0"/>
          <w:sz w:val="24"/>
          <w:szCs w:val="24"/>
        </w:rPr>
        <w:t>Table IV.3</w:t>
      </w:r>
    </w:p>
    <w:p w:rsidR="00164269" w:rsidRPr="00164269" w:rsidRDefault="00164269" w:rsidP="00164269">
      <w:pPr>
        <w:pStyle w:val="BodyTextFirstIndent2"/>
        <w:widowControl w:val="0"/>
        <w:tabs>
          <w:tab w:val="clear" w:pos="720"/>
        </w:tabs>
        <w:spacing w:after="0" w:line="276" w:lineRule="auto"/>
        <w:ind w:left="0" w:firstLine="0"/>
        <w:rPr>
          <w:b/>
          <w:color w:val="000000"/>
          <w:w w:val="0"/>
          <w:sz w:val="24"/>
          <w:szCs w:val="24"/>
        </w:rPr>
      </w:pPr>
      <w:r w:rsidRPr="00164269">
        <w:rPr>
          <w:b/>
          <w:color w:val="000000"/>
          <w:w w:val="0"/>
          <w:sz w:val="24"/>
          <w:szCs w:val="24"/>
        </w:rPr>
        <w:t>Regulated prices of refined petroleum and gas products</w:t>
      </w:r>
    </w:p>
    <w:tbl>
      <w:tblPr>
        <w:tblW w:w="9049" w:type="dxa"/>
        <w:tblInd w:w="131" w:type="dxa"/>
        <w:tblBorders>
          <w:top w:val="double" w:sz="6" w:space="0" w:color="auto"/>
          <w:left w:val="double" w:sz="6" w:space="0" w:color="auto"/>
          <w:bottom w:val="double" w:sz="6" w:space="0" w:color="auto"/>
          <w:right w:val="double" w:sz="6" w:space="0" w:color="auto"/>
        </w:tblBorders>
        <w:tblLook w:val="00A0" w:firstRow="1" w:lastRow="0" w:firstColumn="1" w:lastColumn="0" w:noHBand="0" w:noVBand="0"/>
      </w:tblPr>
      <w:tblGrid>
        <w:gridCol w:w="1107"/>
        <w:gridCol w:w="2968"/>
        <w:gridCol w:w="2703"/>
        <w:gridCol w:w="2271"/>
      </w:tblGrid>
      <w:tr w:rsidR="00164269" w:rsidRPr="00164269" w:rsidTr="00D231E5">
        <w:trPr>
          <w:trHeight w:val="286"/>
          <w:tblHeader/>
        </w:trPr>
        <w:tc>
          <w:tcPr>
            <w:tcW w:w="1107" w:type="dxa"/>
            <w:tcBorders>
              <w:top w:val="double" w:sz="6" w:space="0" w:color="auto"/>
              <w:bottom w:val="double" w:sz="6" w:space="0" w:color="auto"/>
            </w:tcBorders>
          </w:tcPr>
          <w:p w:rsidR="00164269" w:rsidRPr="00164269" w:rsidRDefault="00164269" w:rsidP="00164269">
            <w:pPr>
              <w:pStyle w:val="BodyText"/>
              <w:widowControl w:val="0"/>
              <w:numPr>
                <w:ilvl w:val="0"/>
                <w:numId w:val="0"/>
              </w:numPr>
              <w:spacing w:before="60" w:after="60" w:line="276" w:lineRule="auto"/>
              <w:ind w:left="170"/>
              <w:rPr>
                <w:color w:val="000000"/>
                <w:w w:val="0"/>
                <w:sz w:val="24"/>
                <w:szCs w:val="24"/>
              </w:rPr>
            </w:pPr>
            <w:r w:rsidRPr="00164269">
              <w:rPr>
                <w:b/>
                <w:color w:val="000000"/>
                <w:w w:val="0"/>
                <w:sz w:val="24"/>
                <w:szCs w:val="24"/>
              </w:rPr>
              <w:t>No.</w:t>
            </w:r>
          </w:p>
        </w:tc>
        <w:tc>
          <w:tcPr>
            <w:tcW w:w="2968" w:type="dxa"/>
            <w:tcBorders>
              <w:top w:val="double" w:sz="6" w:space="0" w:color="auto"/>
              <w:bottom w:val="double" w:sz="6" w:space="0" w:color="auto"/>
            </w:tcBorders>
          </w:tcPr>
          <w:p w:rsidR="00164269" w:rsidRPr="00164269" w:rsidRDefault="00164269" w:rsidP="00164269">
            <w:pPr>
              <w:pStyle w:val="BodyText"/>
              <w:widowControl w:val="0"/>
              <w:numPr>
                <w:ilvl w:val="0"/>
                <w:numId w:val="0"/>
              </w:numPr>
              <w:spacing w:before="60" w:after="60" w:line="276" w:lineRule="auto"/>
              <w:ind w:right="397"/>
              <w:jc w:val="left"/>
              <w:rPr>
                <w:b/>
                <w:color w:val="000000"/>
                <w:w w:val="0"/>
                <w:sz w:val="24"/>
                <w:szCs w:val="24"/>
              </w:rPr>
            </w:pPr>
            <w:r w:rsidRPr="00164269">
              <w:rPr>
                <w:b/>
                <w:color w:val="000000"/>
                <w:w w:val="0"/>
                <w:sz w:val="24"/>
                <w:szCs w:val="24"/>
              </w:rPr>
              <w:t>Item</w:t>
            </w:r>
          </w:p>
        </w:tc>
        <w:tc>
          <w:tcPr>
            <w:tcW w:w="2703" w:type="dxa"/>
            <w:tcBorders>
              <w:top w:val="double" w:sz="6" w:space="0" w:color="auto"/>
              <w:bottom w:val="double" w:sz="6" w:space="0" w:color="auto"/>
            </w:tcBorders>
          </w:tcPr>
          <w:p w:rsidR="00164269" w:rsidRPr="00164269" w:rsidRDefault="00164269" w:rsidP="00164269">
            <w:pPr>
              <w:pStyle w:val="BodyText"/>
              <w:widowControl w:val="0"/>
              <w:numPr>
                <w:ilvl w:val="0"/>
                <w:numId w:val="0"/>
              </w:numPr>
              <w:spacing w:before="60" w:after="60" w:line="276" w:lineRule="auto"/>
              <w:ind w:right="227"/>
              <w:jc w:val="center"/>
              <w:rPr>
                <w:color w:val="000000"/>
                <w:w w:val="0"/>
                <w:sz w:val="24"/>
                <w:szCs w:val="24"/>
              </w:rPr>
            </w:pPr>
            <w:r w:rsidRPr="00164269">
              <w:rPr>
                <w:b/>
                <w:color w:val="000000"/>
                <w:w w:val="0"/>
                <w:sz w:val="24"/>
                <w:szCs w:val="24"/>
              </w:rPr>
              <w:t>Current regulated price</w:t>
            </w:r>
          </w:p>
        </w:tc>
        <w:tc>
          <w:tcPr>
            <w:tcW w:w="2271" w:type="dxa"/>
            <w:tcBorders>
              <w:top w:val="double" w:sz="6" w:space="0" w:color="auto"/>
              <w:bottom w:val="double" w:sz="6" w:space="0" w:color="auto"/>
            </w:tcBorders>
          </w:tcPr>
          <w:p w:rsidR="00164269" w:rsidRPr="00164269" w:rsidRDefault="00164269" w:rsidP="00164269">
            <w:pPr>
              <w:pStyle w:val="BodyText"/>
              <w:widowControl w:val="0"/>
              <w:numPr>
                <w:ilvl w:val="0"/>
                <w:numId w:val="0"/>
              </w:numPr>
              <w:spacing w:before="60" w:after="60" w:line="276" w:lineRule="auto"/>
              <w:ind w:right="227"/>
              <w:jc w:val="center"/>
              <w:rPr>
                <w:color w:val="000000"/>
                <w:w w:val="0"/>
                <w:sz w:val="24"/>
                <w:szCs w:val="24"/>
              </w:rPr>
            </w:pPr>
            <w:r w:rsidRPr="00164269">
              <w:rPr>
                <w:b/>
                <w:color w:val="000000"/>
                <w:w w:val="0"/>
                <w:sz w:val="24"/>
                <w:szCs w:val="24"/>
              </w:rPr>
              <w:t>HS classification</w:t>
            </w:r>
          </w:p>
        </w:tc>
      </w:tr>
      <w:tr w:rsidR="00164269" w:rsidRPr="00164269" w:rsidTr="00D231E5">
        <w:trPr>
          <w:trHeight w:val="270"/>
        </w:trPr>
        <w:tc>
          <w:tcPr>
            <w:tcW w:w="1107" w:type="dxa"/>
            <w:tcBorders>
              <w:top w:val="double" w:sz="6" w:space="0" w:color="auto"/>
            </w:tcBorders>
          </w:tcPr>
          <w:p w:rsidR="00164269" w:rsidRPr="00164269" w:rsidRDefault="00164269" w:rsidP="00164269">
            <w:pPr>
              <w:pStyle w:val="BodyText"/>
              <w:widowControl w:val="0"/>
              <w:numPr>
                <w:ilvl w:val="0"/>
                <w:numId w:val="0"/>
              </w:numPr>
              <w:spacing w:before="60" w:after="60" w:line="276" w:lineRule="auto"/>
              <w:ind w:left="170"/>
              <w:rPr>
                <w:color w:val="000000"/>
                <w:w w:val="0"/>
                <w:sz w:val="24"/>
                <w:szCs w:val="24"/>
              </w:rPr>
            </w:pPr>
            <w:r w:rsidRPr="00164269">
              <w:rPr>
                <w:color w:val="000000"/>
                <w:w w:val="0"/>
                <w:sz w:val="24"/>
                <w:szCs w:val="24"/>
              </w:rPr>
              <w:t>1.</w:t>
            </w:r>
          </w:p>
        </w:tc>
        <w:tc>
          <w:tcPr>
            <w:tcW w:w="2968" w:type="dxa"/>
            <w:tcBorders>
              <w:top w:val="double" w:sz="6" w:space="0" w:color="auto"/>
            </w:tcBorders>
          </w:tcPr>
          <w:p w:rsidR="00164269" w:rsidRPr="00164269" w:rsidRDefault="00164269" w:rsidP="00164269">
            <w:pPr>
              <w:pStyle w:val="BodyText"/>
              <w:widowControl w:val="0"/>
              <w:numPr>
                <w:ilvl w:val="0"/>
                <w:numId w:val="0"/>
              </w:numPr>
              <w:spacing w:before="60" w:after="60" w:line="276" w:lineRule="auto"/>
              <w:ind w:right="397"/>
              <w:jc w:val="left"/>
              <w:rPr>
                <w:color w:val="000000"/>
                <w:w w:val="0"/>
                <w:sz w:val="24"/>
                <w:szCs w:val="24"/>
              </w:rPr>
            </w:pPr>
            <w:r w:rsidRPr="00164269">
              <w:rPr>
                <w:color w:val="000000"/>
                <w:w w:val="0"/>
                <w:sz w:val="24"/>
                <w:szCs w:val="24"/>
              </w:rPr>
              <w:t>Gasoline</w:t>
            </w:r>
          </w:p>
        </w:tc>
        <w:tc>
          <w:tcPr>
            <w:tcW w:w="2703" w:type="dxa"/>
            <w:tcBorders>
              <w:top w:val="double" w:sz="6" w:space="0" w:color="auto"/>
            </w:tcBorders>
          </w:tcPr>
          <w:p w:rsidR="00164269" w:rsidRPr="00164269" w:rsidRDefault="00164269" w:rsidP="00164269">
            <w:pPr>
              <w:pStyle w:val="BodyText"/>
              <w:widowControl w:val="0"/>
              <w:numPr>
                <w:ilvl w:val="0"/>
                <w:numId w:val="0"/>
              </w:numPr>
              <w:spacing w:before="60" w:after="60" w:line="276" w:lineRule="auto"/>
              <w:ind w:right="227"/>
              <w:jc w:val="center"/>
              <w:rPr>
                <w:color w:val="000000"/>
                <w:w w:val="0"/>
                <w:sz w:val="24"/>
                <w:szCs w:val="24"/>
              </w:rPr>
            </w:pPr>
            <w:r w:rsidRPr="00164269">
              <w:rPr>
                <w:color w:val="000000"/>
                <w:w w:val="0"/>
                <w:sz w:val="24"/>
                <w:szCs w:val="24"/>
              </w:rPr>
              <w:t xml:space="preserve">114 </w:t>
            </w:r>
            <w:proofErr w:type="spellStart"/>
            <w:r w:rsidRPr="00164269">
              <w:rPr>
                <w:color w:val="000000"/>
                <w:w w:val="0"/>
                <w:sz w:val="24"/>
                <w:szCs w:val="24"/>
              </w:rPr>
              <w:t>fils</w:t>
            </w:r>
            <w:proofErr w:type="spellEnd"/>
            <w:r w:rsidRPr="00164269">
              <w:rPr>
                <w:color w:val="000000"/>
                <w:w w:val="0"/>
                <w:sz w:val="24"/>
                <w:szCs w:val="24"/>
              </w:rPr>
              <w:t>/Litre</w:t>
            </w:r>
          </w:p>
        </w:tc>
        <w:tc>
          <w:tcPr>
            <w:tcW w:w="2271" w:type="dxa"/>
            <w:tcBorders>
              <w:top w:val="double" w:sz="6" w:space="0" w:color="auto"/>
            </w:tcBorders>
          </w:tcPr>
          <w:p w:rsidR="00164269" w:rsidRPr="00164269" w:rsidRDefault="00164269" w:rsidP="00164269">
            <w:pPr>
              <w:pStyle w:val="BodyText"/>
              <w:widowControl w:val="0"/>
              <w:numPr>
                <w:ilvl w:val="0"/>
                <w:numId w:val="0"/>
              </w:numPr>
              <w:spacing w:before="60" w:after="60" w:line="276" w:lineRule="auto"/>
              <w:ind w:right="567"/>
              <w:jc w:val="right"/>
              <w:rPr>
                <w:color w:val="000000"/>
                <w:w w:val="0"/>
                <w:sz w:val="24"/>
                <w:szCs w:val="24"/>
              </w:rPr>
            </w:pPr>
            <w:r w:rsidRPr="00164269">
              <w:rPr>
                <w:color w:val="000000"/>
                <w:w w:val="0"/>
                <w:sz w:val="24"/>
                <w:szCs w:val="24"/>
              </w:rPr>
              <w:t>27101121</w:t>
            </w:r>
          </w:p>
        </w:tc>
      </w:tr>
      <w:tr w:rsidR="00164269" w:rsidRPr="00164269" w:rsidTr="00D231E5">
        <w:trPr>
          <w:trHeight w:val="276"/>
        </w:trPr>
        <w:tc>
          <w:tcPr>
            <w:tcW w:w="1107" w:type="dxa"/>
          </w:tcPr>
          <w:p w:rsidR="00164269" w:rsidRPr="00164269" w:rsidRDefault="00164269" w:rsidP="00164269">
            <w:pPr>
              <w:pStyle w:val="BodyText"/>
              <w:widowControl w:val="0"/>
              <w:numPr>
                <w:ilvl w:val="0"/>
                <w:numId w:val="0"/>
              </w:numPr>
              <w:spacing w:before="60" w:after="60" w:line="276" w:lineRule="auto"/>
              <w:ind w:left="170"/>
              <w:rPr>
                <w:color w:val="000000"/>
                <w:w w:val="0"/>
                <w:sz w:val="24"/>
                <w:szCs w:val="24"/>
              </w:rPr>
            </w:pPr>
            <w:r w:rsidRPr="00164269">
              <w:rPr>
                <w:color w:val="000000"/>
                <w:w w:val="0"/>
                <w:sz w:val="24"/>
                <w:szCs w:val="24"/>
              </w:rPr>
              <w:t>2.</w:t>
            </w:r>
          </w:p>
        </w:tc>
        <w:tc>
          <w:tcPr>
            <w:tcW w:w="2968" w:type="dxa"/>
          </w:tcPr>
          <w:p w:rsidR="00164269" w:rsidRPr="00164269" w:rsidRDefault="00164269" w:rsidP="00164269">
            <w:pPr>
              <w:pStyle w:val="BodyText"/>
              <w:widowControl w:val="0"/>
              <w:numPr>
                <w:ilvl w:val="0"/>
                <w:numId w:val="0"/>
              </w:numPr>
              <w:spacing w:before="60" w:after="60" w:line="276" w:lineRule="auto"/>
              <w:ind w:right="397"/>
              <w:jc w:val="left"/>
              <w:rPr>
                <w:color w:val="000000"/>
                <w:w w:val="0"/>
                <w:sz w:val="24"/>
                <w:szCs w:val="24"/>
              </w:rPr>
            </w:pPr>
            <w:r w:rsidRPr="00164269">
              <w:rPr>
                <w:color w:val="000000"/>
                <w:w w:val="0"/>
                <w:sz w:val="24"/>
                <w:szCs w:val="24"/>
              </w:rPr>
              <w:t>Diesel</w:t>
            </w:r>
          </w:p>
        </w:tc>
        <w:tc>
          <w:tcPr>
            <w:tcW w:w="2703" w:type="dxa"/>
          </w:tcPr>
          <w:p w:rsidR="00164269" w:rsidRPr="00164269" w:rsidRDefault="00164269" w:rsidP="00164269">
            <w:pPr>
              <w:pStyle w:val="BodyText"/>
              <w:widowControl w:val="0"/>
              <w:numPr>
                <w:ilvl w:val="0"/>
                <w:numId w:val="0"/>
              </w:numPr>
              <w:spacing w:before="60" w:after="60" w:line="276" w:lineRule="auto"/>
              <w:ind w:right="227"/>
              <w:jc w:val="center"/>
              <w:rPr>
                <w:color w:val="000000"/>
                <w:w w:val="0"/>
                <w:sz w:val="24"/>
                <w:szCs w:val="24"/>
              </w:rPr>
            </w:pPr>
            <w:r w:rsidRPr="00164269">
              <w:rPr>
                <w:color w:val="000000"/>
                <w:w w:val="0"/>
                <w:sz w:val="24"/>
                <w:szCs w:val="24"/>
              </w:rPr>
              <w:t xml:space="preserve">87.5 </w:t>
            </w:r>
            <w:proofErr w:type="spellStart"/>
            <w:r w:rsidRPr="00164269">
              <w:rPr>
                <w:color w:val="000000"/>
                <w:w w:val="0"/>
                <w:sz w:val="24"/>
                <w:szCs w:val="24"/>
              </w:rPr>
              <w:t>fils</w:t>
            </w:r>
            <w:proofErr w:type="spellEnd"/>
            <w:r w:rsidRPr="00164269">
              <w:rPr>
                <w:color w:val="000000"/>
                <w:w w:val="0"/>
                <w:sz w:val="24"/>
                <w:szCs w:val="24"/>
              </w:rPr>
              <w:t>/Litre</w:t>
            </w:r>
          </w:p>
        </w:tc>
        <w:tc>
          <w:tcPr>
            <w:tcW w:w="2271" w:type="dxa"/>
          </w:tcPr>
          <w:p w:rsidR="00164269" w:rsidRPr="00164269" w:rsidRDefault="00164269" w:rsidP="00164269">
            <w:pPr>
              <w:pStyle w:val="BodyText"/>
              <w:widowControl w:val="0"/>
              <w:numPr>
                <w:ilvl w:val="0"/>
                <w:numId w:val="0"/>
              </w:numPr>
              <w:spacing w:before="60" w:after="60" w:line="276" w:lineRule="auto"/>
              <w:ind w:right="567"/>
              <w:jc w:val="right"/>
              <w:rPr>
                <w:color w:val="000000"/>
                <w:w w:val="0"/>
                <w:sz w:val="24"/>
                <w:szCs w:val="24"/>
              </w:rPr>
            </w:pPr>
            <w:r w:rsidRPr="00164269">
              <w:rPr>
                <w:color w:val="000000"/>
                <w:w w:val="0"/>
                <w:sz w:val="24"/>
                <w:szCs w:val="24"/>
              </w:rPr>
              <w:t>27101130-3</w:t>
            </w:r>
          </w:p>
        </w:tc>
      </w:tr>
      <w:tr w:rsidR="00164269" w:rsidRPr="00164269" w:rsidTr="00D231E5">
        <w:trPr>
          <w:trHeight w:val="276"/>
        </w:trPr>
        <w:tc>
          <w:tcPr>
            <w:tcW w:w="1107" w:type="dxa"/>
          </w:tcPr>
          <w:p w:rsidR="00164269" w:rsidRPr="00164269" w:rsidRDefault="00164269" w:rsidP="00164269">
            <w:pPr>
              <w:pStyle w:val="BodyText"/>
              <w:widowControl w:val="0"/>
              <w:numPr>
                <w:ilvl w:val="0"/>
                <w:numId w:val="0"/>
              </w:numPr>
              <w:spacing w:before="60" w:after="60" w:line="276" w:lineRule="auto"/>
              <w:ind w:left="170"/>
              <w:rPr>
                <w:color w:val="000000"/>
                <w:w w:val="0"/>
                <w:sz w:val="24"/>
                <w:szCs w:val="24"/>
              </w:rPr>
            </w:pPr>
            <w:r w:rsidRPr="00164269">
              <w:rPr>
                <w:color w:val="000000"/>
                <w:w w:val="0"/>
                <w:sz w:val="24"/>
                <w:szCs w:val="24"/>
              </w:rPr>
              <w:t>3.</w:t>
            </w:r>
          </w:p>
        </w:tc>
        <w:tc>
          <w:tcPr>
            <w:tcW w:w="2968" w:type="dxa"/>
          </w:tcPr>
          <w:p w:rsidR="00164269" w:rsidRPr="00164269" w:rsidRDefault="00164269" w:rsidP="00164269">
            <w:pPr>
              <w:pStyle w:val="BodyText"/>
              <w:widowControl w:val="0"/>
              <w:numPr>
                <w:ilvl w:val="0"/>
                <w:numId w:val="0"/>
              </w:numPr>
              <w:spacing w:before="60" w:after="60" w:line="276" w:lineRule="auto"/>
              <w:ind w:right="397"/>
              <w:jc w:val="left"/>
              <w:rPr>
                <w:color w:val="000000"/>
                <w:w w:val="0"/>
                <w:sz w:val="24"/>
                <w:szCs w:val="24"/>
              </w:rPr>
            </w:pPr>
            <w:r w:rsidRPr="00164269">
              <w:rPr>
                <w:color w:val="000000"/>
                <w:w w:val="0"/>
                <w:sz w:val="24"/>
                <w:szCs w:val="24"/>
              </w:rPr>
              <w:t>Kerosene</w:t>
            </w:r>
          </w:p>
        </w:tc>
        <w:tc>
          <w:tcPr>
            <w:tcW w:w="2703" w:type="dxa"/>
          </w:tcPr>
          <w:p w:rsidR="00164269" w:rsidRPr="00164269" w:rsidRDefault="00164269" w:rsidP="00164269">
            <w:pPr>
              <w:pStyle w:val="BodyText"/>
              <w:widowControl w:val="0"/>
              <w:numPr>
                <w:ilvl w:val="0"/>
                <w:numId w:val="0"/>
              </w:numPr>
              <w:spacing w:before="60" w:after="60" w:line="276" w:lineRule="auto"/>
              <w:ind w:right="227"/>
              <w:jc w:val="center"/>
              <w:rPr>
                <w:color w:val="000000"/>
                <w:w w:val="0"/>
                <w:sz w:val="24"/>
                <w:szCs w:val="24"/>
              </w:rPr>
            </w:pPr>
            <w:r w:rsidRPr="00164269">
              <w:rPr>
                <w:color w:val="000000"/>
                <w:w w:val="0"/>
                <w:sz w:val="24"/>
                <w:szCs w:val="24"/>
              </w:rPr>
              <w:t xml:space="preserve">87.5 </w:t>
            </w:r>
            <w:proofErr w:type="spellStart"/>
            <w:r w:rsidRPr="00164269">
              <w:rPr>
                <w:color w:val="000000"/>
                <w:w w:val="0"/>
                <w:sz w:val="24"/>
                <w:szCs w:val="24"/>
              </w:rPr>
              <w:t>fils</w:t>
            </w:r>
            <w:proofErr w:type="spellEnd"/>
            <w:r w:rsidRPr="00164269">
              <w:rPr>
                <w:color w:val="000000"/>
                <w:w w:val="0"/>
                <w:sz w:val="24"/>
                <w:szCs w:val="24"/>
              </w:rPr>
              <w:t>/Litre</w:t>
            </w:r>
          </w:p>
        </w:tc>
        <w:tc>
          <w:tcPr>
            <w:tcW w:w="2271" w:type="dxa"/>
          </w:tcPr>
          <w:p w:rsidR="00164269" w:rsidRPr="00164269" w:rsidRDefault="00164269" w:rsidP="00164269">
            <w:pPr>
              <w:pStyle w:val="BodyText"/>
              <w:widowControl w:val="0"/>
              <w:numPr>
                <w:ilvl w:val="0"/>
                <w:numId w:val="0"/>
              </w:numPr>
              <w:spacing w:before="60" w:after="60" w:line="276" w:lineRule="auto"/>
              <w:ind w:right="567"/>
              <w:jc w:val="right"/>
              <w:rPr>
                <w:color w:val="000000"/>
                <w:w w:val="0"/>
                <w:sz w:val="24"/>
                <w:szCs w:val="24"/>
              </w:rPr>
            </w:pPr>
            <w:r w:rsidRPr="00164269">
              <w:rPr>
                <w:color w:val="000000"/>
                <w:w w:val="0"/>
                <w:sz w:val="24"/>
                <w:szCs w:val="24"/>
              </w:rPr>
              <w:t>27101129</w:t>
            </w:r>
          </w:p>
        </w:tc>
      </w:tr>
      <w:tr w:rsidR="00164269" w:rsidRPr="00164269" w:rsidTr="00D231E5">
        <w:trPr>
          <w:trHeight w:val="452"/>
        </w:trPr>
        <w:tc>
          <w:tcPr>
            <w:tcW w:w="1107" w:type="dxa"/>
          </w:tcPr>
          <w:p w:rsidR="00164269" w:rsidRPr="00164269" w:rsidRDefault="00164269" w:rsidP="00164269">
            <w:pPr>
              <w:pStyle w:val="BodyText"/>
              <w:widowControl w:val="0"/>
              <w:numPr>
                <w:ilvl w:val="0"/>
                <w:numId w:val="0"/>
              </w:numPr>
              <w:spacing w:before="60" w:after="60" w:line="276" w:lineRule="auto"/>
              <w:ind w:left="170"/>
              <w:rPr>
                <w:color w:val="000000"/>
                <w:w w:val="0"/>
                <w:sz w:val="24"/>
                <w:szCs w:val="24"/>
              </w:rPr>
            </w:pPr>
            <w:r w:rsidRPr="00164269">
              <w:rPr>
                <w:color w:val="000000"/>
                <w:w w:val="0"/>
                <w:sz w:val="24"/>
                <w:szCs w:val="24"/>
              </w:rPr>
              <w:t>4.</w:t>
            </w:r>
          </w:p>
        </w:tc>
        <w:tc>
          <w:tcPr>
            <w:tcW w:w="2968" w:type="dxa"/>
          </w:tcPr>
          <w:p w:rsidR="00164269" w:rsidRPr="00164269" w:rsidRDefault="00164269" w:rsidP="00164269">
            <w:pPr>
              <w:pStyle w:val="BodyText"/>
              <w:widowControl w:val="0"/>
              <w:numPr>
                <w:ilvl w:val="0"/>
                <w:numId w:val="0"/>
              </w:numPr>
              <w:spacing w:before="60" w:after="60" w:line="276" w:lineRule="auto"/>
              <w:ind w:right="397"/>
              <w:jc w:val="left"/>
              <w:rPr>
                <w:color w:val="000000"/>
                <w:w w:val="0"/>
                <w:sz w:val="24"/>
                <w:szCs w:val="24"/>
              </w:rPr>
            </w:pPr>
            <w:r w:rsidRPr="00164269">
              <w:rPr>
                <w:color w:val="000000"/>
                <w:w w:val="0"/>
                <w:sz w:val="24"/>
                <w:szCs w:val="24"/>
              </w:rPr>
              <w:t>Fuel Oil</w:t>
            </w:r>
          </w:p>
        </w:tc>
        <w:tc>
          <w:tcPr>
            <w:tcW w:w="2703" w:type="dxa"/>
          </w:tcPr>
          <w:p w:rsidR="00164269" w:rsidRPr="00164269" w:rsidRDefault="00164269" w:rsidP="00164269">
            <w:pPr>
              <w:pStyle w:val="BodyText"/>
              <w:widowControl w:val="0"/>
              <w:numPr>
                <w:ilvl w:val="0"/>
                <w:numId w:val="0"/>
              </w:numPr>
              <w:spacing w:before="60" w:after="60" w:line="276" w:lineRule="auto"/>
              <w:ind w:right="227"/>
              <w:jc w:val="center"/>
              <w:rPr>
                <w:color w:val="000000"/>
                <w:w w:val="0"/>
                <w:sz w:val="24"/>
                <w:szCs w:val="24"/>
              </w:rPr>
            </w:pPr>
            <w:r w:rsidRPr="00164269">
              <w:rPr>
                <w:color w:val="000000"/>
                <w:w w:val="0"/>
                <w:sz w:val="24"/>
                <w:szCs w:val="24"/>
              </w:rPr>
              <w:t>..</w:t>
            </w:r>
          </w:p>
        </w:tc>
        <w:tc>
          <w:tcPr>
            <w:tcW w:w="2271" w:type="dxa"/>
          </w:tcPr>
          <w:p w:rsidR="00164269" w:rsidRPr="00164269" w:rsidRDefault="00164269" w:rsidP="00164269">
            <w:pPr>
              <w:pStyle w:val="BodyText"/>
              <w:widowControl w:val="0"/>
              <w:numPr>
                <w:ilvl w:val="0"/>
                <w:numId w:val="0"/>
              </w:numPr>
              <w:spacing w:before="60" w:after="60" w:line="276" w:lineRule="auto"/>
              <w:ind w:right="567"/>
              <w:jc w:val="right"/>
              <w:rPr>
                <w:color w:val="000000"/>
                <w:w w:val="0"/>
                <w:sz w:val="24"/>
                <w:szCs w:val="24"/>
              </w:rPr>
            </w:pPr>
            <w:r w:rsidRPr="00164269">
              <w:rPr>
                <w:color w:val="000000"/>
                <w:w w:val="0"/>
                <w:sz w:val="24"/>
                <w:szCs w:val="24"/>
              </w:rPr>
              <w:t>27101140</w:t>
            </w:r>
          </w:p>
        </w:tc>
      </w:tr>
    </w:tbl>
    <w:p w:rsidR="00164269" w:rsidRPr="00164269" w:rsidRDefault="00164269" w:rsidP="00164269">
      <w:pPr>
        <w:pStyle w:val="BodyText"/>
        <w:widowControl w:val="0"/>
        <w:numPr>
          <w:ilvl w:val="0"/>
          <w:numId w:val="0"/>
        </w:numPr>
        <w:spacing w:after="0" w:line="276" w:lineRule="auto"/>
        <w:rPr>
          <w:sz w:val="24"/>
          <w:szCs w:val="24"/>
        </w:rPr>
      </w:pPr>
    </w:p>
    <w:p w:rsidR="00164269" w:rsidRPr="00164269" w:rsidRDefault="00164269" w:rsidP="00164269">
      <w:pPr>
        <w:pStyle w:val="BodyText"/>
        <w:widowControl w:val="0"/>
        <w:numPr>
          <w:ilvl w:val="0"/>
          <w:numId w:val="0"/>
        </w:numPr>
        <w:spacing w:after="0" w:line="276" w:lineRule="auto"/>
        <w:rPr>
          <w:sz w:val="24"/>
          <w:szCs w:val="24"/>
        </w:rPr>
      </w:pPr>
      <w:r w:rsidRPr="00164269">
        <w:rPr>
          <w:sz w:val="24"/>
          <w:szCs w:val="24"/>
        </w:rPr>
        <w:lastRenderedPageBreak/>
        <w:t>..</w:t>
      </w:r>
      <w:r w:rsidRPr="00164269">
        <w:rPr>
          <w:sz w:val="24"/>
          <w:szCs w:val="24"/>
        </w:rPr>
        <w:tab/>
        <w:t>Not available.</w:t>
      </w:r>
    </w:p>
    <w:p w:rsidR="00164269" w:rsidRPr="00164269" w:rsidRDefault="00164269" w:rsidP="00164269">
      <w:pPr>
        <w:pStyle w:val="BodyText"/>
        <w:widowControl w:val="0"/>
        <w:numPr>
          <w:ilvl w:val="0"/>
          <w:numId w:val="0"/>
        </w:numPr>
        <w:spacing w:after="0" w:line="276" w:lineRule="auto"/>
        <w:rPr>
          <w:sz w:val="24"/>
          <w:szCs w:val="24"/>
        </w:rPr>
      </w:pPr>
    </w:p>
    <w:p w:rsidR="00164269" w:rsidRPr="00164269" w:rsidRDefault="00164269" w:rsidP="00164269">
      <w:pPr>
        <w:pStyle w:val="BodyText"/>
        <w:widowControl w:val="0"/>
        <w:numPr>
          <w:ilvl w:val="0"/>
          <w:numId w:val="0"/>
        </w:numPr>
        <w:spacing w:after="0" w:line="276" w:lineRule="auto"/>
        <w:rPr>
          <w:sz w:val="24"/>
          <w:szCs w:val="24"/>
        </w:rPr>
      </w:pPr>
      <w:r w:rsidRPr="00164269">
        <w:rPr>
          <w:sz w:val="24"/>
          <w:szCs w:val="24"/>
        </w:rPr>
        <w:t>Exchange rate:  1 USD= 0.275 Kuwaiti Dinars (KWD)</w:t>
      </w:r>
      <w:proofErr w:type="gramStart"/>
      <w:r w:rsidRPr="00164269">
        <w:rPr>
          <w:sz w:val="24"/>
          <w:szCs w:val="24"/>
        </w:rPr>
        <w:t>;  1</w:t>
      </w:r>
      <w:proofErr w:type="gramEnd"/>
      <w:r w:rsidRPr="00164269">
        <w:rPr>
          <w:sz w:val="24"/>
          <w:szCs w:val="24"/>
        </w:rPr>
        <w:t xml:space="preserve"> KWD= 1000 </w:t>
      </w:r>
      <w:proofErr w:type="spellStart"/>
      <w:r w:rsidRPr="00164269">
        <w:rPr>
          <w:sz w:val="24"/>
          <w:szCs w:val="24"/>
        </w:rPr>
        <w:t>fils</w:t>
      </w:r>
      <w:proofErr w:type="spellEnd"/>
      <w:r w:rsidRPr="00164269">
        <w:rPr>
          <w:sz w:val="24"/>
          <w:szCs w:val="24"/>
        </w:rPr>
        <w:t>.</w:t>
      </w:r>
    </w:p>
    <w:p w:rsidR="00164269" w:rsidRPr="00164269" w:rsidRDefault="00164269" w:rsidP="00164269">
      <w:pPr>
        <w:pStyle w:val="BodyText"/>
        <w:widowControl w:val="0"/>
        <w:numPr>
          <w:ilvl w:val="0"/>
          <w:numId w:val="0"/>
        </w:numPr>
        <w:spacing w:after="0" w:line="276" w:lineRule="auto"/>
        <w:rPr>
          <w:sz w:val="24"/>
          <w:szCs w:val="24"/>
        </w:rPr>
      </w:pPr>
    </w:p>
    <w:p w:rsidR="00164269" w:rsidRPr="00164269" w:rsidRDefault="00164269" w:rsidP="00164269">
      <w:pPr>
        <w:widowControl w:val="0"/>
        <w:spacing w:after="240" w:line="276" w:lineRule="auto"/>
        <w:rPr>
          <w:sz w:val="24"/>
          <w:szCs w:val="24"/>
        </w:rPr>
      </w:pPr>
      <w:r w:rsidRPr="00164269">
        <w:rPr>
          <w:i/>
          <w:sz w:val="24"/>
          <w:szCs w:val="24"/>
        </w:rPr>
        <w:t>Source:</w:t>
      </w:r>
      <w:r w:rsidRPr="00164269">
        <w:rPr>
          <w:i/>
          <w:sz w:val="24"/>
          <w:szCs w:val="24"/>
        </w:rPr>
        <w:tab/>
      </w:r>
      <w:r w:rsidRPr="00164269">
        <w:rPr>
          <w:sz w:val="24"/>
          <w:szCs w:val="24"/>
        </w:rPr>
        <w:t>OPEC (2010/2011), Annual Statistical Bulletin.</w:t>
      </w:r>
    </w:p>
    <w:p w:rsidR="00164269" w:rsidRPr="00164269" w:rsidRDefault="00164269" w:rsidP="00164269">
      <w:pPr>
        <w:pStyle w:val="BodyText"/>
        <w:spacing w:line="276" w:lineRule="auto"/>
        <w:rPr>
          <w:sz w:val="24"/>
          <w:szCs w:val="24"/>
        </w:rPr>
      </w:pPr>
      <w:r w:rsidRPr="00164269">
        <w:rPr>
          <w:sz w:val="24"/>
          <w:szCs w:val="24"/>
        </w:rPr>
        <w:t>Kuwait Petroleum International (KPI), known as Q8, manages KPC's refining and marketing operations internationally, with approximately 4,000 retail stations across six European countries.</w:t>
      </w:r>
      <w:r w:rsidRPr="00164269">
        <w:rPr>
          <w:sz w:val="24"/>
          <w:szCs w:val="24"/>
          <w:vertAlign w:val="superscript"/>
          <w:lang w:eastAsia="en-US"/>
        </w:rPr>
        <w:footnoteReference w:id="8"/>
      </w:r>
      <w:r w:rsidRPr="00164269">
        <w:rPr>
          <w:sz w:val="24"/>
          <w:szCs w:val="24"/>
        </w:rPr>
        <w:t xml:space="preserve">  A top ten energy conglomerate, KPI owns an 80,000 b/d refinery in the Netherlands and has a 50-50 joint venture with AGIP in the 240,000 b/d refinery in Italy.  According to the authorities, in March 2011, a new 50-50 joint-venture between KPI and China Petroleum and Chemical Corporation (Sinopec) was approved to build a refinery and petrochemical complex in south China.  Expected to be operational in 2014/15, the plant will process 100% Kuwaiti crude oil, with a refining capacity of 300,000 b/d.  Another refinery has been commissioned by KPI to operate in Vietnam by 2014/15, with a refining capacity of 200,000 b/d.</w:t>
      </w:r>
    </w:p>
    <w:p w:rsidR="00164269" w:rsidRPr="00164269" w:rsidRDefault="00164269" w:rsidP="00164269">
      <w:pPr>
        <w:pStyle w:val="BodyText"/>
        <w:spacing w:line="276" w:lineRule="auto"/>
        <w:rPr>
          <w:sz w:val="24"/>
          <w:szCs w:val="24"/>
        </w:rPr>
      </w:pPr>
      <w:r w:rsidRPr="00164269">
        <w:rPr>
          <w:sz w:val="24"/>
          <w:szCs w:val="24"/>
        </w:rPr>
        <w:t>Kuwait has not bound any of its crude oil and petroleum related products in its Uruguay Round Schedule of Concessions.  The MFN GCC applied tariffs on petroleum products, such as crude oil, refined petroleum oils; petroleum coke and petroleum jelly are 5%.</w:t>
      </w:r>
    </w:p>
    <w:p w:rsidR="00164269" w:rsidRPr="00164269" w:rsidRDefault="00164269" w:rsidP="00164269">
      <w:pPr>
        <w:keepNext/>
        <w:keepLines/>
        <w:tabs>
          <w:tab w:val="clear" w:pos="720"/>
        </w:tabs>
        <w:spacing w:after="240" w:line="276" w:lineRule="auto"/>
        <w:outlineLvl w:val="2"/>
        <w:rPr>
          <w:b/>
          <w:sz w:val="24"/>
          <w:szCs w:val="24"/>
          <w:lang w:eastAsia="en-US"/>
        </w:rPr>
      </w:pPr>
      <w:bookmarkStart w:id="2" w:name="_Toc307391583"/>
      <w:r w:rsidRPr="00164269">
        <w:rPr>
          <w:b/>
          <w:sz w:val="24"/>
          <w:szCs w:val="24"/>
          <w:lang w:eastAsia="en-US"/>
        </w:rPr>
        <w:t>(ii)</w:t>
      </w:r>
      <w:r w:rsidRPr="00164269">
        <w:rPr>
          <w:b/>
          <w:sz w:val="24"/>
          <w:szCs w:val="24"/>
          <w:lang w:eastAsia="en-US"/>
        </w:rPr>
        <w:tab/>
        <w:t>Natural gas</w:t>
      </w:r>
      <w:bookmarkEnd w:id="2"/>
    </w:p>
    <w:p w:rsidR="00164269" w:rsidRPr="00164269" w:rsidRDefault="00164269" w:rsidP="00164269">
      <w:pPr>
        <w:pStyle w:val="BodyText"/>
        <w:spacing w:line="276" w:lineRule="auto"/>
        <w:rPr>
          <w:sz w:val="24"/>
          <w:szCs w:val="24"/>
        </w:rPr>
      </w:pPr>
      <w:r w:rsidRPr="00164269">
        <w:rPr>
          <w:sz w:val="24"/>
          <w:szCs w:val="24"/>
        </w:rPr>
        <w:t>Kuwait ranks 18</w:t>
      </w:r>
      <w:r w:rsidRPr="00164269">
        <w:rPr>
          <w:sz w:val="24"/>
          <w:szCs w:val="24"/>
          <w:vertAlign w:val="superscript"/>
        </w:rPr>
        <w:t>th</w:t>
      </w:r>
      <w:r w:rsidRPr="00164269">
        <w:rPr>
          <w:sz w:val="24"/>
          <w:szCs w:val="24"/>
        </w:rPr>
        <w:t xml:space="preserve"> in global natural gas reserves.  In January 2010, Kuwait's estimated natural gas reserves stood at nearly 1,784 billion cubic metres, about 1% of the world's total.  Kuwait produces mainly dry natural gas, approximately 11.9 billion cubic metres in 2010.  According to OPEC, the volume of the gas which is flared is only about 1.8% of the total produced (Table IV.4).</w:t>
      </w:r>
    </w:p>
    <w:p w:rsidR="00164269" w:rsidRPr="00164269" w:rsidRDefault="00164269" w:rsidP="00164269">
      <w:pPr>
        <w:spacing w:line="276" w:lineRule="auto"/>
        <w:rPr>
          <w:b/>
          <w:sz w:val="24"/>
          <w:szCs w:val="24"/>
          <w:lang w:eastAsia="en-US"/>
        </w:rPr>
      </w:pPr>
      <w:r w:rsidRPr="00164269">
        <w:rPr>
          <w:b/>
          <w:sz w:val="24"/>
          <w:szCs w:val="24"/>
          <w:lang w:eastAsia="en-US"/>
        </w:rPr>
        <w:t>Table IV.4</w:t>
      </w:r>
    </w:p>
    <w:p w:rsidR="00164269" w:rsidRPr="00164269" w:rsidRDefault="00164269" w:rsidP="00164269">
      <w:pPr>
        <w:spacing w:line="276" w:lineRule="auto"/>
        <w:rPr>
          <w:b/>
          <w:sz w:val="24"/>
          <w:szCs w:val="24"/>
          <w:lang w:eastAsia="en-US"/>
        </w:rPr>
      </w:pPr>
      <w:r w:rsidRPr="00164269">
        <w:rPr>
          <w:b/>
          <w:sz w:val="24"/>
          <w:szCs w:val="24"/>
          <w:lang w:eastAsia="en-US"/>
        </w:rPr>
        <w:t>Gas production and utilization, 2005-10</w:t>
      </w:r>
    </w:p>
    <w:p w:rsidR="00164269" w:rsidRPr="00164269" w:rsidRDefault="00164269" w:rsidP="00164269">
      <w:pPr>
        <w:spacing w:line="276" w:lineRule="auto"/>
        <w:rPr>
          <w:sz w:val="24"/>
          <w:szCs w:val="24"/>
          <w:lang w:eastAsia="en-US"/>
        </w:rPr>
      </w:pPr>
      <w:r w:rsidRPr="00164269">
        <w:rPr>
          <w:sz w:val="24"/>
          <w:szCs w:val="24"/>
          <w:lang w:eastAsia="en-US"/>
        </w:rPr>
        <w:t>(Million cubic metres)</w:t>
      </w:r>
    </w:p>
    <w:tbl>
      <w:tblPr>
        <w:tblW w:w="0" w:type="auto"/>
        <w:tblInd w:w="1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549"/>
        <w:gridCol w:w="1152"/>
        <w:gridCol w:w="1234"/>
        <w:gridCol w:w="1234"/>
        <w:gridCol w:w="1152"/>
        <w:gridCol w:w="1106"/>
        <w:gridCol w:w="987"/>
      </w:tblGrid>
      <w:tr w:rsidR="00164269" w:rsidRPr="00164269" w:rsidTr="00D231E5">
        <w:tc>
          <w:tcPr>
            <w:tcW w:w="1649" w:type="dxa"/>
            <w:tcBorders>
              <w:top w:val="double" w:sz="6" w:space="0" w:color="auto"/>
              <w:left w:val="double" w:sz="6" w:space="0" w:color="auto"/>
              <w:bottom w:val="double" w:sz="6" w:space="0" w:color="auto"/>
            </w:tcBorders>
            <w:shd w:val="clear" w:color="auto" w:fill="auto"/>
          </w:tcPr>
          <w:p w:rsidR="00164269" w:rsidRPr="00164269" w:rsidRDefault="00164269" w:rsidP="00164269">
            <w:pPr>
              <w:keepNext/>
              <w:keepLines/>
              <w:spacing w:before="60" w:after="60" w:line="276" w:lineRule="auto"/>
              <w:rPr>
                <w:sz w:val="24"/>
                <w:szCs w:val="24"/>
                <w:lang w:eastAsia="en-US"/>
              </w:rPr>
            </w:pPr>
          </w:p>
        </w:tc>
        <w:tc>
          <w:tcPr>
            <w:tcW w:w="1248" w:type="dxa"/>
            <w:tcBorders>
              <w:top w:val="double" w:sz="6" w:space="0" w:color="auto"/>
              <w:bottom w:val="double" w:sz="6" w:space="0" w:color="auto"/>
            </w:tcBorders>
            <w:shd w:val="clear" w:color="auto" w:fill="auto"/>
          </w:tcPr>
          <w:p w:rsidR="00164269" w:rsidRPr="00164269" w:rsidRDefault="00164269" w:rsidP="00164269">
            <w:pPr>
              <w:keepNext/>
              <w:keepLines/>
              <w:spacing w:before="60" w:after="60" w:line="276" w:lineRule="auto"/>
              <w:jc w:val="right"/>
              <w:rPr>
                <w:b/>
                <w:sz w:val="24"/>
                <w:szCs w:val="24"/>
                <w:lang w:eastAsia="en-US"/>
              </w:rPr>
            </w:pPr>
            <w:r w:rsidRPr="00164269">
              <w:rPr>
                <w:b/>
                <w:sz w:val="24"/>
                <w:szCs w:val="24"/>
                <w:lang w:eastAsia="en-US"/>
              </w:rPr>
              <w:t>2005</w:t>
            </w:r>
          </w:p>
        </w:tc>
        <w:tc>
          <w:tcPr>
            <w:tcW w:w="1358" w:type="dxa"/>
            <w:tcBorders>
              <w:top w:val="double" w:sz="6" w:space="0" w:color="auto"/>
              <w:bottom w:val="double" w:sz="6" w:space="0" w:color="auto"/>
            </w:tcBorders>
            <w:shd w:val="clear" w:color="auto" w:fill="auto"/>
          </w:tcPr>
          <w:p w:rsidR="00164269" w:rsidRPr="00164269" w:rsidRDefault="00164269" w:rsidP="00164269">
            <w:pPr>
              <w:keepNext/>
              <w:keepLines/>
              <w:spacing w:before="60" w:after="60" w:line="276" w:lineRule="auto"/>
              <w:jc w:val="right"/>
              <w:rPr>
                <w:b/>
                <w:sz w:val="24"/>
                <w:szCs w:val="24"/>
                <w:lang w:eastAsia="en-US"/>
              </w:rPr>
            </w:pPr>
            <w:r w:rsidRPr="00164269">
              <w:rPr>
                <w:b/>
                <w:sz w:val="24"/>
                <w:szCs w:val="24"/>
                <w:lang w:eastAsia="en-US"/>
              </w:rPr>
              <w:t>2006</w:t>
            </w:r>
          </w:p>
        </w:tc>
        <w:tc>
          <w:tcPr>
            <w:tcW w:w="1358" w:type="dxa"/>
            <w:tcBorders>
              <w:top w:val="double" w:sz="6" w:space="0" w:color="auto"/>
              <w:bottom w:val="double" w:sz="6" w:space="0" w:color="auto"/>
            </w:tcBorders>
            <w:shd w:val="clear" w:color="auto" w:fill="auto"/>
          </w:tcPr>
          <w:p w:rsidR="00164269" w:rsidRPr="00164269" w:rsidRDefault="00164269" w:rsidP="00164269">
            <w:pPr>
              <w:keepNext/>
              <w:keepLines/>
              <w:spacing w:before="60" w:after="60" w:line="276" w:lineRule="auto"/>
              <w:jc w:val="right"/>
              <w:rPr>
                <w:b/>
                <w:sz w:val="24"/>
                <w:szCs w:val="24"/>
                <w:lang w:eastAsia="en-US"/>
              </w:rPr>
            </w:pPr>
            <w:r w:rsidRPr="00164269">
              <w:rPr>
                <w:b/>
                <w:sz w:val="24"/>
                <w:szCs w:val="24"/>
                <w:lang w:eastAsia="en-US"/>
              </w:rPr>
              <w:t>2007</w:t>
            </w:r>
          </w:p>
        </w:tc>
        <w:tc>
          <w:tcPr>
            <w:tcW w:w="1248" w:type="dxa"/>
            <w:tcBorders>
              <w:top w:val="double" w:sz="6" w:space="0" w:color="auto"/>
              <w:bottom w:val="double" w:sz="6" w:space="0" w:color="auto"/>
            </w:tcBorders>
          </w:tcPr>
          <w:p w:rsidR="00164269" w:rsidRPr="00164269" w:rsidRDefault="00164269" w:rsidP="00164269">
            <w:pPr>
              <w:keepNext/>
              <w:keepLines/>
              <w:spacing w:before="60" w:after="60" w:line="276" w:lineRule="auto"/>
              <w:jc w:val="right"/>
              <w:rPr>
                <w:b/>
                <w:sz w:val="24"/>
                <w:szCs w:val="24"/>
                <w:lang w:eastAsia="en-US"/>
              </w:rPr>
            </w:pPr>
            <w:r w:rsidRPr="00164269">
              <w:rPr>
                <w:b/>
                <w:sz w:val="24"/>
                <w:szCs w:val="24"/>
                <w:lang w:eastAsia="en-US"/>
              </w:rPr>
              <w:t>2008</w:t>
            </w:r>
          </w:p>
        </w:tc>
        <w:tc>
          <w:tcPr>
            <w:tcW w:w="1185" w:type="dxa"/>
            <w:tcBorders>
              <w:top w:val="double" w:sz="6" w:space="0" w:color="auto"/>
              <w:bottom w:val="double" w:sz="6" w:space="0" w:color="auto"/>
            </w:tcBorders>
          </w:tcPr>
          <w:p w:rsidR="00164269" w:rsidRPr="00164269" w:rsidRDefault="00164269" w:rsidP="00164269">
            <w:pPr>
              <w:keepNext/>
              <w:keepLines/>
              <w:spacing w:before="60" w:after="60" w:line="276" w:lineRule="auto"/>
              <w:jc w:val="right"/>
              <w:rPr>
                <w:b/>
                <w:sz w:val="24"/>
                <w:szCs w:val="24"/>
                <w:lang w:eastAsia="en-US"/>
              </w:rPr>
            </w:pPr>
            <w:r w:rsidRPr="00164269">
              <w:rPr>
                <w:b/>
                <w:sz w:val="24"/>
                <w:szCs w:val="24"/>
                <w:lang w:eastAsia="en-US"/>
              </w:rPr>
              <w:t>2009</w:t>
            </w:r>
          </w:p>
        </w:tc>
        <w:tc>
          <w:tcPr>
            <w:tcW w:w="1026" w:type="dxa"/>
            <w:tcBorders>
              <w:top w:val="double" w:sz="6" w:space="0" w:color="auto"/>
              <w:bottom w:val="double" w:sz="6" w:space="0" w:color="auto"/>
              <w:right w:val="double" w:sz="6" w:space="0" w:color="auto"/>
            </w:tcBorders>
          </w:tcPr>
          <w:p w:rsidR="00164269" w:rsidRPr="00164269" w:rsidRDefault="00164269" w:rsidP="00164269">
            <w:pPr>
              <w:keepNext/>
              <w:keepLines/>
              <w:spacing w:before="60" w:after="60" w:line="276" w:lineRule="auto"/>
              <w:jc w:val="right"/>
              <w:rPr>
                <w:b/>
                <w:sz w:val="24"/>
                <w:szCs w:val="24"/>
                <w:lang w:eastAsia="en-US"/>
              </w:rPr>
            </w:pPr>
            <w:r w:rsidRPr="00164269">
              <w:rPr>
                <w:b/>
                <w:sz w:val="24"/>
                <w:szCs w:val="24"/>
                <w:lang w:eastAsia="en-US"/>
              </w:rPr>
              <w:t>2010</w:t>
            </w:r>
          </w:p>
        </w:tc>
      </w:tr>
      <w:tr w:rsidR="00164269" w:rsidRPr="00164269" w:rsidTr="00D231E5">
        <w:tc>
          <w:tcPr>
            <w:tcW w:w="1649" w:type="dxa"/>
            <w:tcBorders>
              <w:top w:val="double" w:sz="6" w:space="0" w:color="auto"/>
              <w:left w:val="double" w:sz="6" w:space="0" w:color="auto"/>
            </w:tcBorders>
            <w:shd w:val="clear" w:color="auto" w:fill="auto"/>
          </w:tcPr>
          <w:p w:rsidR="00164269" w:rsidRPr="00164269" w:rsidRDefault="00164269" w:rsidP="00164269">
            <w:pPr>
              <w:keepNext/>
              <w:keepLines/>
              <w:spacing w:before="30" w:after="30" w:line="276" w:lineRule="auto"/>
              <w:rPr>
                <w:sz w:val="24"/>
                <w:szCs w:val="24"/>
                <w:lang w:eastAsia="en-US"/>
              </w:rPr>
            </w:pPr>
            <w:r w:rsidRPr="00164269">
              <w:rPr>
                <w:sz w:val="24"/>
                <w:szCs w:val="24"/>
                <w:lang w:eastAsia="en-US"/>
              </w:rPr>
              <w:t>Gross production</w:t>
            </w:r>
          </w:p>
        </w:tc>
        <w:tc>
          <w:tcPr>
            <w:tcW w:w="1248" w:type="dxa"/>
            <w:tcBorders>
              <w:top w:val="double" w:sz="6" w:space="0" w:color="auto"/>
            </w:tcBorders>
            <w:shd w:val="clear" w:color="auto" w:fill="auto"/>
          </w:tcPr>
          <w:p w:rsidR="00164269" w:rsidRPr="00164269" w:rsidRDefault="00164269" w:rsidP="00164269">
            <w:pPr>
              <w:keepNext/>
              <w:keepLines/>
              <w:tabs>
                <w:tab w:val="clear" w:pos="720"/>
              </w:tabs>
              <w:spacing w:before="30" w:after="30" w:line="276" w:lineRule="auto"/>
              <w:jc w:val="right"/>
              <w:rPr>
                <w:sz w:val="24"/>
                <w:szCs w:val="24"/>
                <w:lang w:eastAsia="en-US"/>
              </w:rPr>
            </w:pPr>
            <w:r w:rsidRPr="00164269">
              <w:rPr>
                <w:sz w:val="24"/>
                <w:szCs w:val="24"/>
                <w:lang w:eastAsia="en-US"/>
              </w:rPr>
              <w:t>13,300</w:t>
            </w:r>
          </w:p>
        </w:tc>
        <w:tc>
          <w:tcPr>
            <w:tcW w:w="1358" w:type="dxa"/>
            <w:tcBorders>
              <w:top w:val="double" w:sz="6" w:space="0" w:color="auto"/>
            </w:tcBorders>
            <w:shd w:val="clear" w:color="auto" w:fill="auto"/>
          </w:tcPr>
          <w:p w:rsidR="00164269" w:rsidRPr="00164269" w:rsidRDefault="00164269" w:rsidP="00164269">
            <w:pPr>
              <w:keepNext/>
              <w:keepLines/>
              <w:spacing w:before="30" w:after="30" w:line="276" w:lineRule="auto"/>
              <w:jc w:val="right"/>
              <w:rPr>
                <w:sz w:val="24"/>
                <w:szCs w:val="24"/>
                <w:lang w:eastAsia="en-US"/>
              </w:rPr>
            </w:pPr>
            <w:r w:rsidRPr="00164269">
              <w:rPr>
                <w:sz w:val="24"/>
                <w:szCs w:val="24"/>
                <w:lang w:eastAsia="en-US"/>
              </w:rPr>
              <w:t>13,670</w:t>
            </w:r>
          </w:p>
        </w:tc>
        <w:tc>
          <w:tcPr>
            <w:tcW w:w="1358" w:type="dxa"/>
            <w:tcBorders>
              <w:top w:val="double" w:sz="6" w:space="0" w:color="auto"/>
            </w:tcBorders>
            <w:shd w:val="clear" w:color="auto" w:fill="auto"/>
          </w:tcPr>
          <w:p w:rsidR="00164269" w:rsidRPr="00164269" w:rsidRDefault="00164269" w:rsidP="00164269">
            <w:pPr>
              <w:keepNext/>
              <w:keepLines/>
              <w:spacing w:before="30" w:after="30" w:line="276" w:lineRule="auto"/>
              <w:jc w:val="right"/>
              <w:rPr>
                <w:sz w:val="24"/>
                <w:szCs w:val="24"/>
                <w:lang w:eastAsia="en-US"/>
              </w:rPr>
            </w:pPr>
            <w:r w:rsidRPr="00164269">
              <w:rPr>
                <w:sz w:val="24"/>
                <w:szCs w:val="24"/>
                <w:lang w:eastAsia="en-US"/>
              </w:rPr>
              <w:t>13,310</w:t>
            </w:r>
          </w:p>
        </w:tc>
        <w:tc>
          <w:tcPr>
            <w:tcW w:w="1248" w:type="dxa"/>
            <w:tcBorders>
              <w:top w:val="double" w:sz="6" w:space="0" w:color="auto"/>
            </w:tcBorders>
          </w:tcPr>
          <w:p w:rsidR="00164269" w:rsidRPr="00164269" w:rsidRDefault="00164269" w:rsidP="00164269">
            <w:pPr>
              <w:keepNext/>
              <w:keepLines/>
              <w:spacing w:before="30" w:after="30" w:line="276" w:lineRule="auto"/>
              <w:jc w:val="right"/>
              <w:rPr>
                <w:sz w:val="24"/>
                <w:szCs w:val="24"/>
                <w:lang w:eastAsia="en-US"/>
              </w:rPr>
            </w:pPr>
            <w:r w:rsidRPr="00164269">
              <w:rPr>
                <w:sz w:val="24"/>
                <w:szCs w:val="24"/>
                <w:lang w:eastAsia="en-US"/>
              </w:rPr>
              <w:t>13,870</w:t>
            </w:r>
          </w:p>
        </w:tc>
        <w:tc>
          <w:tcPr>
            <w:tcW w:w="1185" w:type="dxa"/>
            <w:tcBorders>
              <w:top w:val="double" w:sz="6" w:space="0" w:color="auto"/>
            </w:tcBorders>
          </w:tcPr>
          <w:p w:rsidR="00164269" w:rsidRPr="00164269" w:rsidRDefault="00164269" w:rsidP="00164269">
            <w:pPr>
              <w:keepNext/>
              <w:keepLines/>
              <w:spacing w:before="30" w:after="30" w:line="276" w:lineRule="auto"/>
              <w:jc w:val="right"/>
              <w:rPr>
                <w:sz w:val="24"/>
                <w:szCs w:val="24"/>
                <w:lang w:eastAsia="en-US"/>
              </w:rPr>
            </w:pPr>
            <w:r w:rsidRPr="00164269">
              <w:rPr>
                <w:sz w:val="24"/>
                <w:szCs w:val="24"/>
                <w:lang w:eastAsia="en-US"/>
              </w:rPr>
              <w:t>11,689</w:t>
            </w:r>
          </w:p>
        </w:tc>
        <w:tc>
          <w:tcPr>
            <w:tcW w:w="1026" w:type="dxa"/>
            <w:tcBorders>
              <w:top w:val="double" w:sz="6" w:space="0" w:color="auto"/>
              <w:right w:val="double" w:sz="6" w:space="0" w:color="auto"/>
            </w:tcBorders>
          </w:tcPr>
          <w:p w:rsidR="00164269" w:rsidRPr="00164269" w:rsidRDefault="00164269" w:rsidP="00164269">
            <w:pPr>
              <w:keepNext/>
              <w:keepLines/>
              <w:spacing w:before="30" w:after="30" w:line="276" w:lineRule="auto"/>
              <w:jc w:val="right"/>
              <w:rPr>
                <w:sz w:val="24"/>
                <w:szCs w:val="24"/>
                <w:lang w:eastAsia="en-US"/>
              </w:rPr>
            </w:pPr>
            <w:r w:rsidRPr="00164269">
              <w:rPr>
                <w:sz w:val="24"/>
                <w:szCs w:val="24"/>
                <w:lang w:eastAsia="en-US"/>
              </w:rPr>
              <w:t>11,950</w:t>
            </w:r>
          </w:p>
        </w:tc>
      </w:tr>
      <w:tr w:rsidR="00164269" w:rsidRPr="00164269" w:rsidTr="00D231E5">
        <w:tc>
          <w:tcPr>
            <w:tcW w:w="1649" w:type="dxa"/>
            <w:tcBorders>
              <w:left w:val="double" w:sz="6" w:space="0" w:color="auto"/>
            </w:tcBorders>
            <w:shd w:val="clear" w:color="auto" w:fill="auto"/>
          </w:tcPr>
          <w:p w:rsidR="00164269" w:rsidRPr="00164269" w:rsidRDefault="00164269" w:rsidP="00164269">
            <w:pPr>
              <w:spacing w:before="30" w:after="30" w:line="276" w:lineRule="auto"/>
              <w:rPr>
                <w:sz w:val="24"/>
                <w:szCs w:val="24"/>
                <w:lang w:eastAsia="en-US"/>
              </w:rPr>
            </w:pPr>
            <w:r w:rsidRPr="00164269">
              <w:rPr>
                <w:sz w:val="24"/>
                <w:szCs w:val="24"/>
                <w:lang w:eastAsia="en-US"/>
              </w:rPr>
              <w:t>Marketed production</w:t>
            </w:r>
          </w:p>
        </w:tc>
        <w:tc>
          <w:tcPr>
            <w:tcW w:w="1248" w:type="dxa"/>
            <w:shd w:val="clear" w:color="auto" w:fill="auto"/>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12,300</w:t>
            </w:r>
          </w:p>
        </w:tc>
        <w:tc>
          <w:tcPr>
            <w:tcW w:w="1358" w:type="dxa"/>
            <w:shd w:val="clear" w:color="auto" w:fill="auto"/>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12,410</w:t>
            </w:r>
          </w:p>
        </w:tc>
        <w:tc>
          <w:tcPr>
            <w:tcW w:w="1358" w:type="dxa"/>
            <w:shd w:val="clear" w:color="auto" w:fill="auto"/>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12,060</w:t>
            </w:r>
          </w:p>
        </w:tc>
        <w:tc>
          <w:tcPr>
            <w:tcW w:w="1248" w:type="dxa"/>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12,700</w:t>
            </w:r>
          </w:p>
        </w:tc>
        <w:tc>
          <w:tcPr>
            <w:tcW w:w="1185" w:type="dxa"/>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11,489</w:t>
            </w:r>
          </w:p>
        </w:tc>
        <w:tc>
          <w:tcPr>
            <w:tcW w:w="1026" w:type="dxa"/>
            <w:tcBorders>
              <w:right w:val="double" w:sz="6" w:space="0" w:color="auto"/>
            </w:tcBorders>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11,733</w:t>
            </w:r>
          </w:p>
        </w:tc>
      </w:tr>
      <w:tr w:rsidR="00164269" w:rsidRPr="00164269" w:rsidTr="00D231E5">
        <w:tc>
          <w:tcPr>
            <w:tcW w:w="1649" w:type="dxa"/>
            <w:tcBorders>
              <w:left w:val="double" w:sz="6" w:space="0" w:color="auto"/>
            </w:tcBorders>
            <w:shd w:val="clear" w:color="auto" w:fill="auto"/>
          </w:tcPr>
          <w:p w:rsidR="00164269" w:rsidRPr="00164269" w:rsidRDefault="00164269" w:rsidP="00164269">
            <w:pPr>
              <w:spacing w:before="30" w:after="30" w:line="276" w:lineRule="auto"/>
              <w:rPr>
                <w:sz w:val="24"/>
                <w:szCs w:val="24"/>
                <w:lang w:eastAsia="en-US"/>
              </w:rPr>
            </w:pPr>
            <w:r w:rsidRPr="00164269">
              <w:rPr>
                <w:sz w:val="24"/>
                <w:szCs w:val="24"/>
                <w:lang w:eastAsia="en-US"/>
              </w:rPr>
              <w:t>Flared</w:t>
            </w:r>
          </w:p>
        </w:tc>
        <w:tc>
          <w:tcPr>
            <w:tcW w:w="1248" w:type="dxa"/>
            <w:shd w:val="clear" w:color="auto" w:fill="auto"/>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1</w:t>
            </w:r>
          </w:p>
        </w:tc>
        <w:tc>
          <w:tcPr>
            <w:tcW w:w="1358" w:type="dxa"/>
            <w:shd w:val="clear" w:color="auto" w:fill="auto"/>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260</w:t>
            </w:r>
          </w:p>
        </w:tc>
        <w:tc>
          <w:tcPr>
            <w:tcW w:w="1358" w:type="dxa"/>
            <w:shd w:val="clear" w:color="auto" w:fill="auto"/>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250</w:t>
            </w:r>
          </w:p>
        </w:tc>
        <w:tc>
          <w:tcPr>
            <w:tcW w:w="1248" w:type="dxa"/>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200</w:t>
            </w:r>
          </w:p>
        </w:tc>
        <w:tc>
          <w:tcPr>
            <w:tcW w:w="1185" w:type="dxa"/>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200</w:t>
            </w:r>
          </w:p>
        </w:tc>
        <w:tc>
          <w:tcPr>
            <w:tcW w:w="1026" w:type="dxa"/>
            <w:tcBorders>
              <w:right w:val="double" w:sz="6" w:space="0" w:color="auto"/>
            </w:tcBorders>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217</w:t>
            </w:r>
          </w:p>
        </w:tc>
      </w:tr>
      <w:tr w:rsidR="00164269" w:rsidRPr="00164269" w:rsidTr="00D231E5">
        <w:tc>
          <w:tcPr>
            <w:tcW w:w="1649" w:type="dxa"/>
            <w:tcBorders>
              <w:left w:val="double" w:sz="6" w:space="0" w:color="auto"/>
            </w:tcBorders>
            <w:shd w:val="clear" w:color="auto" w:fill="auto"/>
          </w:tcPr>
          <w:p w:rsidR="00164269" w:rsidRPr="00164269" w:rsidRDefault="00164269" w:rsidP="00164269">
            <w:pPr>
              <w:spacing w:before="30" w:after="30" w:line="276" w:lineRule="auto"/>
              <w:rPr>
                <w:sz w:val="24"/>
                <w:szCs w:val="24"/>
                <w:lang w:eastAsia="en-US"/>
              </w:rPr>
            </w:pPr>
            <w:r w:rsidRPr="00164269">
              <w:rPr>
                <w:sz w:val="24"/>
                <w:szCs w:val="24"/>
                <w:lang w:eastAsia="en-US"/>
              </w:rPr>
              <w:t>Re-injection</w:t>
            </w:r>
          </w:p>
        </w:tc>
        <w:tc>
          <w:tcPr>
            <w:tcW w:w="1248" w:type="dxa"/>
            <w:shd w:val="clear" w:color="auto" w:fill="auto"/>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w:t>
            </w:r>
          </w:p>
        </w:tc>
        <w:tc>
          <w:tcPr>
            <w:tcW w:w="1358" w:type="dxa"/>
            <w:shd w:val="clear" w:color="auto" w:fill="auto"/>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w:t>
            </w:r>
          </w:p>
        </w:tc>
        <w:tc>
          <w:tcPr>
            <w:tcW w:w="1358" w:type="dxa"/>
            <w:shd w:val="clear" w:color="auto" w:fill="auto"/>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w:t>
            </w:r>
          </w:p>
        </w:tc>
        <w:tc>
          <w:tcPr>
            <w:tcW w:w="1248" w:type="dxa"/>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w:t>
            </w:r>
          </w:p>
        </w:tc>
        <w:tc>
          <w:tcPr>
            <w:tcW w:w="1185" w:type="dxa"/>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w:t>
            </w:r>
          </w:p>
        </w:tc>
        <w:tc>
          <w:tcPr>
            <w:tcW w:w="1026" w:type="dxa"/>
            <w:tcBorders>
              <w:right w:val="double" w:sz="6" w:space="0" w:color="auto"/>
            </w:tcBorders>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w:t>
            </w:r>
          </w:p>
        </w:tc>
      </w:tr>
      <w:tr w:rsidR="00164269" w:rsidRPr="00164269" w:rsidTr="00D231E5">
        <w:tc>
          <w:tcPr>
            <w:tcW w:w="1649" w:type="dxa"/>
            <w:tcBorders>
              <w:left w:val="double" w:sz="6" w:space="0" w:color="auto"/>
              <w:bottom w:val="double" w:sz="6" w:space="0" w:color="auto"/>
            </w:tcBorders>
            <w:shd w:val="clear" w:color="auto" w:fill="auto"/>
          </w:tcPr>
          <w:p w:rsidR="00164269" w:rsidRPr="00164269" w:rsidRDefault="00164269" w:rsidP="00164269">
            <w:pPr>
              <w:spacing w:before="30" w:after="30" w:line="276" w:lineRule="auto"/>
              <w:rPr>
                <w:sz w:val="24"/>
                <w:szCs w:val="24"/>
                <w:lang w:eastAsia="en-US"/>
              </w:rPr>
            </w:pPr>
            <w:r w:rsidRPr="00164269">
              <w:rPr>
                <w:sz w:val="24"/>
                <w:szCs w:val="24"/>
                <w:lang w:eastAsia="en-US"/>
              </w:rPr>
              <w:lastRenderedPageBreak/>
              <w:t xml:space="preserve">Shrinkage </w:t>
            </w:r>
          </w:p>
        </w:tc>
        <w:tc>
          <w:tcPr>
            <w:tcW w:w="1248" w:type="dxa"/>
            <w:tcBorders>
              <w:bottom w:val="double" w:sz="6" w:space="0" w:color="auto"/>
            </w:tcBorders>
            <w:shd w:val="clear" w:color="auto" w:fill="auto"/>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1,000</w:t>
            </w:r>
          </w:p>
        </w:tc>
        <w:tc>
          <w:tcPr>
            <w:tcW w:w="1358" w:type="dxa"/>
            <w:tcBorders>
              <w:bottom w:val="double" w:sz="6" w:space="0" w:color="auto"/>
            </w:tcBorders>
            <w:shd w:val="clear" w:color="auto" w:fill="auto"/>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1,000</w:t>
            </w:r>
          </w:p>
        </w:tc>
        <w:tc>
          <w:tcPr>
            <w:tcW w:w="1358" w:type="dxa"/>
            <w:tcBorders>
              <w:bottom w:val="double" w:sz="6" w:space="0" w:color="auto"/>
            </w:tcBorders>
            <w:shd w:val="clear" w:color="auto" w:fill="auto"/>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1,000</w:t>
            </w:r>
          </w:p>
        </w:tc>
        <w:tc>
          <w:tcPr>
            <w:tcW w:w="1248" w:type="dxa"/>
            <w:tcBorders>
              <w:bottom w:val="double" w:sz="6" w:space="0" w:color="auto"/>
            </w:tcBorders>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970</w:t>
            </w:r>
          </w:p>
        </w:tc>
        <w:tc>
          <w:tcPr>
            <w:tcW w:w="1185" w:type="dxa"/>
            <w:tcBorders>
              <w:bottom w:val="double" w:sz="6" w:space="0" w:color="auto"/>
            </w:tcBorders>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w:t>
            </w:r>
          </w:p>
        </w:tc>
        <w:tc>
          <w:tcPr>
            <w:tcW w:w="1026" w:type="dxa"/>
            <w:tcBorders>
              <w:bottom w:val="double" w:sz="6" w:space="0" w:color="auto"/>
              <w:right w:val="double" w:sz="6" w:space="0" w:color="auto"/>
            </w:tcBorders>
          </w:tcPr>
          <w:p w:rsidR="00164269" w:rsidRPr="00164269" w:rsidRDefault="00164269" w:rsidP="00164269">
            <w:pPr>
              <w:spacing w:before="30" w:after="30" w:line="276" w:lineRule="auto"/>
              <w:jc w:val="right"/>
              <w:rPr>
                <w:sz w:val="24"/>
                <w:szCs w:val="24"/>
                <w:lang w:eastAsia="en-US"/>
              </w:rPr>
            </w:pPr>
            <w:r w:rsidRPr="00164269">
              <w:rPr>
                <w:sz w:val="24"/>
                <w:szCs w:val="24"/>
                <w:lang w:eastAsia="en-US"/>
              </w:rPr>
              <w:t>-</w:t>
            </w:r>
          </w:p>
        </w:tc>
      </w:tr>
    </w:tbl>
    <w:p w:rsidR="00164269" w:rsidRPr="00164269" w:rsidRDefault="00164269" w:rsidP="00164269">
      <w:pPr>
        <w:tabs>
          <w:tab w:val="clear" w:pos="720"/>
        </w:tabs>
        <w:spacing w:line="276" w:lineRule="auto"/>
        <w:rPr>
          <w:sz w:val="24"/>
          <w:szCs w:val="24"/>
          <w:lang w:eastAsia="en-US"/>
        </w:rPr>
      </w:pPr>
    </w:p>
    <w:p w:rsidR="00164269" w:rsidRPr="00164269" w:rsidRDefault="00164269" w:rsidP="00164269">
      <w:pPr>
        <w:tabs>
          <w:tab w:val="clear" w:pos="720"/>
        </w:tabs>
        <w:spacing w:line="276" w:lineRule="auto"/>
        <w:rPr>
          <w:sz w:val="24"/>
          <w:szCs w:val="24"/>
          <w:lang w:eastAsia="en-US"/>
        </w:rPr>
      </w:pPr>
      <w:r w:rsidRPr="00164269">
        <w:rPr>
          <w:sz w:val="24"/>
          <w:szCs w:val="24"/>
          <w:lang w:eastAsia="en-US"/>
        </w:rPr>
        <w:t>Note:</w:t>
      </w:r>
      <w:r w:rsidRPr="00164269">
        <w:rPr>
          <w:sz w:val="24"/>
          <w:szCs w:val="24"/>
          <w:lang w:eastAsia="en-US"/>
        </w:rPr>
        <w:tab/>
        <w:t xml:space="preserve">Marketed production corresponds to gross production, minus the volumes of gas flared or re-injected into the fields, minus the </w:t>
      </w:r>
      <w:r w:rsidRPr="00164269">
        <w:rPr>
          <w:sz w:val="24"/>
          <w:szCs w:val="24"/>
          <w:lang w:eastAsia="en-US"/>
        </w:rPr>
        <w:tab/>
        <w:t>shrinkage.</w:t>
      </w:r>
    </w:p>
    <w:p w:rsidR="00164269" w:rsidRPr="00164269" w:rsidRDefault="00164269" w:rsidP="00164269">
      <w:pPr>
        <w:tabs>
          <w:tab w:val="clear" w:pos="720"/>
        </w:tabs>
        <w:spacing w:line="276" w:lineRule="auto"/>
        <w:rPr>
          <w:sz w:val="24"/>
          <w:szCs w:val="24"/>
          <w:lang w:eastAsia="en-US"/>
        </w:rPr>
      </w:pPr>
    </w:p>
    <w:p w:rsidR="00164269" w:rsidRPr="00164269" w:rsidRDefault="00164269" w:rsidP="00164269">
      <w:pPr>
        <w:spacing w:after="240" w:line="276" w:lineRule="auto"/>
        <w:rPr>
          <w:sz w:val="24"/>
          <w:szCs w:val="24"/>
          <w:lang w:eastAsia="en-US"/>
        </w:rPr>
      </w:pPr>
      <w:r w:rsidRPr="00164269">
        <w:rPr>
          <w:i/>
          <w:sz w:val="24"/>
          <w:szCs w:val="24"/>
          <w:lang w:eastAsia="en-US"/>
        </w:rPr>
        <w:t>Source:</w:t>
      </w:r>
      <w:r w:rsidRPr="00164269">
        <w:rPr>
          <w:i/>
          <w:sz w:val="24"/>
          <w:szCs w:val="24"/>
          <w:lang w:eastAsia="en-US"/>
        </w:rPr>
        <w:tab/>
      </w:r>
      <w:r w:rsidRPr="00164269">
        <w:rPr>
          <w:sz w:val="24"/>
          <w:szCs w:val="24"/>
          <w:lang w:eastAsia="en-US"/>
        </w:rPr>
        <w:t>OPEC (2010/2011), Annual Statistical Bulletin.</w:t>
      </w:r>
    </w:p>
    <w:p w:rsidR="00164269" w:rsidRPr="00164269" w:rsidRDefault="00164269" w:rsidP="00164269">
      <w:pPr>
        <w:pStyle w:val="BodyText"/>
        <w:spacing w:line="276" w:lineRule="auto"/>
        <w:rPr>
          <w:sz w:val="24"/>
          <w:szCs w:val="24"/>
        </w:rPr>
      </w:pPr>
      <w:r w:rsidRPr="00164269">
        <w:rPr>
          <w:sz w:val="24"/>
          <w:szCs w:val="24"/>
        </w:rPr>
        <w:t xml:space="preserve">The majority of natural gas in Kuwait is associated gas (i.e. gas found and produced in conjunction with crude oil).  In 2006, non-associated gas was first discovered in the deep Jurassic reservoirs in the northern fields of </w:t>
      </w:r>
      <w:proofErr w:type="spellStart"/>
      <w:r w:rsidRPr="00164269">
        <w:rPr>
          <w:sz w:val="24"/>
          <w:szCs w:val="24"/>
        </w:rPr>
        <w:t>Sabriya</w:t>
      </w:r>
      <w:proofErr w:type="spellEnd"/>
      <w:r w:rsidRPr="00164269">
        <w:rPr>
          <w:sz w:val="24"/>
          <w:szCs w:val="24"/>
        </w:rPr>
        <w:t xml:space="preserve">, </w:t>
      </w:r>
      <w:proofErr w:type="spellStart"/>
      <w:r w:rsidRPr="00164269">
        <w:rPr>
          <w:sz w:val="24"/>
          <w:szCs w:val="24"/>
        </w:rPr>
        <w:t>Rahiya</w:t>
      </w:r>
      <w:proofErr w:type="spellEnd"/>
      <w:r w:rsidRPr="00164269">
        <w:rPr>
          <w:sz w:val="24"/>
          <w:szCs w:val="24"/>
        </w:rPr>
        <w:t xml:space="preserve">, </w:t>
      </w:r>
      <w:proofErr w:type="spellStart"/>
      <w:r w:rsidRPr="00164269">
        <w:rPr>
          <w:sz w:val="24"/>
          <w:szCs w:val="24"/>
        </w:rPr>
        <w:t>Mutriba</w:t>
      </w:r>
      <w:proofErr w:type="spellEnd"/>
      <w:r w:rsidRPr="00164269">
        <w:rPr>
          <w:sz w:val="24"/>
          <w:szCs w:val="24"/>
        </w:rPr>
        <w:t xml:space="preserve"> and Um </w:t>
      </w:r>
      <w:proofErr w:type="spellStart"/>
      <w:r w:rsidRPr="00164269">
        <w:rPr>
          <w:sz w:val="24"/>
          <w:szCs w:val="24"/>
        </w:rPr>
        <w:t>Niga</w:t>
      </w:r>
      <w:proofErr w:type="spellEnd"/>
      <w:r w:rsidRPr="00164269">
        <w:rPr>
          <w:sz w:val="24"/>
          <w:szCs w:val="24"/>
        </w:rPr>
        <w:t>.</w:t>
      </w:r>
    </w:p>
    <w:p w:rsidR="00164269" w:rsidRPr="00164269" w:rsidRDefault="00164269" w:rsidP="00164269">
      <w:pPr>
        <w:pStyle w:val="BodyText"/>
        <w:spacing w:line="276" w:lineRule="auto"/>
        <w:rPr>
          <w:sz w:val="24"/>
          <w:szCs w:val="24"/>
        </w:rPr>
      </w:pPr>
      <w:r w:rsidRPr="00164269">
        <w:rPr>
          <w:sz w:val="24"/>
          <w:szCs w:val="24"/>
        </w:rPr>
        <w:t>Natural gas in Kuwait is a multipurpose resource.  While it is mainly used for domestic electricity generation, it is also used for water desalination, as a feedstock for the petrochemical industry and to free up additional crude oil for export.  Since current levels of natural gas production do not meet national consumption levels, especially with the increasing power shortages during the summer months, the authorities fill in the current gap by imports.</w:t>
      </w:r>
    </w:p>
    <w:p w:rsidR="00164269" w:rsidRPr="00164269" w:rsidRDefault="00164269" w:rsidP="00164269">
      <w:pPr>
        <w:pStyle w:val="BodyText"/>
        <w:spacing w:line="276" w:lineRule="auto"/>
        <w:rPr>
          <w:sz w:val="24"/>
          <w:szCs w:val="24"/>
        </w:rPr>
      </w:pPr>
      <w:r w:rsidRPr="00164269">
        <w:rPr>
          <w:sz w:val="24"/>
          <w:szCs w:val="24"/>
        </w:rPr>
        <w:t>Since 2009, Kuwait has taken the initiative among the GCC countries in importing liquefied natural gas (LNG).  In 2009, Kuwait imported around 25 trillion BTU (i.e. 70 million cubic meters). Kuwait has recognized the importance of LNG to cover the shortage in gas in Kuwait especially during summer season from economic and environment point of views.  Therefore, Kuwait has succeeded in procuring a long term contract for LNG imports until 2013.</w:t>
      </w:r>
    </w:p>
    <w:p w:rsidR="00164269" w:rsidRPr="00164269" w:rsidRDefault="00164269" w:rsidP="00164269">
      <w:pPr>
        <w:pStyle w:val="BodyText"/>
        <w:spacing w:line="276" w:lineRule="auto"/>
        <w:rPr>
          <w:sz w:val="24"/>
          <w:szCs w:val="24"/>
        </w:rPr>
      </w:pPr>
      <w:r w:rsidRPr="00164269">
        <w:rPr>
          <w:sz w:val="24"/>
          <w:szCs w:val="24"/>
        </w:rPr>
        <w:t>The exploration and production of natural gas in Kuwait are under the responsibility of KOC and policy related matters fall under KPC's ambit.  KGOC is in charge of the exploration and production of natural gas in the partitioned Neutral Zone and offshore operations.  In order to reduce Kuwait's dependence on gas imports</w:t>
      </w:r>
      <w:r w:rsidRPr="00164269">
        <w:rPr>
          <w:b/>
          <w:sz w:val="24"/>
          <w:szCs w:val="24"/>
        </w:rPr>
        <w:t xml:space="preserve"> </w:t>
      </w:r>
      <w:r w:rsidRPr="00164269">
        <w:rPr>
          <w:sz w:val="24"/>
          <w:szCs w:val="24"/>
        </w:rPr>
        <w:t>and become self-sufficient, the authorities aim to increase production to an estimated 19.3 billion cubic meters by 2014 by maximizing the exploration, development and production of non-associated gas and by adopting a zero flaring policy for both onshore and offshore operations, targeting 1% gas flaring.</w:t>
      </w:r>
      <w:r w:rsidRPr="00164269">
        <w:rPr>
          <w:sz w:val="24"/>
          <w:szCs w:val="24"/>
          <w:vertAlign w:val="superscript"/>
        </w:rPr>
        <w:footnoteReference w:id="9"/>
      </w:r>
    </w:p>
    <w:p w:rsidR="00164269" w:rsidRPr="00164269" w:rsidRDefault="00164269" w:rsidP="00164269">
      <w:pPr>
        <w:pStyle w:val="BodyText"/>
        <w:spacing w:line="276" w:lineRule="auto"/>
        <w:rPr>
          <w:sz w:val="24"/>
          <w:szCs w:val="24"/>
        </w:rPr>
      </w:pPr>
      <w:r w:rsidRPr="00164269">
        <w:rPr>
          <w:sz w:val="24"/>
          <w:szCs w:val="24"/>
        </w:rPr>
        <w:t>In February 2010, a five-year Enhanced Technical Services Agreement (ETSA) has been signed between KOC and Shell Kuwait Exploration and Development B.V., a subsidiary of Royal Dutch Shell.</w:t>
      </w:r>
      <w:r w:rsidRPr="00164269">
        <w:rPr>
          <w:sz w:val="24"/>
          <w:szCs w:val="24"/>
          <w:vertAlign w:val="superscript"/>
        </w:rPr>
        <w:footnoteReference w:id="10"/>
      </w:r>
      <w:r w:rsidRPr="00164269">
        <w:rPr>
          <w:sz w:val="24"/>
          <w:szCs w:val="24"/>
        </w:rPr>
        <w:t xml:space="preserve">  Shell aims to play a technical and advisory role in the development of non-associated gas in the complex northern fields of </w:t>
      </w:r>
      <w:proofErr w:type="spellStart"/>
      <w:r w:rsidRPr="00164269">
        <w:rPr>
          <w:sz w:val="24"/>
          <w:szCs w:val="24"/>
        </w:rPr>
        <w:t>Marrat</w:t>
      </w:r>
      <w:proofErr w:type="spellEnd"/>
      <w:r w:rsidRPr="00164269">
        <w:rPr>
          <w:sz w:val="24"/>
          <w:szCs w:val="24"/>
        </w:rPr>
        <w:t xml:space="preserve"> and Najma </w:t>
      </w:r>
      <w:proofErr w:type="spellStart"/>
      <w:r w:rsidRPr="00164269">
        <w:rPr>
          <w:sz w:val="24"/>
          <w:szCs w:val="24"/>
        </w:rPr>
        <w:t>Sargelu</w:t>
      </w:r>
      <w:proofErr w:type="spellEnd"/>
      <w:r w:rsidRPr="00164269">
        <w:rPr>
          <w:sz w:val="24"/>
          <w:szCs w:val="24"/>
        </w:rPr>
        <w:t xml:space="preserve"> Reservoirs.</w:t>
      </w:r>
    </w:p>
    <w:p w:rsidR="00164269" w:rsidRPr="00164269" w:rsidRDefault="00164269" w:rsidP="00164269">
      <w:pPr>
        <w:pStyle w:val="BodyText"/>
        <w:spacing w:line="276" w:lineRule="auto"/>
        <w:rPr>
          <w:sz w:val="24"/>
          <w:szCs w:val="24"/>
        </w:rPr>
      </w:pPr>
      <w:r w:rsidRPr="00164269">
        <w:rPr>
          <w:sz w:val="24"/>
          <w:szCs w:val="24"/>
        </w:rPr>
        <w:lastRenderedPageBreak/>
        <w:t xml:space="preserve">Mina al-Ahmadi </w:t>
      </w:r>
      <w:proofErr w:type="spellStart"/>
      <w:r w:rsidRPr="00164269">
        <w:rPr>
          <w:sz w:val="24"/>
          <w:szCs w:val="24"/>
        </w:rPr>
        <w:t>GasPort</w:t>
      </w:r>
      <w:proofErr w:type="spellEnd"/>
      <w:r w:rsidRPr="00164269">
        <w:rPr>
          <w:sz w:val="24"/>
          <w:szCs w:val="24"/>
        </w:rPr>
        <w:t xml:space="preserve"> is the main port for regasification and is the Persian Gulf's first regasification terminal.  Mina al-Ahmadi's capacity is around 10,300 tonnes of LNG per day.</w:t>
      </w:r>
    </w:p>
    <w:p w:rsidR="00164269" w:rsidRPr="00164269" w:rsidRDefault="00164269" w:rsidP="00164269">
      <w:pPr>
        <w:pStyle w:val="Heading3"/>
        <w:numPr>
          <w:ilvl w:val="2"/>
          <w:numId w:val="2"/>
        </w:numPr>
        <w:spacing w:line="276" w:lineRule="auto"/>
        <w:rPr>
          <w:sz w:val="24"/>
          <w:szCs w:val="24"/>
        </w:rPr>
      </w:pPr>
      <w:bookmarkStart w:id="3" w:name="_Toc307391584"/>
      <w:r w:rsidRPr="00164269">
        <w:rPr>
          <w:sz w:val="24"/>
          <w:szCs w:val="24"/>
        </w:rPr>
        <w:t>Petrochemicals</w:t>
      </w:r>
      <w:bookmarkEnd w:id="3"/>
    </w:p>
    <w:p w:rsidR="00164269" w:rsidRPr="00164269" w:rsidRDefault="00164269" w:rsidP="00164269">
      <w:pPr>
        <w:pStyle w:val="BodyText"/>
        <w:spacing w:line="276" w:lineRule="auto"/>
        <w:rPr>
          <w:sz w:val="24"/>
          <w:szCs w:val="24"/>
        </w:rPr>
      </w:pPr>
      <w:r w:rsidRPr="00164269">
        <w:rPr>
          <w:sz w:val="24"/>
          <w:szCs w:val="24"/>
        </w:rPr>
        <w:t xml:space="preserve">Kuwait is an active player in the petrochemical industry.  The first chemical fertilizer complex both in Kuwait and the region, comprising ammonia, urea, ammonium sulphate, and sulphuric acid production was completed in 1966 in the industrial area of </w:t>
      </w:r>
      <w:proofErr w:type="spellStart"/>
      <w:r w:rsidRPr="00164269">
        <w:rPr>
          <w:sz w:val="24"/>
          <w:szCs w:val="24"/>
        </w:rPr>
        <w:t>Shuaiba</w:t>
      </w:r>
      <w:proofErr w:type="spellEnd"/>
      <w:r w:rsidRPr="00164269">
        <w:rPr>
          <w:sz w:val="24"/>
          <w:szCs w:val="24"/>
        </w:rPr>
        <w:t>.</w:t>
      </w:r>
    </w:p>
    <w:p w:rsidR="00164269" w:rsidRPr="00164269" w:rsidRDefault="00164269" w:rsidP="00164269">
      <w:pPr>
        <w:pStyle w:val="BodyText"/>
        <w:spacing w:line="276" w:lineRule="auto"/>
        <w:rPr>
          <w:sz w:val="24"/>
          <w:szCs w:val="24"/>
        </w:rPr>
      </w:pPr>
      <w:r w:rsidRPr="00164269">
        <w:rPr>
          <w:sz w:val="24"/>
          <w:szCs w:val="24"/>
        </w:rPr>
        <w:t>The main petrochemical products include fertilisers, olefins and aromatics.  In 2010, Kuwait's total production capacity was 7,090 million tons (Table IV.5).  In 2010, Kuwait's total sales of fertilizers reached an amount of US$347 million, a 65% increase from 2009.  Kuwait exports its petrochemical products globally.</w:t>
      </w:r>
    </w:p>
    <w:p w:rsidR="00164269" w:rsidRPr="00164269" w:rsidRDefault="00164269" w:rsidP="00164269">
      <w:pPr>
        <w:spacing w:line="276" w:lineRule="auto"/>
        <w:rPr>
          <w:b/>
          <w:sz w:val="24"/>
          <w:szCs w:val="24"/>
        </w:rPr>
      </w:pPr>
      <w:r w:rsidRPr="00164269">
        <w:rPr>
          <w:b/>
          <w:sz w:val="24"/>
          <w:szCs w:val="24"/>
        </w:rPr>
        <w:t>Table IV.5</w:t>
      </w:r>
    </w:p>
    <w:p w:rsidR="00164269" w:rsidRPr="00164269" w:rsidRDefault="00164269" w:rsidP="00164269">
      <w:pPr>
        <w:spacing w:line="276" w:lineRule="auto"/>
        <w:rPr>
          <w:b/>
          <w:sz w:val="24"/>
          <w:szCs w:val="24"/>
        </w:rPr>
      </w:pPr>
      <w:r w:rsidRPr="00164269">
        <w:rPr>
          <w:b/>
          <w:sz w:val="24"/>
          <w:szCs w:val="24"/>
        </w:rPr>
        <w:t>Kuwait's production capacity of petrochemical products (2010)</w:t>
      </w:r>
    </w:p>
    <w:p w:rsidR="00164269" w:rsidRPr="00164269" w:rsidRDefault="00164269" w:rsidP="00164269">
      <w:pPr>
        <w:spacing w:line="276" w:lineRule="auto"/>
        <w:rPr>
          <w:sz w:val="24"/>
          <w:szCs w:val="24"/>
        </w:rPr>
      </w:pPr>
      <w:r w:rsidRPr="00164269">
        <w:rPr>
          <w:sz w:val="24"/>
          <w:szCs w:val="24"/>
        </w:rPr>
        <w:t>(Million tons)</w:t>
      </w:r>
    </w:p>
    <w:tbl>
      <w:tblPr>
        <w:tblW w:w="9072" w:type="dxa"/>
        <w:tblInd w:w="108" w:type="dxa"/>
        <w:tblBorders>
          <w:top w:val="double" w:sz="6" w:space="0" w:color="auto"/>
          <w:left w:val="double" w:sz="6" w:space="0" w:color="auto"/>
          <w:bottom w:val="double" w:sz="6" w:space="0" w:color="auto"/>
          <w:right w:val="double" w:sz="6" w:space="0" w:color="auto"/>
        </w:tblBorders>
        <w:tblLayout w:type="fixed"/>
        <w:tblLook w:val="00A0" w:firstRow="1" w:lastRow="0" w:firstColumn="1" w:lastColumn="0" w:noHBand="0" w:noVBand="0"/>
      </w:tblPr>
      <w:tblGrid>
        <w:gridCol w:w="1985"/>
        <w:gridCol w:w="3118"/>
        <w:gridCol w:w="3969"/>
      </w:tblGrid>
      <w:tr w:rsidR="00164269" w:rsidRPr="00164269" w:rsidTr="00D231E5">
        <w:tc>
          <w:tcPr>
            <w:tcW w:w="1985" w:type="dxa"/>
            <w:tcBorders>
              <w:top w:val="double" w:sz="6" w:space="0" w:color="auto"/>
              <w:bottom w:val="double" w:sz="6" w:space="0" w:color="auto"/>
            </w:tcBorders>
          </w:tcPr>
          <w:p w:rsidR="00164269" w:rsidRPr="00164269" w:rsidRDefault="00164269" w:rsidP="00164269">
            <w:pPr>
              <w:spacing w:before="60" w:after="20" w:line="276" w:lineRule="auto"/>
              <w:jc w:val="left"/>
              <w:rPr>
                <w:b/>
                <w:sz w:val="24"/>
                <w:szCs w:val="24"/>
              </w:rPr>
            </w:pPr>
            <w:r w:rsidRPr="00164269">
              <w:rPr>
                <w:b/>
                <w:sz w:val="24"/>
                <w:szCs w:val="24"/>
              </w:rPr>
              <w:t>Product</w:t>
            </w:r>
          </w:p>
        </w:tc>
        <w:tc>
          <w:tcPr>
            <w:tcW w:w="3118" w:type="dxa"/>
            <w:tcBorders>
              <w:top w:val="double" w:sz="6" w:space="0" w:color="auto"/>
              <w:bottom w:val="double" w:sz="6" w:space="0" w:color="auto"/>
            </w:tcBorders>
          </w:tcPr>
          <w:p w:rsidR="00164269" w:rsidRPr="00164269" w:rsidRDefault="00164269" w:rsidP="00164269">
            <w:pPr>
              <w:spacing w:before="60" w:after="20" w:line="276" w:lineRule="auto"/>
              <w:jc w:val="center"/>
              <w:rPr>
                <w:b/>
                <w:sz w:val="24"/>
                <w:szCs w:val="24"/>
              </w:rPr>
            </w:pPr>
          </w:p>
        </w:tc>
        <w:tc>
          <w:tcPr>
            <w:tcW w:w="3969" w:type="dxa"/>
            <w:tcBorders>
              <w:top w:val="double" w:sz="6" w:space="0" w:color="auto"/>
              <w:bottom w:val="double" w:sz="6" w:space="0" w:color="auto"/>
            </w:tcBorders>
          </w:tcPr>
          <w:p w:rsidR="00164269" w:rsidRPr="00164269" w:rsidRDefault="00164269" w:rsidP="00164269">
            <w:pPr>
              <w:spacing w:before="60" w:after="20" w:line="276" w:lineRule="auto"/>
              <w:jc w:val="center"/>
              <w:rPr>
                <w:b/>
                <w:sz w:val="24"/>
                <w:szCs w:val="24"/>
              </w:rPr>
            </w:pPr>
            <w:r w:rsidRPr="00164269">
              <w:rPr>
                <w:b/>
                <w:sz w:val="24"/>
                <w:szCs w:val="24"/>
              </w:rPr>
              <w:t>2010</w:t>
            </w:r>
          </w:p>
        </w:tc>
      </w:tr>
      <w:tr w:rsidR="00164269" w:rsidRPr="00164269" w:rsidTr="00D231E5">
        <w:trPr>
          <w:trHeight w:val="279"/>
        </w:trPr>
        <w:tc>
          <w:tcPr>
            <w:tcW w:w="1985" w:type="dxa"/>
            <w:tcBorders>
              <w:top w:val="double" w:sz="6" w:space="0" w:color="auto"/>
            </w:tcBorders>
          </w:tcPr>
          <w:p w:rsidR="00164269" w:rsidRPr="00164269" w:rsidRDefault="00164269" w:rsidP="00164269">
            <w:pPr>
              <w:spacing w:before="40" w:after="20" w:line="276" w:lineRule="auto"/>
              <w:rPr>
                <w:sz w:val="24"/>
                <w:szCs w:val="24"/>
              </w:rPr>
            </w:pPr>
            <w:r w:rsidRPr="00164269">
              <w:rPr>
                <w:sz w:val="24"/>
                <w:szCs w:val="24"/>
              </w:rPr>
              <w:t>Fertilizers</w:t>
            </w:r>
          </w:p>
        </w:tc>
        <w:tc>
          <w:tcPr>
            <w:tcW w:w="3118" w:type="dxa"/>
            <w:tcBorders>
              <w:top w:val="double" w:sz="6" w:space="0" w:color="auto"/>
            </w:tcBorders>
          </w:tcPr>
          <w:p w:rsidR="00164269" w:rsidRPr="00164269" w:rsidRDefault="00164269" w:rsidP="00164269">
            <w:pPr>
              <w:spacing w:before="40" w:after="20" w:line="276" w:lineRule="auto"/>
              <w:ind w:right="170"/>
              <w:jc w:val="left"/>
              <w:rPr>
                <w:sz w:val="24"/>
                <w:szCs w:val="24"/>
              </w:rPr>
            </w:pPr>
            <w:r w:rsidRPr="00164269">
              <w:rPr>
                <w:sz w:val="24"/>
                <w:szCs w:val="24"/>
              </w:rPr>
              <w:t>Urea</w:t>
            </w:r>
          </w:p>
        </w:tc>
        <w:tc>
          <w:tcPr>
            <w:tcW w:w="3969" w:type="dxa"/>
            <w:tcBorders>
              <w:top w:val="double" w:sz="6" w:space="0" w:color="auto"/>
            </w:tcBorders>
          </w:tcPr>
          <w:p w:rsidR="00164269" w:rsidRPr="00164269" w:rsidRDefault="00164269" w:rsidP="00164269">
            <w:pPr>
              <w:spacing w:before="40" w:after="20" w:line="276" w:lineRule="auto"/>
              <w:ind w:right="1701"/>
              <w:jc w:val="right"/>
              <w:rPr>
                <w:sz w:val="24"/>
                <w:szCs w:val="24"/>
              </w:rPr>
            </w:pPr>
            <w:r w:rsidRPr="00164269">
              <w:rPr>
                <w:sz w:val="24"/>
                <w:szCs w:val="24"/>
              </w:rPr>
              <w:t>1,050</w:t>
            </w:r>
          </w:p>
        </w:tc>
      </w:tr>
      <w:tr w:rsidR="00164269" w:rsidRPr="00164269" w:rsidTr="00D231E5">
        <w:tc>
          <w:tcPr>
            <w:tcW w:w="1985" w:type="dxa"/>
          </w:tcPr>
          <w:p w:rsidR="00164269" w:rsidRPr="00164269" w:rsidRDefault="00164269" w:rsidP="00164269">
            <w:pPr>
              <w:spacing w:before="40" w:after="20" w:line="276" w:lineRule="auto"/>
              <w:rPr>
                <w:sz w:val="24"/>
                <w:szCs w:val="24"/>
              </w:rPr>
            </w:pPr>
          </w:p>
        </w:tc>
        <w:tc>
          <w:tcPr>
            <w:tcW w:w="3118" w:type="dxa"/>
          </w:tcPr>
          <w:p w:rsidR="00164269" w:rsidRPr="00164269" w:rsidRDefault="00164269" w:rsidP="00164269">
            <w:pPr>
              <w:spacing w:before="40" w:after="20" w:line="276" w:lineRule="auto"/>
              <w:ind w:right="113"/>
              <w:jc w:val="left"/>
              <w:rPr>
                <w:sz w:val="24"/>
                <w:szCs w:val="24"/>
              </w:rPr>
            </w:pPr>
            <w:r w:rsidRPr="00164269">
              <w:rPr>
                <w:sz w:val="24"/>
                <w:szCs w:val="24"/>
              </w:rPr>
              <w:t>Ammonia</w:t>
            </w:r>
          </w:p>
        </w:tc>
        <w:tc>
          <w:tcPr>
            <w:tcW w:w="3969" w:type="dxa"/>
          </w:tcPr>
          <w:p w:rsidR="00164269" w:rsidRPr="00164269" w:rsidRDefault="00164269" w:rsidP="00164269">
            <w:pPr>
              <w:spacing w:before="40" w:after="20" w:line="276" w:lineRule="auto"/>
              <w:ind w:right="1701"/>
              <w:jc w:val="right"/>
              <w:rPr>
                <w:sz w:val="24"/>
                <w:szCs w:val="24"/>
              </w:rPr>
            </w:pPr>
            <w:r w:rsidRPr="00164269">
              <w:rPr>
                <w:sz w:val="24"/>
                <w:szCs w:val="24"/>
              </w:rPr>
              <w:t>660</w:t>
            </w:r>
          </w:p>
        </w:tc>
      </w:tr>
      <w:tr w:rsidR="00164269" w:rsidRPr="00164269" w:rsidTr="00D231E5">
        <w:tc>
          <w:tcPr>
            <w:tcW w:w="1985" w:type="dxa"/>
          </w:tcPr>
          <w:p w:rsidR="00164269" w:rsidRPr="00164269" w:rsidRDefault="00164269" w:rsidP="00164269">
            <w:pPr>
              <w:spacing w:before="40" w:after="20" w:line="276" w:lineRule="auto"/>
              <w:rPr>
                <w:sz w:val="24"/>
                <w:szCs w:val="24"/>
              </w:rPr>
            </w:pPr>
            <w:r w:rsidRPr="00164269">
              <w:rPr>
                <w:sz w:val="24"/>
                <w:szCs w:val="24"/>
              </w:rPr>
              <w:t>Olefins</w:t>
            </w:r>
          </w:p>
        </w:tc>
        <w:tc>
          <w:tcPr>
            <w:tcW w:w="3118" w:type="dxa"/>
          </w:tcPr>
          <w:p w:rsidR="00164269" w:rsidRPr="00164269" w:rsidRDefault="00164269" w:rsidP="00164269">
            <w:pPr>
              <w:spacing w:before="40" w:after="20" w:line="276" w:lineRule="auto"/>
              <w:ind w:right="170"/>
              <w:jc w:val="left"/>
              <w:rPr>
                <w:sz w:val="24"/>
                <w:szCs w:val="24"/>
              </w:rPr>
            </w:pPr>
            <w:r w:rsidRPr="00164269">
              <w:rPr>
                <w:sz w:val="24"/>
                <w:szCs w:val="24"/>
              </w:rPr>
              <w:t>Ethylene</w:t>
            </w:r>
          </w:p>
        </w:tc>
        <w:tc>
          <w:tcPr>
            <w:tcW w:w="3969" w:type="dxa"/>
          </w:tcPr>
          <w:p w:rsidR="00164269" w:rsidRPr="00164269" w:rsidRDefault="00164269" w:rsidP="00164269">
            <w:pPr>
              <w:spacing w:before="40" w:after="20" w:line="276" w:lineRule="auto"/>
              <w:ind w:right="1701"/>
              <w:jc w:val="right"/>
              <w:rPr>
                <w:sz w:val="24"/>
                <w:szCs w:val="24"/>
              </w:rPr>
            </w:pPr>
            <w:r w:rsidRPr="00164269">
              <w:rPr>
                <w:sz w:val="24"/>
                <w:szCs w:val="24"/>
              </w:rPr>
              <w:t>1,650</w:t>
            </w:r>
          </w:p>
        </w:tc>
      </w:tr>
      <w:tr w:rsidR="00164269" w:rsidRPr="00164269" w:rsidTr="00D231E5">
        <w:tc>
          <w:tcPr>
            <w:tcW w:w="1985" w:type="dxa"/>
          </w:tcPr>
          <w:p w:rsidR="00164269" w:rsidRPr="00164269" w:rsidRDefault="00164269" w:rsidP="00164269">
            <w:pPr>
              <w:spacing w:before="40" w:after="20" w:line="276" w:lineRule="auto"/>
              <w:rPr>
                <w:sz w:val="24"/>
                <w:szCs w:val="24"/>
              </w:rPr>
            </w:pPr>
          </w:p>
        </w:tc>
        <w:tc>
          <w:tcPr>
            <w:tcW w:w="3118" w:type="dxa"/>
          </w:tcPr>
          <w:p w:rsidR="00164269" w:rsidRPr="00164269" w:rsidRDefault="00164269" w:rsidP="00164269">
            <w:pPr>
              <w:spacing w:before="40" w:after="20" w:line="276" w:lineRule="auto"/>
              <w:ind w:right="170"/>
              <w:jc w:val="left"/>
              <w:rPr>
                <w:sz w:val="24"/>
                <w:szCs w:val="24"/>
              </w:rPr>
            </w:pPr>
            <w:r w:rsidRPr="00164269">
              <w:rPr>
                <w:sz w:val="24"/>
                <w:szCs w:val="24"/>
              </w:rPr>
              <w:t>Polyethylene</w:t>
            </w:r>
          </w:p>
        </w:tc>
        <w:tc>
          <w:tcPr>
            <w:tcW w:w="3969" w:type="dxa"/>
          </w:tcPr>
          <w:p w:rsidR="00164269" w:rsidRPr="00164269" w:rsidRDefault="00164269" w:rsidP="00164269">
            <w:pPr>
              <w:spacing w:before="40" w:after="20" w:line="276" w:lineRule="auto"/>
              <w:ind w:right="1701"/>
              <w:jc w:val="right"/>
              <w:rPr>
                <w:sz w:val="24"/>
                <w:szCs w:val="24"/>
              </w:rPr>
            </w:pPr>
            <w:r w:rsidRPr="00164269">
              <w:rPr>
                <w:sz w:val="24"/>
                <w:szCs w:val="24"/>
              </w:rPr>
              <w:t>900</w:t>
            </w:r>
          </w:p>
        </w:tc>
      </w:tr>
      <w:tr w:rsidR="00164269" w:rsidRPr="00164269" w:rsidTr="00D231E5">
        <w:tc>
          <w:tcPr>
            <w:tcW w:w="1985" w:type="dxa"/>
          </w:tcPr>
          <w:p w:rsidR="00164269" w:rsidRPr="00164269" w:rsidRDefault="00164269" w:rsidP="00164269">
            <w:pPr>
              <w:spacing w:before="40" w:after="20" w:line="276" w:lineRule="auto"/>
              <w:rPr>
                <w:sz w:val="24"/>
                <w:szCs w:val="24"/>
              </w:rPr>
            </w:pPr>
          </w:p>
        </w:tc>
        <w:tc>
          <w:tcPr>
            <w:tcW w:w="3118" w:type="dxa"/>
          </w:tcPr>
          <w:p w:rsidR="00164269" w:rsidRPr="00164269" w:rsidRDefault="00164269" w:rsidP="00164269">
            <w:pPr>
              <w:spacing w:before="40" w:after="20" w:line="276" w:lineRule="auto"/>
              <w:ind w:right="170"/>
              <w:jc w:val="left"/>
              <w:rPr>
                <w:sz w:val="24"/>
                <w:szCs w:val="24"/>
              </w:rPr>
            </w:pPr>
            <w:r w:rsidRPr="00164269">
              <w:rPr>
                <w:sz w:val="24"/>
                <w:szCs w:val="24"/>
              </w:rPr>
              <w:t>Ethylene glycol</w:t>
            </w:r>
          </w:p>
        </w:tc>
        <w:tc>
          <w:tcPr>
            <w:tcW w:w="3969" w:type="dxa"/>
          </w:tcPr>
          <w:p w:rsidR="00164269" w:rsidRPr="00164269" w:rsidRDefault="00164269" w:rsidP="00164269">
            <w:pPr>
              <w:spacing w:before="40" w:after="20" w:line="276" w:lineRule="auto"/>
              <w:ind w:right="1701"/>
              <w:jc w:val="right"/>
              <w:rPr>
                <w:sz w:val="24"/>
                <w:szCs w:val="24"/>
              </w:rPr>
            </w:pPr>
            <w:r w:rsidRPr="00164269">
              <w:rPr>
                <w:sz w:val="24"/>
                <w:szCs w:val="24"/>
              </w:rPr>
              <w:t>1,000</w:t>
            </w:r>
          </w:p>
        </w:tc>
      </w:tr>
      <w:tr w:rsidR="00164269" w:rsidRPr="00164269" w:rsidTr="00D231E5">
        <w:tc>
          <w:tcPr>
            <w:tcW w:w="1985" w:type="dxa"/>
          </w:tcPr>
          <w:p w:rsidR="00164269" w:rsidRPr="00164269" w:rsidRDefault="00164269" w:rsidP="00164269">
            <w:pPr>
              <w:spacing w:before="40" w:after="20" w:line="276" w:lineRule="auto"/>
              <w:rPr>
                <w:sz w:val="24"/>
                <w:szCs w:val="24"/>
              </w:rPr>
            </w:pPr>
          </w:p>
        </w:tc>
        <w:tc>
          <w:tcPr>
            <w:tcW w:w="3118" w:type="dxa"/>
          </w:tcPr>
          <w:p w:rsidR="00164269" w:rsidRPr="00164269" w:rsidRDefault="00164269" w:rsidP="00164269">
            <w:pPr>
              <w:spacing w:before="40" w:after="20" w:line="276" w:lineRule="auto"/>
              <w:ind w:right="170"/>
              <w:jc w:val="left"/>
              <w:rPr>
                <w:sz w:val="24"/>
                <w:szCs w:val="24"/>
              </w:rPr>
            </w:pPr>
            <w:r w:rsidRPr="00164269">
              <w:rPr>
                <w:sz w:val="24"/>
                <w:szCs w:val="24"/>
              </w:rPr>
              <w:t>Polypropylene</w:t>
            </w:r>
          </w:p>
        </w:tc>
        <w:tc>
          <w:tcPr>
            <w:tcW w:w="3969" w:type="dxa"/>
          </w:tcPr>
          <w:p w:rsidR="00164269" w:rsidRPr="00164269" w:rsidRDefault="00164269" w:rsidP="00164269">
            <w:pPr>
              <w:spacing w:before="40" w:after="20" w:line="276" w:lineRule="auto"/>
              <w:ind w:right="1701"/>
              <w:jc w:val="right"/>
              <w:rPr>
                <w:sz w:val="24"/>
                <w:szCs w:val="24"/>
              </w:rPr>
            </w:pPr>
            <w:r w:rsidRPr="00164269">
              <w:rPr>
                <w:sz w:val="24"/>
                <w:szCs w:val="24"/>
              </w:rPr>
              <w:t>150</w:t>
            </w:r>
          </w:p>
        </w:tc>
      </w:tr>
      <w:tr w:rsidR="00164269" w:rsidRPr="00164269" w:rsidTr="00D231E5">
        <w:tc>
          <w:tcPr>
            <w:tcW w:w="1985" w:type="dxa"/>
            <w:tcBorders>
              <w:bottom w:val="nil"/>
            </w:tcBorders>
          </w:tcPr>
          <w:p w:rsidR="00164269" w:rsidRPr="00164269" w:rsidRDefault="00164269" w:rsidP="00164269">
            <w:pPr>
              <w:spacing w:before="40" w:after="20" w:line="276" w:lineRule="auto"/>
              <w:rPr>
                <w:sz w:val="24"/>
                <w:szCs w:val="24"/>
              </w:rPr>
            </w:pPr>
            <w:r w:rsidRPr="00164269">
              <w:rPr>
                <w:sz w:val="24"/>
                <w:szCs w:val="24"/>
              </w:rPr>
              <w:t>Aromatics</w:t>
            </w:r>
          </w:p>
        </w:tc>
        <w:tc>
          <w:tcPr>
            <w:tcW w:w="3118" w:type="dxa"/>
            <w:tcBorders>
              <w:bottom w:val="nil"/>
            </w:tcBorders>
          </w:tcPr>
          <w:p w:rsidR="00164269" w:rsidRPr="00164269" w:rsidRDefault="00164269" w:rsidP="00164269">
            <w:pPr>
              <w:spacing w:before="40" w:after="20" w:line="276" w:lineRule="auto"/>
              <w:ind w:right="170"/>
              <w:jc w:val="left"/>
              <w:rPr>
                <w:sz w:val="24"/>
                <w:szCs w:val="24"/>
              </w:rPr>
            </w:pPr>
            <w:proofErr w:type="spellStart"/>
            <w:r w:rsidRPr="00164269">
              <w:rPr>
                <w:sz w:val="24"/>
                <w:szCs w:val="24"/>
              </w:rPr>
              <w:t>Paraxylene</w:t>
            </w:r>
            <w:proofErr w:type="spellEnd"/>
          </w:p>
        </w:tc>
        <w:tc>
          <w:tcPr>
            <w:tcW w:w="3969" w:type="dxa"/>
            <w:tcBorders>
              <w:bottom w:val="nil"/>
            </w:tcBorders>
          </w:tcPr>
          <w:p w:rsidR="00164269" w:rsidRPr="00164269" w:rsidRDefault="00164269" w:rsidP="00164269">
            <w:pPr>
              <w:spacing w:before="40" w:after="20" w:line="276" w:lineRule="auto"/>
              <w:ind w:right="1701"/>
              <w:jc w:val="right"/>
              <w:rPr>
                <w:sz w:val="24"/>
                <w:szCs w:val="24"/>
              </w:rPr>
            </w:pPr>
            <w:r w:rsidRPr="00164269">
              <w:rPr>
                <w:sz w:val="24"/>
                <w:szCs w:val="24"/>
              </w:rPr>
              <w:t>830</w:t>
            </w:r>
          </w:p>
        </w:tc>
      </w:tr>
      <w:tr w:rsidR="00164269" w:rsidRPr="00164269" w:rsidTr="00D231E5">
        <w:tc>
          <w:tcPr>
            <w:tcW w:w="1985" w:type="dxa"/>
            <w:tcBorders>
              <w:bottom w:val="nil"/>
            </w:tcBorders>
          </w:tcPr>
          <w:p w:rsidR="00164269" w:rsidRPr="00164269" w:rsidRDefault="00164269" w:rsidP="00164269">
            <w:pPr>
              <w:spacing w:before="40" w:after="20" w:line="276" w:lineRule="auto"/>
              <w:rPr>
                <w:sz w:val="24"/>
                <w:szCs w:val="24"/>
              </w:rPr>
            </w:pPr>
          </w:p>
        </w:tc>
        <w:tc>
          <w:tcPr>
            <w:tcW w:w="3118" w:type="dxa"/>
            <w:tcBorders>
              <w:bottom w:val="nil"/>
            </w:tcBorders>
          </w:tcPr>
          <w:p w:rsidR="00164269" w:rsidRPr="00164269" w:rsidRDefault="00164269" w:rsidP="00164269">
            <w:pPr>
              <w:spacing w:before="40" w:after="20" w:line="276" w:lineRule="auto"/>
              <w:ind w:right="170"/>
              <w:jc w:val="left"/>
              <w:rPr>
                <w:sz w:val="24"/>
                <w:szCs w:val="24"/>
              </w:rPr>
            </w:pPr>
            <w:r w:rsidRPr="00164269">
              <w:rPr>
                <w:sz w:val="24"/>
                <w:szCs w:val="24"/>
              </w:rPr>
              <w:t>Benzene</w:t>
            </w:r>
          </w:p>
        </w:tc>
        <w:tc>
          <w:tcPr>
            <w:tcW w:w="3969" w:type="dxa"/>
            <w:tcBorders>
              <w:bottom w:val="nil"/>
            </w:tcBorders>
          </w:tcPr>
          <w:p w:rsidR="00164269" w:rsidRPr="00164269" w:rsidRDefault="00164269" w:rsidP="00164269">
            <w:pPr>
              <w:spacing w:before="40" w:after="20" w:line="276" w:lineRule="auto"/>
              <w:ind w:right="1701"/>
              <w:jc w:val="right"/>
              <w:rPr>
                <w:sz w:val="24"/>
                <w:szCs w:val="24"/>
              </w:rPr>
            </w:pPr>
            <w:r w:rsidRPr="00164269">
              <w:rPr>
                <w:sz w:val="24"/>
                <w:szCs w:val="24"/>
              </w:rPr>
              <w:t>400</w:t>
            </w:r>
          </w:p>
        </w:tc>
      </w:tr>
      <w:tr w:rsidR="00164269" w:rsidRPr="00164269" w:rsidTr="00D231E5">
        <w:tc>
          <w:tcPr>
            <w:tcW w:w="1985" w:type="dxa"/>
            <w:tcBorders>
              <w:bottom w:val="nil"/>
            </w:tcBorders>
          </w:tcPr>
          <w:p w:rsidR="00164269" w:rsidRPr="00164269" w:rsidRDefault="00164269" w:rsidP="00164269">
            <w:pPr>
              <w:spacing w:before="40" w:after="20" w:line="276" w:lineRule="auto"/>
              <w:rPr>
                <w:sz w:val="24"/>
                <w:szCs w:val="24"/>
              </w:rPr>
            </w:pPr>
          </w:p>
        </w:tc>
        <w:tc>
          <w:tcPr>
            <w:tcW w:w="3118" w:type="dxa"/>
            <w:tcBorders>
              <w:bottom w:val="nil"/>
            </w:tcBorders>
          </w:tcPr>
          <w:p w:rsidR="00164269" w:rsidRPr="00164269" w:rsidRDefault="00164269" w:rsidP="00164269">
            <w:pPr>
              <w:spacing w:before="40" w:after="20" w:line="276" w:lineRule="auto"/>
              <w:ind w:right="170"/>
              <w:jc w:val="left"/>
              <w:rPr>
                <w:sz w:val="24"/>
                <w:szCs w:val="24"/>
              </w:rPr>
            </w:pPr>
            <w:r w:rsidRPr="00164269">
              <w:rPr>
                <w:sz w:val="24"/>
                <w:szCs w:val="24"/>
              </w:rPr>
              <w:t>Styrene monomer</w:t>
            </w:r>
          </w:p>
        </w:tc>
        <w:tc>
          <w:tcPr>
            <w:tcW w:w="3969" w:type="dxa"/>
            <w:tcBorders>
              <w:bottom w:val="nil"/>
            </w:tcBorders>
          </w:tcPr>
          <w:p w:rsidR="00164269" w:rsidRPr="00164269" w:rsidRDefault="00164269" w:rsidP="00164269">
            <w:pPr>
              <w:spacing w:before="40" w:after="20" w:line="276" w:lineRule="auto"/>
              <w:ind w:right="1701"/>
              <w:jc w:val="right"/>
              <w:rPr>
                <w:sz w:val="24"/>
                <w:szCs w:val="24"/>
              </w:rPr>
            </w:pPr>
            <w:r w:rsidRPr="00164269">
              <w:rPr>
                <w:sz w:val="24"/>
                <w:szCs w:val="24"/>
              </w:rPr>
              <w:t>450</w:t>
            </w:r>
          </w:p>
        </w:tc>
      </w:tr>
      <w:tr w:rsidR="00164269" w:rsidRPr="00164269" w:rsidTr="00D231E5">
        <w:tc>
          <w:tcPr>
            <w:tcW w:w="1985" w:type="dxa"/>
            <w:tcBorders>
              <w:top w:val="nil"/>
              <w:bottom w:val="double" w:sz="6" w:space="0" w:color="auto"/>
            </w:tcBorders>
          </w:tcPr>
          <w:p w:rsidR="00164269" w:rsidRPr="00164269" w:rsidRDefault="00164269" w:rsidP="00164269">
            <w:pPr>
              <w:spacing w:before="40" w:after="20" w:line="276" w:lineRule="auto"/>
              <w:rPr>
                <w:b/>
                <w:sz w:val="24"/>
                <w:szCs w:val="24"/>
              </w:rPr>
            </w:pPr>
            <w:r w:rsidRPr="00164269">
              <w:rPr>
                <w:b/>
                <w:sz w:val="24"/>
                <w:szCs w:val="24"/>
              </w:rPr>
              <w:t>Total</w:t>
            </w:r>
          </w:p>
        </w:tc>
        <w:tc>
          <w:tcPr>
            <w:tcW w:w="3118" w:type="dxa"/>
            <w:tcBorders>
              <w:top w:val="nil"/>
              <w:bottom w:val="double" w:sz="6" w:space="0" w:color="auto"/>
            </w:tcBorders>
          </w:tcPr>
          <w:p w:rsidR="00164269" w:rsidRPr="00164269" w:rsidRDefault="00164269" w:rsidP="00164269">
            <w:pPr>
              <w:spacing w:before="40" w:after="20" w:line="276" w:lineRule="auto"/>
              <w:ind w:left="227" w:right="170"/>
              <w:jc w:val="left"/>
              <w:rPr>
                <w:b/>
                <w:sz w:val="24"/>
                <w:szCs w:val="24"/>
              </w:rPr>
            </w:pPr>
          </w:p>
        </w:tc>
        <w:tc>
          <w:tcPr>
            <w:tcW w:w="3969" w:type="dxa"/>
            <w:tcBorders>
              <w:top w:val="nil"/>
              <w:bottom w:val="double" w:sz="6" w:space="0" w:color="auto"/>
            </w:tcBorders>
          </w:tcPr>
          <w:p w:rsidR="00164269" w:rsidRPr="00164269" w:rsidRDefault="00164269" w:rsidP="00164269">
            <w:pPr>
              <w:spacing w:before="40" w:after="20" w:line="276" w:lineRule="auto"/>
              <w:ind w:right="1701"/>
              <w:jc w:val="right"/>
              <w:rPr>
                <w:b/>
                <w:sz w:val="24"/>
                <w:szCs w:val="24"/>
              </w:rPr>
            </w:pPr>
            <w:r w:rsidRPr="00164269">
              <w:rPr>
                <w:b/>
                <w:sz w:val="24"/>
                <w:szCs w:val="24"/>
              </w:rPr>
              <w:t>7,090</w:t>
            </w:r>
          </w:p>
        </w:tc>
      </w:tr>
    </w:tbl>
    <w:p w:rsidR="00164269" w:rsidRPr="00164269" w:rsidRDefault="00164269" w:rsidP="00164269">
      <w:pPr>
        <w:spacing w:line="276" w:lineRule="auto"/>
        <w:rPr>
          <w:i/>
          <w:sz w:val="24"/>
          <w:szCs w:val="24"/>
        </w:rPr>
      </w:pPr>
    </w:p>
    <w:p w:rsidR="00164269" w:rsidRPr="00164269" w:rsidRDefault="00164269" w:rsidP="00164269">
      <w:pPr>
        <w:spacing w:after="240" w:line="276" w:lineRule="auto"/>
        <w:rPr>
          <w:sz w:val="24"/>
          <w:szCs w:val="24"/>
        </w:rPr>
      </w:pPr>
      <w:r w:rsidRPr="00164269">
        <w:rPr>
          <w:i/>
          <w:sz w:val="24"/>
          <w:szCs w:val="24"/>
        </w:rPr>
        <w:t>Source:</w:t>
      </w:r>
      <w:r w:rsidRPr="00164269">
        <w:rPr>
          <w:sz w:val="24"/>
          <w:szCs w:val="24"/>
        </w:rPr>
        <w:tab/>
        <w:t>Kuwaiti authorities.</w:t>
      </w:r>
    </w:p>
    <w:p w:rsidR="00164269" w:rsidRPr="00164269" w:rsidRDefault="00164269" w:rsidP="00164269">
      <w:pPr>
        <w:pStyle w:val="BodyText"/>
        <w:spacing w:line="276" w:lineRule="auto"/>
        <w:rPr>
          <w:sz w:val="24"/>
          <w:szCs w:val="24"/>
        </w:rPr>
      </w:pPr>
      <w:r w:rsidRPr="00164269">
        <w:rPr>
          <w:sz w:val="24"/>
          <w:szCs w:val="24"/>
        </w:rPr>
        <w:t>According to the authorities, producers of fertilizers may benefit from a regulated price of natural gas, which is available to all users in Kuwait.  The feedstock of other petrochemical industries is linked to international crude oil prices.</w:t>
      </w:r>
    </w:p>
    <w:p w:rsidR="00164269" w:rsidRPr="00164269" w:rsidRDefault="00164269" w:rsidP="00164269">
      <w:pPr>
        <w:pStyle w:val="BodyText"/>
        <w:spacing w:line="276" w:lineRule="auto"/>
        <w:rPr>
          <w:sz w:val="24"/>
          <w:szCs w:val="24"/>
        </w:rPr>
      </w:pPr>
      <w:r w:rsidRPr="00164269">
        <w:rPr>
          <w:sz w:val="24"/>
          <w:szCs w:val="24"/>
        </w:rPr>
        <w:t>The Petrochemical Industries Company (PIC), a subsidiary of KPC and petrochemical conglomerate, is in charge of the petrochemical industry in Kuwait.  PIC has partnered with several national and foreign companies in the form of joint-ventures to produce diverse petrochemical products (Table IV.6).  In addition, PIC owns two fertilizer plants for the production of ammonia and urea and one polypropylene plant.</w:t>
      </w:r>
    </w:p>
    <w:p w:rsidR="00164269" w:rsidRPr="00164269" w:rsidRDefault="00164269" w:rsidP="00164269">
      <w:pPr>
        <w:keepNext/>
        <w:keepLines/>
        <w:tabs>
          <w:tab w:val="clear" w:pos="720"/>
        </w:tabs>
        <w:spacing w:line="276" w:lineRule="auto"/>
        <w:rPr>
          <w:b/>
          <w:sz w:val="24"/>
          <w:szCs w:val="24"/>
        </w:rPr>
      </w:pPr>
      <w:r w:rsidRPr="00164269">
        <w:rPr>
          <w:b/>
          <w:sz w:val="24"/>
          <w:szCs w:val="24"/>
        </w:rPr>
        <w:lastRenderedPageBreak/>
        <w:t>Table IV.6</w:t>
      </w:r>
    </w:p>
    <w:p w:rsidR="00164269" w:rsidRPr="00164269" w:rsidRDefault="00164269" w:rsidP="00164269">
      <w:pPr>
        <w:keepNext/>
        <w:keepLines/>
        <w:tabs>
          <w:tab w:val="clear" w:pos="720"/>
        </w:tabs>
        <w:spacing w:line="276" w:lineRule="auto"/>
        <w:rPr>
          <w:b/>
          <w:sz w:val="24"/>
          <w:szCs w:val="24"/>
        </w:rPr>
      </w:pPr>
      <w:r w:rsidRPr="00164269">
        <w:rPr>
          <w:b/>
          <w:sz w:val="24"/>
          <w:szCs w:val="24"/>
        </w:rPr>
        <w:t>Kuwait's petrochemical companies</w:t>
      </w:r>
    </w:p>
    <w:tbl>
      <w:tblPr>
        <w:tblW w:w="9072" w:type="dxa"/>
        <w:tblInd w:w="10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2316"/>
        <w:gridCol w:w="2929"/>
        <w:gridCol w:w="3827"/>
      </w:tblGrid>
      <w:tr w:rsidR="00164269" w:rsidRPr="00164269" w:rsidTr="00D231E5">
        <w:tc>
          <w:tcPr>
            <w:tcW w:w="2316" w:type="dxa"/>
            <w:tcBorders>
              <w:top w:val="double" w:sz="6" w:space="0" w:color="auto"/>
              <w:bottom w:val="double" w:sz="6" w:space="0" w:color="auto"/>
            </w:tcBorders>
            <w:shd w:val="clear" w:color="auto" w:fill="auto"/>
          </w:tcPr>
          <w:p w:rsidR="00164269" w:rsidRPr="00164269" w:rsidRDefault="00164269" w:rsidP="00164269">
            <w:pPr>
              <w:keepNext/>
              <w:keepLines/>
              <w:spacing w:before="60" w:after="60" w:line="276" w:lineRule="auto"/>
              <w:jc w:val="left"/>
              <w:rPr>
                <w:b/>
                <w:sz w:val="24"/>
                <w:szCs w:val="24"/>
              </w:rPr>
            </w:pPr>
            <w:r w:rsidRPr="00164269">
              <w:rPr>
                <w:b/>
                <w:sz w:val="24"/>
                <w:szCs w:val="24"/>
              </w:rPr>
              <w:t>Petrochemical Joint Venture Companies</w:t>
            </w:r>
          </w:p>
        </w:tc>
        <w:tc>
          <w:tcPr>
            <w:tcW w:w="2929" w:type="dxa"/>
            <w:tcBorders>
              <w:top w:val="double" w:sz="6" w:space="0" w:color="auto"/>
              <w:bottom w:val="double" w:sz="6" w:space="0" w:color="auto"/>
            </w:tcBorders>
            <w:shd w:val="clear" w:color="auto" w:fill="auto"/>
          </w:tcPr>
          <w:p w:rsidR="00164269" w:rsidRPr="00164269" w:rsidRDefault="00164269" w:rsidP="00164269">
            <w:pPr>
              <w:keepNext/>
              <w:keepLines/>
              <w:spacing w:before="60" w:after="60" w:line="276" w:lineRule="auto"/>
              <w:jc w:val="left"/>
              <w:rPr>
                <w:b/>
                <w:sz w:val="24"/>
                <w:szCs w:val="24"/>
              </w:rPr>
            </w:pPr>
            <w:r w:rsidRPr="00164269">
              <w:rPr>
                <w:b/>
                <w:sz w:val="24"/>
                <w:szCs w:val="24"/>
              </w:rPr>
              <w:t>Ownership structure</w:t>
            </w:r>
          </w:p>
        </w:tc>
        <w:tc>
          <w:tcPr>
            <w:tcW w:w="3827" w:type="dxa"/>
            <w:tcBorders>
              <w:top w:val="double" w:sz="6" w:space="0" w:color="auto"/>
              <w:bottom w:val="double" w:sz="6" w:space="0" w:color="auto"/>
            </w:tcBorders>
          </w:tcPr>
          <w:p w:rsidR="00164269" w:rsidRPr="00164269" w:rsidRDefault="00164269" w:rsidP="00164269">
            <w:pPr>
              <w:keepNext/>
              <w:keepLines/>
              <w:spacing w:before="60" w:after="60" w:line="276" w:lineRule="auto"/>
              <w:jc w:val="left"/>
              <w:rPr>
                <w:b/>
                <w:sz w:val="24"/>
                <w:szCs w:val="24"/>
              </w:rPr>
            </w:pPr>
            <w:r w:rsidRPr="00164269">
              <w:rPr>
                <w:b/>
                <w:sz w:val="24"/>
                <w:szCs w:val="24"/>
              </w:rPr>
              <w:t>Activities/responsibilities</w:t>
            </w:r>
          </w:p>
        </w:tc>
      </w:tr>
      <w:tr w:rsidR="00164269" w:rsidRPr="00164269" w:rsidTr="00D231E5">
        <w:tc>
          <w:tcPr>
            <w:tcW w:w="2316" w:type="dxa"/>
            <w:tcBorders>
              <w:top w:val="double" w:sz="6" w:space="0" w:color="auto"/>
            </w:tcBorders>
            <w:shd w:val="clear" w:color="auto" w:fill="auto"/>
          </w:tcPr>
          <w:p w:rsidR="00164269" w:rsidRPr="00164269" w:rsidRDefault="00164269" w:rsidP="00164269">
            <w:pPr>
              <w:keepNext/>
              <w:keepLines/>
              <w:spacing w:before="30" w:after="30" w:line="276" w:lineRule="auto"/>
              <w:jc w:val="left"/>
              <w:rPr>
                <w:sz w:val="24"/>
                <w:szCs w:val="24"/>
              </w:rPr>
            </w:pPr>
            <w:r w:rsidRPr="00164269">
              <w:rPr>
                <w:sz w:val="24"/>
                <w:szCs w:val="24"/>
              </w:rPr>
              <w:t>Equate Petrochemical Company</w:t>
            </w:r>
          </w:p>
        </w:tc>
        <w:tc>
          <w:tcPr>
            <w:tcW w:w="2929" w:type="dxa"/>
            <w:tcBorders>
              <w:top w:val="double" w:sz="6" w:space="0" w:color="auto"/>
            </w:tcBorders>
            <w:shd w:val="clear" w:color="auto" w:fill="auto"/>
            <w:tcMar>
              <w:right w:w="142" w:type="dxa"/>
            </w:tcMar>
          </w:tcPr>
          <w:p w:rsidR="00164269" w:rsidRPr="00164269" w:rsidRDefault="00164269" w:rsidP="00164269">
            <w:pPr>
              <w:keepNext/>
              <w:keepLines/>
              <w:spacing w:before="30" w:after="30" w:line="276" w:lineRule="auto"/>
              <w:ind w:right="340"/>
              <w:jc w:val="left"/>
              <w:rPr>
                <w:sz w:val="24"/>
                <w:szCs w:val="24"/>
              </w:rPr>
            </w:pPr>
            <w:r w:rsidRPr="00164269">
              <w:rPr>
                <w:sz w:val="24"/>
                <w:szCs w:val="24"/>
              </w:rPr>
              <w:t xml:space="preserve">PIC (42.5%); DOW Chemical Company (42.5%) [U.S. Company]; </w:t>
            </w:r>
            <w:proofErr w:type="spellStart"/>
            <w:r w:rsidRPr="00164269">
              <w:rPr>
                <w:sz w:val="24"/>
                <w:szCs w:val="24"/>
              </w:rPr>
              <w:t>Boubyan</w:t>
            </w:r>
            <w:proofErr w:type="spellEnd"/>
            <w:r w:rsidRPr="00164269">
              <w:rPr>
                <w:sz w:val="24"/>
                <w:szCs w:val="24"/>
              </w:rPr>
              <w:t xml:space="preserve"> Petrochemical Company (9%); Al-</w:t>
            </w:r>
            <w:proofErr w:type="spellStart"/>
            <w:r w:rsidRPr="00164269">
              <w:rPr>
                <w:sz w:val="24"/>
                <w:szCs w:val="24"/>
              </w:rPr>
              <w:t>Qurain</w:t>
            </w:r>
            <w:proofErr w:type="spellEnd"/>
            <w:r w:rsidRPr="00164269">
              <w:rPr>
                <w:sz w:val="24"/>
                <w:szCs w:val="24"/>
              </w:rPr>
              <w:t xml:space="preserve"> Petrochemical Industries Company (6%)</w:t>
            </w:r>
          </w:p>
        </w:tc>
        <w:tc>
          <w:tcPr>
            <w:tcW w:w="3827" w:type="dxa"/>
            <w:tcBorders>
              <w:top w:val="double" w:sz="6" w:space="0" w:color="auto"/>
            </w:tcBorders>
          </w:tcPr>
          <w:p w:rsidR="00164269" w:rsidRPr="00164269" w:rsidRDefault="00164269" w:rsidP="00164269">
            <w:pPr>
              <w:keepNext/>
              <w:keepLines/>
              <w:spacing w:before="30" w:after="30" w:line="276" w:lineRule="auto"/>
              <w:ind w:right="340"/>
              <w:jc w:val="left"/>
              <w:rPr>
                <w:sz w:val="24"/>
                <w:szCs w:val="24"/>
              </w:rPr>
            </w:pPr>
            <w:r w:rsidRPr="00164269">
              <w:rPr>
                <w:sz w:val="24"/>
                <w:szCs w:val="24"/>
              </w:rPr>
              <w:t>- produces Polyethylene and Ethylene Glycol</w:t>
            </w:r>
          </w:p>
          <w:p w:rsidR="00164269" w:rsidRPr="00164269" w:rsidRDefault="00164269" w:rsidP="00164269">
            <w:pPr>
              <w:keepNext/>
              <w:keepLines/>
              <w:spacing w:before="30" w:after="30" w:line="276" w:lineRule="auto"/>
              <w:ind w:right="340"/>
              <w:jc w:val="left"/>
              <w:rPr>
                <w:sz w:val="24"/>
                <w:szCs w:val="24"/>
              </w:rPr>
            </w:pPr>
            <w:r w:rsidRPr="00164269">
              <w:rPr>
                <w:sz w:val="24"/>
                <w:szCs w:val="24"/>
              </w:rPr>
              <w:t>- operates PIC's Polypropylene plant</w:t>
            </w:r>
          </w:p>
          <w:p w:rsidR="00164269" w:rsidRPr="00164269" w:rsidRDefault="00164269" w:rsidP="00164269">
            <w:pPr>
              <w:keepNext/>
              <w:keepLines/>
              <w:spacing w:before="30" w:after="30" w:line="276" w:lineRule="auto"/>
              <w:ind w:right="340"/>
              <w:jc w:val="left"/>
              <w:rPr>
                <w:sz w:val="24"/>
                <w:szCs w:val="24"/>
              </w:rPr>
            </w:pPr>
            <w:r w:rsidRPr="00164269">
              <w:rPr>
                <w:sz w:val="24"/>
                <w:szCs w:val="24"/>
              </w:rPr>
              <w:t>- operates TKOC's two plants for the</w:t>
            </w:r>
            <w:r w:rsidRPr="00164269">
              <w:rPr>
                <w:sz w:val="24"/>
                <w:szCs w:val="24"/>
              </w:rPr>
              <w:br/>
              <w:t xml:space="preserve">  manufacturing of Ethylene and Ethylene Glycol</w:t>
            </w:r>
          </w:p>
          <w:p w:rsidR="00164269" w:rsidRPr="00164269" w:rsidRDefault="00164269" w:rsidP="00164269">
            <w:pPr>
              <w:keepNext/>
              <w:keepLines/>
              <w:spacing w:before="30" w:after="30" w:line="276" w:lineRule="auto"/>
              <w:ind w:right="340"/>
              <w:jc w:val="left"/>
              <w:rPr>
                <w:sz w:val="24"/>
                <w:szCs w:val="24"/>
              </w:rPr>
            </w:pPr>
            <w:r w:rsidRPr="00164269">
              <w:rPr>
                <w:sz w:val="24"/>
                <w:szCs w:val="24"/>
              </w:rPr>
              <w:t xml:space="preserve">- operates TKSC's Styrene plant </w:t>
            </w:r>
          </w:p>
          <w:p w:rsidR="00164269" w:rsidRPr="00164269" w:rsidRDefault="00164269" w:rsidP="00164269">
            <w:pPr>
              <w:keepNext/>
              <w:keepLines/>
              <w:spacing w:before="30" w:after="30" w:line="276" w:lineRule="auto"/>
              <w:ind w:right="340"/>
              <w:jc w:val="left"/>
              <w:rPr>
                <w:sz w:val="24"/>
                <w:szCs w:val="24"/>
              </w:rPr>
            </w:pPr>
            <w:r w:rsidRPr="00164269">
              <w:rPr>
                <w:sz w:val="24"/>
                <w:szCs w:val="24"/>
              </w:rPr>
              <w:t xml:space="preserve">- operates TKAC's </w:t>
            </w:r>
            <w:proofErr w:type="spellStart"/>
            <w:r w:rsidRPr="00164269">
              <w:rPr>
                <w:sz w:val="24"/>
                <w:szCs w:val="24"/>
              </w:rPr>
              <w:t>Paraxylene</w:t>
            </w:r>
            <w:proofErr w:type="spellEnd"/>
            <w:r w:rsidRPr="00164269">
              <w:rPr>
                <w:sz w:val="24"/>
                <w:szCs w:val="24"/>
              </w:rPr>
              <w:t xml:space="preserve"> and Benzene plants</w:t>
            </w:r>
            <w:r w:rsidRPr="00164269">
              <w:rPr>
                <w:sz w:val="24"/>
                <w:szCs w:val="24"/>
              </w:rPr>
              <w:br/>
              <w:t xml:space="preserve">  and Sea Cooling Towers</w:t>
            </w:r>
          </w:p>
          <w:p w:rsidR="00164269" w:rsidRPr="00164269" w:rsidRDefault="00164269" w:rsidP="00164269">
            <w:pPr>
              <w:keepNext/>
              <w:keepLines/>
              <w:spacing w:before="30" w:after="30" w:line="276" w:lineRule="auto"/>
              <w:ind w:right="340"/>
              <w:jc w:val="left"/>
              <w:rPr>
                <w:sz w:val="24"/>
                <w:szCs w:val="24"/>
              </w:rPr>
            </w:pPr>
          </w:p>
        </w:tc>
      </w:tr>
      <w:tr w:rsidR="00164269" w:rsidRPr="00164269" w:rsidTr="00D231E5">
        <w:tc>
          <w:tcPr>
            <w:tcW w:w="2316" w:type="dxa"/>
            <w:shd w:val="clear" w:color="auto" w:fill="auto"/>
          </w:tcPr>
          <w:p w:rsidR="00164269" w:rsidRPr="00164269" w:rsidRDefault="00164269" w:rsidP="00164269">
            <w:pPr>
              <w:spacing w:before="30" w:after="30" w:line="276" w:lineRule="auto"/>
              <w:jc w:val="left"/>
              <w:rPr>
                <w:sz w:val="24"/>
                <w:szCs w:val="24"/>
              </w:rPr>
            </w:pPr>
            <w:r w:rsidRPr="00164269">
              <w:rPr>
                <w:sz w:val="24"/>
                <w:szCs w:val="24"/>
              </w:rPr>
              <w:t>The Kuwait Olefins Company (TKOC)</w:t>
            </w:r>
          </w:p>
        </w:tc>
        <w:tc>
          <w:tcPr>
            <w:tcW w:w="2929" w:type="dxa"/>
            <w:shd w:val="clear" w:color="auto" w:fill="auto"/>
            <w:tcMar>
              <w:right w:w="142" w:type="dxa"/>
            </w:tcMar>
          </w:tcPr>
          <w:p w:rsidR="00164269" w:rsidRPr="00164269" w:rsidRDefault="00164269" w:rsidP="00164269">
            <w:pPr>
              <w:spacing w:before="30" w:after="30" w:line="276" w:lineRule="auto"/>
              <w:ind w:right="340"/>
              <w:jc w:val="left"/>
              <w:rPr>
                <w:sz w:val="24"/>
                <w:szCs w:val="24"/>
              </w:rPr>
            </w:pPr>
            <w:r w:rsidRPr="00164269">
              <w:rPr>
                <w:sz w:val="24"/>
                <w:szCs w:val="24"/>
              </w:rPr>
              <w:t xml:space="preserve">PIC (42.5%); DOW Chemical Company (42.5%); </w:t>
            </w:r>
            <w:proofErr w:type="spellStart"/>
            <w:r w:rsidRPr="00164269">
              <w:rPr>
                <w:sz w:val="24"/>
                <w:szCs w:val="24"/>
              </w:rPr>
              <w:t>Boubyan</w:t>
            </w:r>
            <w:proofErr w:type="spellEnd"/>
            <w:r w:rsidRPr="00164269">
              <w:rPr>
                <w:sz w:val="24"/>
                <w:szCs w:val="24"/>
              </w:rPr>
              <w:t xml:space="preserve"> Petrochemical Company (9%); Al-</w:t>
            </w:r>
            <w:proofErr w:type="spellStart"/>
            <w:r w:rsidRPr="00164269">
              <w:rPr>
                <w:sz w:val="24"/>
                <w:szCs w:val="24"/>
              </w:rPr>
              <w:t>Qurain</w:t>
            </w:r>
            <w:proofErr w:type="spellEnd"/>
            <w:r w:rsidRPr="00164269">
              <w:rPr>
                <w:sz w:val="24"/>
                <w:szCs w:val="24"/>
              </w:rPr>
              <w:t xml:space="preserve"> Petrochemical Industries Company (6%)</w:t>
            </w:r>
          </w:p>
          <w:p w:rsidR="00164269" w:rsidRPr="00164269" w:rsidRDefault="00164269" w:rsidP="00164269">
            <w:pPr>
              <w:spacing w:before="30" w:after="30" w:line="276" w:lineRule="auto"/>
              <w:ind w:right="340"/>
              <w:jc w:val="left"/>
              <w:rPr>
                <w:sz w:val="24"/>
                <w:szCs w:val="24"/>
              </w:rPr>
            </w:pPr>
          </w:p>
        </w:tc>
        <w:tc>
          <w:tcPr>
            <w:tcW w:w="3827" w:type="dxa"/>
          </w:tcPr>
          <w:p w:rsidR="00164269" w:rsidRPr="00164269" w:rsidRDefault="00164269" w:rsidP="00164269">
            <w:pPr>
              <w:spacing w:before="30" w:after="30" w:line="276" w:lineRule="auto"/>
              <w:ind w:right="340"/>
              <w:jc w:val="left"/>
              <w:rPr>
                <w:sz w:val="24"/>
                <w:szCs w:val="24"/>
              </w:rPr>
            </w:pPr>
            <w:r w:rsidRPr="00164269">
              <w:rPr>
                <w:sz w:val="24"/>
                <w:szCs w:val="24"/>
              </w:rPr>
              <w:t>- owns the Olefins –II Complex</w:t>
            </w:r>
          </w:p>
          <w:p w:rsidR="00164269" w:rsidRPr="00164269" w:rsidRDefault="00164269" w:rsidP="00164269">
            <w:pPr>
              <w:spacing w:before="30" w:after="30" w:line="276" w:lineRule="auto"/>
              <w:ind w:right="340"/>
              <w:jc w:val="left"/>
              <w:rPr>
                <w:sz w:val="24"/>
                <w:szCs w:val="24"/>
              </w:rPr>
            </w:pPr>
            <w:r w:rsidRPr="00164269">
              <w:rPr>
                <w:sz w:val="24"/>
                <w:szCs w:val="24"/>
              </w:rPr>
              <w:t>- produces Ethylene Glycol</w:t>
            </w:r>
          </w:p>
        </w:tc>
      </w:tr>
      <w:tr w:rsidR="00164269" w:rsidRPr="00164269" w:rsidTr="00D231E5">
        <w:tc>
          <w:tcPr>
            <w:tcW w:w="2316" w:type="dxa"/>
            <w:shd w:val="clear" w:color="auto" w:fill="auto"/>
          </w:tcPr>
          <w:p w:rsidR="00164269" w:rsidRPr="00164269" w:rsidRDefault="00164269" w:rsidP="00164269">
            <w:pPr>
              <w:spacing w:before="30" w:after="30" w:line="276" w:lineRule="auto"/>
              <w:jc w:val="left"/>
              <w:rPr>
                <w:sz w:val="24"/>
                <w:szCs w:val="24"/>
              </w:rPr>
            </w:pPr>
            <w:r w:rsidRPr="00164269">
              <w:rPr>
                <w:sz w:val="24"/>
                <w:szCs w:val="24"/>
              </w:rPr>
              <w:t>The Kuwait Aromatics Company (TKAC)</w:t>
            </w:r>
          </w:p>
        </w:tc>
        <w:tc>
          <w:tcPr>
            <w:tcW w:w="2929" w:type="dxa"/>
            <w:shd w:val="clear" w:color="auto" w:fill="auto"/>
            <w:tcMar>
              <w:right w:w="142" w:type="dxa"/>
            </w:tcMar>
          </w:tcPr>
          <w:p w:rsidR="00164269" w:rsidRPr="00164269" w:rsidRDefault="00164269" w:rsidP="00164269">
            <w:pPr>
              <w:spacing w:before="30" w:after="30" w:line="276" w:lineRule="auto"/>
              <w:ind w:right="340"/>
              <w:jc w:val="left"/>
              <w:rPr>
                <w:sz w:val="24"/>
                <w:szCs w:val="24"/>
              </w:rPr>
            </w:pPr>
            <w:r w:rsidRPr="00164269">
              <w:rPr>
                <w:sz w:val="24"/>
                <w:szCs w:val="24"/>
              </w:rPr>
              <w:t>PIC (40%); KNPC (40%); Al-</w:t>
            </w:r>
            <w:proofErr w:type="spellStart"/>
            <w:r w:rsidRPr="00164269">
              <w:rPr>
                <w:sz w:val="24"/>
                <w:szCs w:val="24"/>
              </w:rPr>
              <w:t>Qurain</w:t>
            </w:r>
            <w:proofErr w:type="spellEnd"/>
            <w:r w:rsidRPr="00164269">
              <w:rPr>
                <w:sz w:val="24"/>
                <w:szCs w:val="24"/>
              </w:rPr>
              <w:t xml:space="preserve"> Petrochemical Industries Company (20%)</w:t>
            </w:r>
          </w:p>
        </w:tc>
        <w:tc>
          <w:tcPr>
            <w:tcW w:w="3827" w:type="dxa"/>
          </w:tcPr>
          <w:p w:rsidR="00164269" w:rsidRPr="00164269" w:rsidRDefault="00164269" w:rsidP="00164269">
            <w:pPr>
              <w:spacing w:before="30" w:after="30" w:line="276" w:lineRule="auto"/>
              <w:ind w:right="340"/>
              <w:jc w:val="left"/>
              <w:rPr>
                <w:sz w:val="24"/>
                <w:szCs w:val="24"/>
              </w:rPr>
            </w:pPr>
            <w:r w:rsidRPr="00164269">
              <w:rPr>
                <w:sz w:val="24"/>
                <w:szCs w:val="24"/>
              </w:rPr>
              <w:t xml:space="preserve">- owns the Kuwait </w:t>
            </w:r>
            <w:proofErr w:type="spellStart"/>
            <w:r w:rsidRPr="00164269">
              <w:rPr>
                <w:sz w:val="24"/>
                <w:szCs w:val="24"/>
              </w:rPr>
              <w:t>Paraxylene</w:t>
            </w:r>
            <w:proofErr w:type="spellEnd"/>
            <w:r w:rsidRPr="00164269">
              <w:rPr>
                <w:sz w:val="24"/>
                <w:szCs w:val="24"/>
              </w:rPr>
              <w:t xml:space="preserve"> Production</w:t>
            </w:r>
            <w:r w:rsidRPr="00164269">
              <w:rPr>
                <w:sz w:val="24"/>
                <w:szCs w:val="24"/>
              </w:rPr>
              <w:br/>
              <w:t xml:space="preserve">  Company (KPPC)</w:t>
            </w:r>
          </w:p>
          <w:p w:rsidR="00164269" w:rsidRPr="00164269" w:rsidRDefault="00164269" w:rsidP="00164269">
            <w:pPr>
              <w:spacing w:before="30" w:after="30" w:line="276" w:lineRule="auto"/>
              <w:ind w:right="340"/>
              <w:jc w:val="left"/>
              <w:rPr>
                <w:sz w:val="24"/>
                <w:szCs w:val="24"/>
              </w:rPr>
            </w:pPr>
            <w:r w:rsidRPr="00164269">
              <w:rPr>
                <w:sz w:val="24"/>
                <w:szCs w:val="24"/>
              </w:rPr>
              <w:t xml:space="preserve">- produces </w:t>
            </w:r>
            <w:proofErr w:type="spellStart"/>
            <w:r w:rsidRPr="00164269">
              <w:rPr>
                <w:sz w:val="24"/>
                <w:szCs w:val="24"/>
              </w:rPr>
              <w:t>Paraxylene</w:t>
            </w:r>
            <w:proofErr w:type="spellEnd"/>
            <w:r w:rsidRPr="00164269">
              <w:rPr>
                <w:sz w:val="24"/>
                <w:szCs w:val="24"/>
              </w:rPr>
              <w:t xml:space="preserve"> and Benzene</w:t>
            </w:r>
          </w:p>
          <w:p w:rsidR="00164269" w:rsidRPr="00164269" w:rsidRDefault="00164269" w:rsidP="00164269">
            <w:pPr>
              <w:spacing w:before="30" w:after="30" w:line="276" w:lineRule="auto"/>
              <w:ind w:right="340"/>
              <w:jc w:val="left"/>
              <w:rPr>
                <w:sz w:val="24"/>
                <w:szCs w:val="24"/>
              </w:rPr>
            </w:pPr>
          </w:p>
        </w:tc>
      </w:tr>
      <w:tr w:rsidR="00164269" w:rsidRPr="00164269" w:rsidTr="00D231E5">
        <w:tc>
          <w:tcPr>
            <w:tcW w:w="2316" w:type="dxa"/>
            <w:shd w:val="clear" w:color="auto" w:fill="auto"/>
          </w:tcPr>
          <w:p w:rsidR="00164269" w:rsidRPr="00164269" w:rsidRDefault="00164269" w:rsidP="00164269">
            <w:pPr>
              <w:spacing w:before="30" w:after="30" w:line="276" w:lineRule="auto"/>
              <w:jc w:val="left"/>
              <w:rPr>
                <w:sz w:val="24"/>
                <w:szCs w:val="24"/>
              </w:rPr>
            </w:pPr>
            <w:r w:rsidRPr="00164269">
              <w:rPr>
                <w:sz w:val="24"/>
                <w:szCs w:val="24"/>
              </w:rPr>
              <w:t>The Kuwait Styrene Company (TKSC)</w:t>
            </w:r>
          </w:p>
        </w:tc>
        <w:tc>
          <w:tcPr>
            <w:tcW w:w="2929" w:type="dxa"/>
            <w:shd w:val="clear" w:color="auto" w:fill="auto"/>
            <w:tcMar>
              <w:right w:w="142" w:type="dxa"/>
            </w:tcMar>
          </w:tcPr>
          <w:p w:rsidR="00164269" w:rsidRPr="00164269" w:rsidRDefault="00164269" w:rsidP="00164269">
            <w:pPr>
              <w:spacing w:before="30" w:after="30" w:line="276" w:lineRule="auto"/>
              <w:ind w:right="340"/>
              <w:jc w:val="left"/>
              <w:rPr>
                <w:sz w:val="24"/>
                <w:szCs w:val="24"/>
              </w:rPr>
            </w:pPr>
            <w:r w:rsidRPr="00164269">
              <w:rPr>
                <w:sz w:val="24"/>
                <w:szCs w:val="24"/>
              </w:rPr>
              <w:t>TKAC (57.5%) and DOW Chemical Company (42.5%)</w:t>
            </w:r>
          </w:p>
        </w:tc>
        <w:tc>
          <w:tcPr>
            <w:tcW w:w="3827" w:type="dxa"/>
          </w:tcPr>
          <w:p w:rsidR="00164269" w:rsidRPr="00164269" w:rsidRDefault="00164269" w:rsidP="00164269">
            <w:pPr>
              <w:spacing w:before="30" w:after="30" w:line="276" w:lineRule="auto"/>
              <w:ind w:right="340"/>
              <w:jc w:val="left"/>
              <w:rPr>
                <w:sz w:val="24"/>
                <w:szCs w:val="24"/>
              </w:rPr>
            </w:pPr>
            <w:r w:rsidRPr="00164269">
              <w:rPr>
                <w:sz w:val="24"/>
                <w:szCs w:val="24"/>
              </w:rPr>
              <w:t>- produces Styrene monomer</w:t>
            </w:r>
          </w:p>
          <w:p w:rsidR="00164269" w:rsidRPr="00164269" w:rsidRDefault="00164269" w:rsidP="00164269">
            <w:pPr>
              <w:spacing w:before="30" w:after="30" w:line="276" w:lineRule="auto"/>
              <w:ind w:right="340"/>
              <w:jc w:val="left"/>
              <w:rPr>
                <w:sz w:val="24"/>
                <w:szCs w:val="24"/>
              </w:rPr>
            </w:pPr>
            <w:r w:rsidRPr="00164269">
              <w:rPr>
                <w:sz w:val="24"/>
                <w:szCs w:val="24"/>
              </w:rPr>
              <w:t>- obtains Benzene feedstock from TKAC and</w:t>
            </w:r>
            <w:r w:rsidRPr="00164269">
              <w:rPr>
                <w:sz w:val="24"/>
                <w:szCs w:val="24"/>
              </w:rPr>
              <w:br/>
              <w:t xml:space="preserve">  </w:t>
            </w:r>
            <w:proofErr w:type="spellStart"/>
            <w:r w:rsidRPr="00164269">
              <w:rPr>
                <w:sz w:val="24"/>
                <w:szCs w:val="24"/>
              </w:rPr>
              <w:t>Ethlyne</w:t>
            </w:r>
            <w:proofErr w:type="spellEnd"/>
            <w:r w:rsidRPr="00164269">
              <w:rPr>
                <w:sz w:val="24"/>
                <w:szCs w:val="24"/>
              </w:rPr>
              <w:t xml:space="preserve"> from TKOC</w:t>
            </w:r>
          </w:p>
          <w:p w:rsidR="00164269" w:rsidRPr="00164269" w:rsidRDefault="00164269" w:rsidP="00164269">
            <w:pPr>
              <w:spacing w:before="30" w:after="30" w:line="276" w:lineRule="auto"/>
              <w:ind w:right="340"/>
              <w:jc w:val="left"/>
              <w:rPr>
                <w:sz w:val="24"/>
                <w:szCs w:val="24"/>
              </w:rPr>
            </w:pPr>
          </w:p>
        </w:tc>
      </w:tr>
      <w:tr w:rsidR="00164269" w:rsidRPr="00164269" w:rsidTr="00D231E5">
        <w:tc>
          <w:tcPr>
            <w:tcW w:w="2316" w:type="dxa"/>
            <w:shd w:val="clear" w:color="auto" w:fill="auto"/>
          </w:tcPr>
          <w:p w:rsidR="00164269" w:rsidRPr="00164269" w:rsidRDefault="00164269" w:rsidP="00164269">
            <w:pPr>
              <w:spacing w:before="30" w:after="30" w:line="276" w:lineRule="auto"/>
              <w:jc w:val="left"/>
              <w:rPr>
                <w:sz w:val="24"/>
                <w:szCs w:val="24"/>
              </w:rPr>
            </w:pPr>
            <w:r w:rsidRPr="00164269">
              <w:rPr>
                <w:sz w:val="24"/>
                <w:szCs w:val="24"/>
              </w:rPr>
              <w:t>Al-</w:t>
            </w:r>
            <w:proofErr w:type="spellStart"/>
            <w:r w:rsidRPr="00164269">
              <w:rPr>
                <w:sz w:val="24"/>
                <w:szCs w:val="24"/>
              </w:rPr>
              <w:t>Qurain</w:t>
            </w:r>
            <w:proofErr w:type="spellEnd"/>
            <w:r w:rsidRPr="00164269">
              <w:rPr>
                <w:sz w:val="24"/>
                <w:szCs w:val="24"/>
              </w:rPr>
              <w:t xml:space="preserve"> Petrochemical Industries Company (QPIC)</w:t>
            </w:r>
          </w:p>
          <w:p w:rsidR="00164269" w:rsidRPr="00164269" w:rsidRDefault="00164269" w:rsidP="00164269">
            <w:pPr>
              <w:spacing w:before="30" w:after="30" w:line="276" w:lineRule="auto"/>
              <w:jc w:val="left"/>
              <w:rPr>
                <w:sz w:val="24"/>
                <w:szCs w:val="24"/>
              </w:rPr>
            </w:pPr>
          </w:p>
        </w:tc>
        <w:tc>
          <w:tcPr>
            <w:tcW w:w="2929" w:type="dxa"/>
            <w:shd w:val="clear" w:color="auto" w:fill="auto"/>
            <w:tcMar>
              <w:right w:w="142" w:type="dxa"/>
            </w:tcMar>
          </w:tcPr>
          <w:p w:rsidR="00164269" w:rsidRPr="00164269" w:rsidRDefault="00164269" w:rsidP="00164269">
            <w:pPr>
              <w:spacing w:before="30" w:after="30" w:line="276" w:lineRule="auto"/>
              <w:ind w:right="340"/>
              <w:jc w:val="left"/>
              <w:rPr>
                <w:sz w:val="24"/>
                <w:szCs w:val="24"/>
              </w:rPr>
            </w:pPr>
            <w:r w:rsidRPr="00164269">
              <w:rPr>
                <w:sz w:val="24"/>
                <w:szCs w:val="24"/>
              </w:rPr>
              <w:lastRenderedPageBreak/>
              <w:t>PIC (10%)</w:t>
            </w:r>
          </w:p>
        </w:tc>
        <w:tc>
          <w:tcPr>
            <w:tcW w:w="3827" w:type="dxa"/>
          </w:tcPr>
          <w:p w:rsidR="00164269" w:rsidRPr="00164269" w:rsidRDefault="00164269" w:rsidP="00164269">
            <w:pPr>
              <w:spacing w:before="30" w:after="30" w:line="276" w:lineRule="auto"/>
              <w:ind w:right="340"/>
              <w:jc w:val="left"/>
              <w:rPr>
                <w:sz w:val="24"/>
                <w:szCs w:val="24"/>
              </w:rPr>
            </w:pPr>
          </w:p>
        </w:tc>
      </w:tr>
      <w:tr w:rsidR="00164269" w:rsidRPr="00164269" w:rsidTr="00D231E5">
        <w:tc>
          <w:tcPr>
            <w:tcW w:w="2316" w:type="dxa"/>
            <w:shd w:val="clear" w:color="auto" w:fill="auto"/>
          </w:tcPr>
          <w:p w:rsidR="00164269" w:rsidRPr="00164269" w:rsidRDefault="00164269" w:rsidP="00164269">
            <w:pPr>
              <w:spacing w:before="30" w:after="30" w:line="276" w:lineRule="auto"/>
              <w:jc w:val="left"/>
              <w:rPr>
                <w:sz w:val="24"/>
                <w:szCs w:val="24"/>
              </w:rPr>
            </w:pPr>
            <w:r w:rsidRPr="00164269">
              <w:rPr>
                <w:sz w:val="24"/>
                <w:szCs w:val="24"/>
              </w:rPr>
              <w:t>Gulf Petrochemical Industries Company (GPIC)</w:t>
            </w:r>
          </w:p>
        </w:tc>
        <w:tc>
          <w:tcPr>
            <w:tcW w:w="2929" w:type="dxa"/>
            <w:shd w:val="clear" w:color="auto" w:fill="auto"/>
            <w:tcMar>
              <w:right w:w="142" w:type="dxa"/>
            </w:tcMar>
          </w:tcPr>
          <w:p w:rsidR="00164269" w:rsidRPr="00164269" w:rsidRDefault="00164269" w:rsidP="00164269">
            <w:pPr>
              <w:spacing w:before="30" w:after="30" w:line="276" w:lineRule="auto"/>
              <w:ind w:right="340"/>
              <w:jc w:val="left"/>
              <w:rPr>
                <w:sz w:val="24"/>
                <w:szCs w:val="24"/>
              </w:rPr>
            </w:pPr>
            <w:r w:rsidRPr="00164269">
              <w:rPr>
                <w:sz w:val="24"/>
                <w:szCs w:val="24"/>
              </w:rPr>
              <w:t>PIC (33%); Government of Bahrain (33%); Saudi Arabia's SABIC (33%)</w:t>
            </w:r>
          </w:p>
          <w:p w:rsidR="00164269" w:rsidRPr="00164269" w:rsidRDefault="00164269" w:rsidP="00164269">
            <w:pPr>
              <w:spacing w:before="30" w:after="30" w:line="276" w:lineRule="auto"/>
              <w:ind w:right="340"/>
              <w:jc w:val="left"/>
              <w:rPr>
                <w:sz w:val="24"/>
                <w:szCs w:val="24"/>
              </w:rPr>
            </w:pPr>
          </w:p>
        </w:tc>
        <w:tc>
          <w:tcPr>
            <w:tcW w:w="3827" w:type="dxa"/>
          </w:tcPr>
          <w:p w:rsidR="00164269" w:rsidRPr="00164269" w:rsidRDefault="00164269" w:rsidP="00164269">
            <w:pPr>
              <w:spacing w:before="30" w:after="30" w:line="276" w:lineRule="auto"/>
              <w:ind w:right="340"/>
              <w:jc w:val="left"/>
              <w:rPr>
                <w:sz w:val="24"/>
                <w:szCs w:val="24"/>
              </w:rPr>
            </w:pPr>
            <w:r w:rsidRPr="00164269">
              <w:rPr>
                <w:sz w:val="24"/>
                <w:szCs w:val="24"/>
              </w:rPr>
              <w:t>- produces Ammonia, Urea, and Methanol</w:t>
            </w:r>
          </w:p>
        </w:tc>
      </w:tr>
      <w:tr w:rsidR="00164269" w:rsidRPr="00164269" w:rsidTr="00D231E5">
        <w:tc>
          <w:tcPr>
            <w:tcW w:w="2316" w:type="dxa"/>
            <w:shd w:val="clear" w:color="auto" w:fill="auto"/>
          </w:tcPr>
          <w:p w:rsidR="00164269" w:rsidRPr="00164269" w:rsidRDefault="00164269" w:rsidP="00164269">
            <w:pPr>
              <w:spacing w:before="30" w:after="30" w:line="276" w:lineRule="auto"/>
              <w:jc w:val="left"/>
              <w:rPr>
                <w:sz w:val="24"/>
                <w:szCs w:val="24"/>
              </w:rPr>
            </w:pPr>
            <w:proofErr w:type="spellStart"/>
            <w:r w:rsidRPr="00164269">
              <w:rPr>
                <w:sz w:val="24"/>
                <w:szCs w:val="24"/>
              </w:rPr>
              <w:t>MEGlobal</w:t>
            </w:r>
            <w:proofErr w:type="spellEnd"/>
          </w:p>
        </w:tc>
        <w:tc>
          <w:tcPr>
            <w:tcW w:w="2929" w:type="dxa"/>
            <w:shd w:val="clear" w:color="auto" w:fill="auto"/>
            <w:tcMar>
              <w:right w:w="142" w:type="dxa"/>
            </w:tcMar>
          </w:tcPr>
          <w:p w:rsidR="00164269" w:rsidRPr="00164269" w:rsidRDefault="00164269" w:rsidP="00164269">
            <w:pPr>
              <w:spacing w:before="30" w:after="30" w:line="276" w:lineRule="auto"/>
              <w:ind w:right="340"/>
              <w:jc w:val="left"/>
              <w:rPr>
                <w:sz w:val="24"/>
                <w:szCs w:val="24"/>
              </w:rPr>
            </w:pPr>
            <w:r w:rsidRPr="00164269">
              <w:rPr>
                <w:sz w:val="24"/>
                <w:szCs w:val="24"/>
              </w:rPr>
              <w:t>PIC (50%); DOW Chemical Company (50%)</w:t>
            </w:r>
          </w:p>
        </w:tc>
        <w:tc>
          <w:tcPr>
            <w:tcW w:w="3827" w:type="dxa"/>
          </w:tcPr>
          <w:p w:rsidR="00164269" w:rsidRPr="00164269" w:rsidRDefault="00164269" w:rsidP="00164269">
            <w:pPr>
              <w:spacing w:before="30" w:after="30" w:line="276" w:lineRule="auto"/>
              <w:ind w:right="340"/>
              <w:jc w:val="left"/>
              <w:rPr>
                <w:sz w:val="24"/>
                <w:szCs w:val="24"/>
              </w:rPr>
            </w:pPr>
            <w:r w:rsidRPr="00164269">
              <w:rPr>
                <w:sz w:val="24"/>
                <w:szCs w:val="24"/>
              </w:rPr>
              <w:t>- owns plants in Canada that produce Mono</w:t>
            </w:r>
            <w:r w:rsidRPr="00164269">
              <w:rPr>
                <w:sz w:val="24"/>
                <w:szCs w:val="24"/>
              </w:rPr>
              <w:br/>
              <w:t xml:space="preserve"> -Ethylene </w:t>
            </w:r>
            <w:proofErr w:type="spellStart"/>
            <w:r w:rsidRPr="00164269">
              <w:rPr>
                <w:sz w:val="24"/>
                <w:szCs w:val="24"/>
              </w:rPr>
              <w:t>Glycole</w:t>
            </w:r>
            <w:proofErr w:type="spellEnd"/>
            <w:r w:rsidRPr="00164269">
              <w:rPr>
                <w:sz w:val="24"/>
                <w:szCs w:val="24"/>
              </w:rPr>
              <w:t xml:space="preserve"> and Di-</w:t>
            </w:r>
            <w:proofErr w:type="spellStart"/>
            <w:r w:rsidRPr="00164269">
              <w:rPr>
                <w:sz w:val="24"/>
                <w:szCs w:val="24"/>
              </w:rPr>
              <w:t>Ehtylene</w:t>
            </w:r>
            <w:proofErr w:type="spellEnd"/>
            <w:r w:rsidRPr="00164269">
              <w:rPr>
                <w:sz w:val="24"/>
                <w:szCs w:val="24"/>
              </w:rPr>
              <w:t xml:space="preserve"> Glycol</w:t>
            </w:r>
          </w:p>
          <w:p w:rsidR="00164269" w:rsidRPr="00164269" w:rsidRDefault="00164269" w:rsidP="00164269">
            <w:pPr>
              <w:spacing w:before="30" w:after="30" w:line="276" w:lineRule="auto"/>
              <w:ind w:right="340"/>
              <w:jc w:val="left"/>
              <w:rPr>
                <w:sz w:val="24"/>
                <w:szCs w:val="24"/>
              </w:rPr>
            </w:pPr>
            <w:r w:rsidRPr="00164269">
              <w:rPr>
                <w:sz w:val="24"/>
                <w:szCs w:val="24"/>
              </w:rPr>
              <w:t>- based in Canada</w:t>
            </w:r>
          </w:p>
          <w:p w:rsidR="00164269" w:rsidRPr="00164269" w:rsidRDefault="00164269" w:rsidP="00164269">
            <w:pPr>
              <w:spacing w:before="30" w:after="30" w:line="276" w:lineRule="auto"/>
              <w:ind w:right="340"/>
              <w:jc w:val="left"/>
              <w:rPr>
                <w:sz w:val="24"/>
                <w:szCs w:val="24"/>
              </w:rPr>
            </w:pPr>
          </w:p>
        </w:tc>
      </w:tr>
      <w:tr w:rsidR="00164269" w:rsidRPr="00164269" w:rsidTr="00D231E5">
        <w:tc>
          <w:tcPr>
            <w:tcW w:w="2316" w:type="dxa"/>
            <w:shd w:val="clear" w:color="auto" w:fill="auto"/>
          </w:tcPr>
          <w:p w:rsidR="00164269" w:rsidRPr="00164269" w:rsidRDefault="00164269" w:rsidP="00164269">
            <w:pPr>
              <w:spacing w:before="30" w:after="30" w:line="276" w:lineRule="auto"/>
              <w:jc w:val="left"/>
              <w:rPr>
                <w:sz w:val="24"/>
                <w:szCs w:val="24"/>
              </w:rPr>
            </w:pPr>
            <w:proofErr w:type="spellStart"/>
            <w:r w:rsidRPr="00164269">
              <w:rPr>
                <w:sz w:val="24"/>
                <w:szCs w:val="24"/>
              </w:rPr>
              <w:t>MEGlobal</w:t>
            </w:r>
            <w:proofErr w:type="spellEnd"/>
            <w:r w:rsidRPr="00164269">
              <w:rPr>
                <w:sz w:val="24"/>
                <w:szCs w:val="24"/>
              </w:rPr>
              <w:t xml:space="preserve"> BV</w:t>
            </w:r>
          </w:p>
        </w:tc>
        <w:tc>
          <w:tcPr>
            <w:tcW w:w="2929" w:type="dxa"/>
            <w:shd w:val="clear" w:color="auto" w:fill="auto"/>
            <w:tcMar>
              <w:right w:w="142" w:type="dxa"/>
            </w:tcMar>
          </w:tcPr>
          <w:p w:rsidR="00164269" w:rsidRPr="00164269" w:rsidRDefault="00164269" w:rsidP="00164269">
            <w:pPr>
              <w:spacing w:before="30" w:after="30" w:line="276" w:lineRule="auto"/>
              <w:ind w:right="340"/>
              <w:jc w:val="left"/>
              <w:rPr>
                <w:sz w:val="24"/>
                <w:szCs w:val="24"/>
              </w:rPr>
            </w:pPr>
            <w:r w:rsidRPr="00164269">
              <w:rPr>
                <w:sz w:val="24"/>
                <w:szCs w:val="24"/>
              </w:rPr>
              <w:t>PIC (50%); DOW Chemical Company (50%)</w:t>
            </w:r>
          </w:p>
        </w:tc>
        <w:tc>
          <w:tcPr>
            <w:tcW w:w="3827" w:type="dxa"/>
          </w:tcPr>
          <w:p w:rsidR="00164269" w:rsidRPr="00164269" w:rsidRDefault="00164269" w:rsidP="00164269">
            <w:pPr>
              <w:spacing w:before="30" w:after="30" w:line="276" w:lineRule="auto"/>
              <w:ind w:right="340"/>
              <w:jc w:val="left"/>
              <w:rPr>
                <w:sz w:val="24"/>
                <w:szCs w:val="24"/>
              </w:rPr>
            </w:pPr>
            <w:r w:rsidRPr="00164269">
              <w:rPr>
                <w:sz w:val="24"/>
                <w:szCs w:val="24"/>
              </w:rPr>
              <w:t xml:space="preserve">- </w:t>
            </w:r>
            <w:proofErr w:type="gramStart"/>
            <w:r w:rsidRPr="00164269">
              <w:rPr>
                <w:sz w:val="24"/>
                <w:szCs w:val="24"/>
              </w:rPr>
              <w:t>markets</w:t>
            </w:r>
            <w:proofErr w:type="gramEnd"/>
            <w:r w:rsidRPr="00164269">
              <w:rPr>
                <w:sz w:val="24"/>
                <w:szCs w:val="24"/>
              </w:rPr>
              <w:t xml:space="preserve"> Ethylene Glycol produced by the</w:t>
            </w:r>
            <w:r w:rsidRPr="00164269">
              <w:rPr>
                <w:sz w:val="24"/>
                <w:szCs w:val="24"/>
              </w:rPr>
              <w:br/>
              <w:t xml:space="preserve">  partners and production by </w:t>
            </w:r>
            <w:proofErr w:type="spellStart"/>
            <w:r w:rsidRPr="00164269">
              <w:rPr>
                <w:sz w:val="24"/>
                <w:szCs w:val="24"/>
              </w:rPr>
              <w:t>MEGlobal</w:t>
            </w:r>
            <w:proofErr w:type="spellEnd"/>
            <w:r w:rsidRPr="00164269">
              <w:rPr>
                <w:sz w:val="24"/>
                <w:szCs w:val="24"/>
              </w:rPr>
              <w:t xml:space="preserve"> BV.</w:t>
            </w:r>
          </w:p>
          <w:p w:rsidR="00164269" w:rsidRPr="00164269" w:rsidRDefault="00164269" w:rsidP="00164269">
            <w:pPr>
              <w:spacing w:before="30" w:after="30" w:line="276" w:lineRule="auto"/>
              <w:ind w:right="340"/>
              <w:jc w:val="left"/>
              <w:rPr>
                <w:sz w:val="24"/>
                <w:szCs w:val="24"/>
              </w:rPr>
            </w:pPr>
            <w:r w:rsidRPr="00164269">
              <w:rPr>
                <w:sz w:val="24"/>
                <w:szCs w:val="24"/>
              </w:rPr>
              <w:t>- based in Dubai</w:t>
            </w:r>
          </w:p>
        </w:tc>
      </w:tr>
      <w:tr w:rsidR="00164269" w:rsidRPr="00164269" w:rsidTr="00D231E5">
        <w:tc>
          <w:tcPr>
            <w:tcW w:w="2316" w:type="dxa"/>
            <w:shd w:val="clear" w:color="auto" w:fill="auto"/>
          </w:tcPr>
          <w:p w:rsidR="00164269" w:rsidRPr="00164269" w:rsidRDefault="00164269" w:rsidP="00164269">
            <w:pPr>
              <w:spacing w:before="30" w:after="30" w:line="276" w:lineRule="auto"/>
              <w:jc w:val="left"/>
              <w:rPr>
                <w:sz w:val="24"/>
                <w:szCs w:val="24"/>
              </w:rPr>
            </w:pPr>
            <w:r w:rsidRPr="00164269">
              <w:rPr>
                <w:sz w:val="24"/>
                <w:szCs w:val="24"/>
              </w:rPr>
              <w:t>PIC-Canada Company</w:t>
            </w:r>
          </w:p>
        </w:tc>
        <w:tc>
          <w:tcPr>
            <w:tcW w:w="2929" w:type="dxa"/>
            <w:shd w:val="clear" w:color="auto" w:fill="auto"/>
            <w:tcMar>
              <w:right w:w="142" w:type="dxa"/>
            </w:tcMar>
          </w:tcPr>
          <w:p w:rsidR="00164269" w:rsidRPr="00164269" w:rsidRDefault="00164269" w:rsidP="00164269">
            <w:pPr>
              <w:spacing w:before="30" w:after="30" w:line="276" w:lineRule="auto"/>
              <w:ind w:right="340"/>
              <w:jc w:val="left"/>
              <w:rPr>
                <w:sz w:val="24"/>
                <w:szCs w:val="24"/>
              </w:rPr>
            </w:pPr>
            <w:r w:rsidRPr="00164269">
              <w:rPr>
                <w:sz w:val="24"/>
                <w:szCs w:val="24"/>
              </w:rPr>
              <w:t>PIC (100%)</w:t>
            </w:r>
          </w:p>
        </w:tc>
        <w:tc>
          <w:tcPr>
            <w:tcW w:w="3827" w:type="dxa"/>
          </w:tcPr>
          <w:p w:rsidR="00164269" w:rsidRPr="00164269" w:rsidRDefault="00164269" w:rsidP="00164269">
            <w:pPr>
              <w:spacing w:before="30" w:after="30" w:line="276" w:lineRule="auto"/>
              <w:ind w:right="340"/>
              <w:jc w:val="left"/>
              <w:rPr>
                <w:sz w:val="24"/>
                <w:szCs w:val="24"/>
              </w:rPr>
            </w:pPr>
            <w:r w:rsidRPr="00164269">
              <w:rPr>
                <w:sz w:val="24"/>
                <w:szCs w:val="24"/>
              </w:rPr>
              <w:t xml:space="preserve">- manages PIC's investments in </w:t>
            </w:r>
            <w:proofErr w:type="spellStart"/>
            <w:r w:rsidRPr="00164269">
              <w:rPr>
                <w:sz w:val="24"/>
                <w:szCs w:val="24"/>
              </w:rPr>
              <w:t>MEGlobal</w:t>
            </w:r>
            <w:proofErr w:type="spellEnd"/>
          </w:p>
          <w:p w:rsidR="00164269" w:rsidRPr="00164269" w:rsidRDefault="00164269" w:rsidP="00164269">
            <w:pPr>
              <w:spacing w:before="30" w:after="30" w:line="276" w:lineRule="auto"/>
              <w:ind w:right="340"/>
              <w:jc w:val="left"/>
              <w:rPr>
                <w:sz w:val="24"/>
                <w:szCs w:val="24"/>
              </w:rPr>
            </w:pPr>
            <w:r w:rsidRPr="00164269">
              <w:rPr>
                <w:sz w:val="24"/>
                <w:szCs w:val="24"/>
              </w:rPr>
              <w:t>- based in Canada</w:t>
            </w:r>
          </w:p>
          <w:p w:rsidR="00164269" w:rsidRPr="00164269" w:rsidRDefault="00164269" w:rsidP="00164269">
            <w:pPr>
              <w:spacing w:before="30" w:after="30" w:line="276" w:lineRule="auto"/>
              <w:ind w:right="340"/>
              <w:jc w:val="left"/>
              <w:rPr>
                <w:sz w:val="24"/>
                <w:szCs w:val="24"/>
              </w:rPr>
            </w:pPr>
          </w:p>
        </w:tc>
      </w:tr>
      <w:tr w:rsidR="00164269" w:rsidRPr="00164269" w:rsidTr="00D231E5">
        <w:tc>
          <w:tcPr>
            <w:tcW w:w="2316" w:type="dxa"/>
            <w:shd w:val="clear" w:color="auto" w:fill="auto"/>
          </w:tcPr>
          <w:p w:rsidR="00164269" w:rsidRPr="00164269" w:rsidRDefault="00164269" w:rsidP="00164269">
            <w:pPr>
              <w:spacing w:before="30" w:after="30" w:line="276" w:lineRule="auto"/>
              <w:jc w:val="left"/>
              <w:rPr>
                <w:sz w:val="24"/>
                <w:szCs w:val="24"/>
              </w:rPr>
            </w:pPr>
            <w:proofErr w:type="spellStart"/>
            <w:r w:rsidRPr="00164269">
              <w:rPr>
                <w:sz w:val="24"/>
                <w:szCs w:val="24"/>
              </w:rPr>
              <w:t>Equipolymers</w:t>
            </w:r>
            <w:proofErr w:type="spellEnd"/>
            <w:r w:rsidRPr="00164269">
              <w:rPr>
                <w:sz w:val="24"/>
                <w:szCs w:val="24"/>
              </w:rPr>
              <w:t xml:space="preserve"> Company</w:t>
            </w:r>
          </w:p>
        </w:tc>
        <w:tc>
          <w:tcPr>
            <w:tcW w:w="2929" w:type="dxa"/>
            <w:shd w:val="clear" w:color="auto" w:fill="auto"/>
            <w:tcMar>
              <w:right w:w="142" w:type="dxa"/>
            </w:tcMar>
          </w:tcPr>
          <w:p w:rsidR="00164269" w:rsidRPr="00164269" w:rsidRDefault="00164269" w:rsidP="00164269">
            <w:pPr>
              <w:spacing w:before="30" w:after="30" w:line="276" w:lineRule="auto"/>
              <w:ind w:right="340"/>
              <w:jc w:val="left"/>
              <w:rPr>
                <w:sz w:val="24"/>
                <w:szCs w:val="24"/>
              </w:rPr>
            </w:pPr>
            <w:r w:rsidRPr="00164269">
              <w:rPr>
                <w:sz w:val="24"/>
                <w:szCs w:val="24"/>
              </w:rPr>
              <w:t>PIC (50%); DOW Chemical Company (50%)</w:t>
            </w:r>
          </w:p>
        </w:tc>
        <w:tc>
          <w:tcPr>
            <w:tcW w:w="3827" w:type="dxa"/>
          </w:tcPr>
          <w:p w:rsidR="00164269" w:rsidRPr="00164269" w:rsidRDefault="00164269" w:rsidP="00164269">
            <w:pPr>
              <w:spacing w:before="30" w:after="30" w:line="276" w:lineRule="auto"/>
              <w:ind w:right="340"/>
              <w:jc w:val="left"/>
              <w:rPr>
                <w:rStyle w:val="bodytext1"/>
                <w:sz w:val="24"/>
                <w:szCs w:val="24"/>
              </w:rPr>
            </w:pPr>
            <w:r w:rsidRPr="00164269">
              <w:rPr>
                <w:rStyle w:val="bodytext1"/>
                <w:sz w:val="24"/>
                <w:szCs w:val="24"/>
              </w:rPr>
              <w:t xml:space="preserve">- manufactures </w:t>
            </w:r>
            <w:proofErr w:type="spellStart"/>
            <w:r w:rsidRPr="00164269">
              <w:rPr>
                <w:rStyle w:val="bodytext1"/>
                <w:sz w:val="24"/>
                <w:szCs w:val="24"/>
              </w:rPr>
              <w:t>PTA</w:t>
            </w:r>
            <w:r w:rsidRPr="00164269">
              <w:rPr>
                <w:rStyle w:val="bodytext1"/>
                <w:sz w:val="24"/>
                <w:szCs w:val="24"/>
                <w:vertAlign w:val="superscript"/>
              </w:rPr>
              <w:t>a</w:t>
            </w:r>
            <w:proofErr w:type="spellEnd"/>
            <w:r w:rsidRPr="00164269">
              <w:rPr>
                <w:rStyle w:val="bodytext1"/>
                <w:sz w:val="24"/>
                <w:szCs w:val="24"/>
              </w:rPr>
              <w:t>/PET and markets PET</w:t>
            </w:r>
          </w:p>
          <w:p w:rsidR="00164269" w:rsidRPr="00164269" w:rsidRDefault="00164269" w:rsidP="00164269">
            <w:pPr>
              <w:spacing w:before="30" w:after="30" w:line="276" w:lineRule="auto"/>
              <w:ind w:right="340"/>
              <w:jc w:val="left"/>
              <w:rPr>
                <w:rStyle w:val="bodytext1"/>
                <w:sz w:val="24"/>
                <w:szCs w:val="24"/>
              </w:rPr>
            </w:pPr>
            <w:r w:rsidRPr="00164269">
              <w:rPr>
                <w:rStyle w:val="bodytext1"/>
                <w:sz w:val="24"/>
                <w:szCs w:val="24"/>
              </w:rPr>
              <w:t>- with  two PET plants in Germany</w:t>
            </w:r>
          </w:p>
        </w:tc>
      </w:tr>
    </w:tbl>
    <w:p w:rsidR="00164269" w:rsidRPr="00164269" w:rsidRDefault="00164269" w:rsidP="00164269">
      <w:pPr>
        <w:pStyle w:val="BodyText"/>
        <w:numPr>
          <w:ilvl w:val="0"/>
          <w:numId w:val="0"/>
        </w:numPr>
        <w:spacing w:after="0" w:line="276" w:lineRule="auto"/>
        <w:rPr>
          <w:sz w:val="24"/>
          <w:szCs w:val="24"/>
        </w:rPr>
      </w:pPr>
    </w:p>
    <w:p w:rsidR="00164269" w:rsidRPr="00164269" w:rsidRDefault="00164269" w:rsidP="00164269">
      <w:pPr>
        <w:pStyle w:val="BodyText"/>
        <w:numPr>
          <w:ilvl w:val="0"/>
          <w:numId w:val="0"/>
        </w:numPr>
        <w:spacing w:line="276" w:lineRule="auto"/>
        <w:rPr>
          <w:sz w:val="24"/>
          <w:szCs w:val="24"/>
        </w:rPr>
      </w:pPr>
      <w:r w:rsidRPr="00164269">
        <w:rPr>
          <w:sz w:val="24"/>
          <w:szCs w:val="24"/>
        </w:rPr>
        <w:t>a</w:t>
      </w:r>
      <w:r w:rsidRPr="00164269">
        <w:rPr>
          <w:sz w:val="24"/>
          <w:szCs w:val="24"/>
        </w:rPr>
        <w:tab/>
        <w:t xml:space="preserve">PTA is a feedstock used in the production of PET, which is used in making bottles and containers for soft drinks, food and other </w:t>
      </w:r>
      <w:r w:rsidRPr="00164269">
        <w:rPr>
          <w:sz w:val="24"/>
          <w:szCs w:val="24"/>
        </w:rPr>
        <w:tab/>
        <w:t>liquids</w:t>
      </w:r>
    </w:p>
    <w:p w:rsidR="00164269" w:rsidRPr="00164269" w:rsidRDefault="00164269" w:rsidP="00164269">
      <w:pPr>
        <w:pStyle w:val="BodyText"/>
        <w:numPr>
          <w:ilvl w:val="0"/>
          <w:numId w:val="0"/>
        </w:numPr>
        <w:spacing w:line="276" w:lineRule="auto"/>
        <w:rPr>
          <w:sz w:val="24"/>
          <w:szCs w:val="24"/>
        </w:rPr>
      </w:pPr>
      <w:r w:rsidRPr="00164269">
        <w:rPr>
          <w:i/>
          <w:sz w:val="24"/>
          <w:szCs w:val="24"/>
        </w:rPr>
        <w:t>Source:</w:t>
      </w:r>
      <w:r w:rsidRPr="00164269">
        <w:rPr>
          <w:sz w:val="24"/>
          <w:szCs w:val="24"/>
        </w:rPr>
        <w:tab/>
        <w:t>WTO Secretariat Compilation.</w:t>
      </w:r>
    </w:p>
    <w:p w:rsidR="00164269" w:rsidRPr="00164269" w:rsidRDefault="00164269" w:rsidP="00164269">
      <w:pPr>
        <w:pStyle w:val="BodyText"/>
        <w:spacing w:line="276" w:lineRule="auto"/>
        <w:rPr>
          <w:sz w:val="24"/>
          <w:szCs w:val="24"/>
        </w:rPr>
      </w:pPr>
      <w:r w:rsidRPr="00164269">
        <w:rPr>
          <w:sz w:val="24"/>
          <w:szCs w:val="24"/>
        </w:rPr>
        <w:t xml:space="preserve">Kuwait aims to be a global petrochemical player and attract investment opportunities especially in Asia.  In March 2011, a new 50-50 joint venture between KPI and China Petroleum and Chemical Corporation (Sinopec) was approved to build a refinery and petrochemical complex in south China at a cost of around US$8.7 billion.  Expected to be operational in 2014/15, an ethylene plant will have an annual production capacity of one million tons.  Moreover, a new olefins project, Olefins III Project is underway.  Olefins-III project will comprise a world-scale Cracker Plant of Ethylene capacity 1.4 million tons per annum and derivative units to produce Polyethylene, Ethylene, Glycol, Polypropylene and other specialty products.  The Project Feasibility Study is under development to decide the feedstock mix, complex </w:t>
      </w:r>
      <w:r w:rsidRPr="00164269">
        <w:rPr>
          <w:sz w:val="24"/>
          <w:szCs w:val="24"/>
        </w:rPr>
        <w:lastRenderedPageBreak/>
        <w:t>configuration, derivative slate, financing options and implementation strategy.  The Project is planned to be operational in year 2017.</w:t>
      </w:r>
    </w:p>
    <w:p w:rsidR="00164269" w:rsidRPr="00164269" w:rsidRDefault="00164269" w:rsidP="00164269">
      <w:pPr>
        <w:pStyle w:val="BodyText"/>
        <w:spacing w:line="276" w:lineRule="auto"/>
        <w:rPr>
          <w:sz w:val="24"/>
          <w:szCs w:val="24"/>
        </w:rPr>
      </w:pPr>
      <w:r w:rsidRPr="00164269">
        <w:rPr>
          <w:sz w:val="24"/>
          <w:szCs w:val="24"/>
        </w:rPr>
        <w:t>PIC is jointly considering ways of integrating the refinery and petrochemical operations with Kuwait National Petroleum Company (KNPC), in order to improve the use of hydrocarbons resources in Kuwait.</w:t>
      </w:r>
    </w:p>
    <w:p w:rsidR="00435FBD" w:rsidRPr="00164269" w:rsidRDefault="00435FBD" w:rsidP="00164269">
      <w:pPr>
        <w:spacing w:line="276" w:lineRule="auto"/>
        <w:rPr>
          <w:sz w:val="24"/>
          <w:szCs w:val="24"/>
          <w:lang w:bidi="ar-KW"/>
        </w:rPr>
      </w:pPr>
    </w:p>
    <w:sectPr w:rsidR="00435FBD" w:rsidRPr="00164269" w:rsidSect="002C41D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809" w:rsidRDefault="00883809" w:rsidP="00164269">
      <w:r>
        <w:separator/>
      </w:r>
    </w:p>
  </w:endnote>
  <w:endnote w:type="continuationSeparator" w:id="0">
    <w:p w:rsidR="00883809" w:rsidRDefault="00883809" w:rsidP="00164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809" w:rsidRDefault="00883809" w:rsidP="00164269">
      <w:r>
        <w:separator/>
      </w:r>
    </w:p>
  </w:footnote>
  <w:footnote w:type="continuationSeparator" w:id="0">
    <w:p w:rsidR="00883809" w:rsidRDefault="00883809" w:rsidP="00164269">
      <w:r>
        <w:continuationSeparator/>
      </w:r>
    </w:p>
  </w:footnote>
  <w:footnote w:id="1">
    <w:p w:rsidR="00164269" w:rsidRDefault="00164269" w:rsidP="00164269">
      <w:pPr>
        <w:pStyle w:val="FootnoteText"/>
      </w:pPr>
      <w:r>
        <w:rPr>
          <w:rStyle w:val="FootnoteReference"/>
        </w:rPr>
        <w:footnoteRef/>
      </w:r>
      <w:r>
        <w:t xml:space="preserve"> Kuwait has the highest</w:t>
      </w:r>
      <w:r w:rsidRPr="007A503D">
        <w:t xml:space="preserve"> </w:t>
      </w:r>
      <w:r>
        <w:t xml:space="preserve">dependence on oil in the Gulf Cooperation Council (GCC).  </w:t>
      </w:r>
      <w:r w:rsidRPr="00005E28">
        <w:rPr>
          <w:i/>
        </w:rPr>
        <w:t>Source:</w:t>
      </w:r>
      <w:r>
        <w:rPr>
          <w:i/>
        </w:rPr>
        <w:t xml:space="preserve"> </w:t>
      </w:r>
      <w:r w:rsidRPr="00005E28">
        <w:rPr>
          <w:i/>
        </w:rPr>
        <w:t xml:space="preserve"> Oxford</w:t>
      </w:r>
      <w:r>
        <w:rPr>
          <w:i/>
        </w:rPr>
        <w:t xml:space="preserve"> Business Group, 2011.</w:t>
      </w:r>
    </w:p>
  </w:footnote>
  <w:footnote w:id="2">
    <w:p w:rsidR="00164269" w:rsidRPr="009032D9" w:rsidRDefault="00164269" w:rsidP="00164269">
      <w:pPr>
        <w:pStyle w:val="FootnoteText"/>
      </w:pPr>
      <w:r>
        <w:rPr>
          <w:rStyle w:val="FootnoteReference"/>
        </w:rPr>
        <w:footnoteRef/>
      </w:r>
      <w:r>
        <w:t xml:space="preserve"> OPEC (2011), </w:t>
      </w:r>
      <w:r w:rsidRPr="00BC35F0">
        <w:rPr>
          <w:i/>
        </w:rPr>
        <w:t>Annual Statistical Bulletin.</w:t>
      </w:r>
      <w:r>
        <w:t xml:space="preserve"> 2010/2011 edition, Vienna.</w:t>
      </w:r>
    </w:p>
  </w:footnote>
  <w:footnote w:id="3">
    <w:p w:rsidR="00164269" w:rsidRDefault="00164269" w:rsidP="00164269">
      <w:pPr>
        <w:pStyle w:val="FootnoteText"/>
      </w:pPr>
      <w:r>
        <w:rPr>
          <w:rStyle w:val="FootnoteReference"/>
        </w:rPr>
        <w:footnoteRef/>
      </w:r>
      <w:r>
        <w:t xml:space="preserve"> The Greater Burgan Area is the second largest oil field in the world after </w:t>
      </w:r>
      <w:proofErr w:type="spellStart"/>
      <w:r>
        <w:t>Ghawar</w:t>
      </w:r>
      <w:proofErr w:type="spellEnd"/>
      <w:r>
        <w:t xml:space="preserve"> field in Saudi Arabia and generally produces lighter crudes.</w:t>
      </w:r>
    </w:p>
  </w:footnote>
  <w:footnote w:id="4">
    <w:p w:rsidR="00164269" w:rsidRDefault="00164269" w:rsidP="00164269">
      <w:pPr>
        <w:pStyle w:val="FootnoteText"/>
      </w:pPr>
      <w:r>
        <w:rPr>
          <w:rStyle w:val="FootnoteReference"/>
        </w:rPr>
        <w:footnoteRef/>
      </w:r>
      <w:r>
        <w:t xml:space="preserve"> The Partitioned Neutral Zone (PNZ) was established in 1922 to settle a territorial dispute between </w:t>
      </w:r>
      <w:smartTag w:uri="urn:schemas-microsoft-com:office:smarttags" w:element="country-region">
        <w:smartTag w:uri="urn:schemas-microsoft-com:office:smarttags" w:element="place">
          <w:r>
            <w:t>Kuwait</w:t>
          </w:r>
        </w:smartTag>
      </w:smartTag>
      <w:r>
        <w:t xml:space="preserve"> and </w:t>
      </w:r>
      <w:smartTag w:uri="urn:schemas-microsoft-com:office:smarttags" w:element="country-region">
        <w:smartTag w:uri="urn:schemas-microsoft-com:office:smarttags" w:element="place">
          <w:r>
            <w:t>Saudi Arabia</w:t>
          </w:r>
        </w:smartTag>
      </w:smartTag>
      <w:r>
        <w:t xml:space="preserve">. A Joint Operations Committee, with representatives from both Kuwait and Saudi Arabia, manages the resources of the PNZ.  </w:t>
      </w:r>
      <w:smartTag w:uri="urn:schemas-microsoft-com:office:smarttags" w:element="country-region">
        <w:smartTag w:uri="urn:schemas-microsoft-com:office:smarttags" w:element="place">
          <w:r>
            <w:t>Kuwait</w:t>
          </w:r>
        </w:smartTag>
      </w:smartTag>
      <w:r>
        <w:t xml:space="preserve"> is represented by the </w:t>
      </w:r>
      <w:proofErr w:type="spellStart"/>
      <w:r>
        <w:t>Wafra</w:t>
      </w:r>
      <w:proofErr w:type="spellEnd"/>
      <w:r>
        <w:t xml:space="preserve"> Joint Operations Group, and </w:t>
      </w:r>
      <w:smartTag w:uri="urn:schemas-microsoft-com:office:smarttags" w:element="country-region">
        <w:smartTag w:uri="urn:schemas-microsoft-com:office:smarttags" w:element="place">
          <w:r>
            <w:t>Saudi Arabia</w:t>
          </w:r>
        </w:smartTag>
      </w:smartTag>
      <w:r>
        <w:t xml:space="preserve"> is represented by Chevron.  Oil production capacity in the PNZ is currently about 600,000 barrels per day, all of which is divided equally between </w:t>
      </w:r>
      <w:smartTag w:uri="urn:schemas-microsoft-com:office:smarttags" w:element="country-region">
        <w:smartTag w:uri="urn:schemas-microsoft-com:office:smarttags" w:element="place">
          <w:r>
            <w:t>Saudi Arabia</w:t>
          </w:r>
        </w:smartTag>
      </w:smartTag>
      <w:r>
        <w:t xml:space="preserve"> and </w:t>
      </w:r>
      <w:smartTag w:uri="urn:schemas-microsoft-com:office:smarttags" w:element="country-region">
        <w:smartTag w:uri="urn:schemas-microsoft-com:office:smarttags" w:element="place">
          <w:r>
            <w:t>Kuwait</w:t>
          </w:r>
        </w:smartTag>
      </w:smartTag>
      <w:r>
        <w:t>.</w:t>
      </w:r>
    </w:p>
  </w:footnote>
  <w:footnote w:id="5">
    <w:p w:rsidR="00164269" w:rsidRDefault="00164269" w:rsidP="00164269">
      <w:pPr>
        <w:pStyle w:val="FootnoteText"/>
      </w:pPr>
      <w:r>
        <w:rPr>
          <w:rStyle w:val="FootnoteReference"/>
        </w:rPr>
        <w:footnoteRef/>
      </w:r>
      <w:r>
        <w:t xml:space="preserve"> Products obtained from the processing of crude oil, unfinished oils, </w:t>
      </w:r>
      <w:proofErr w:type="gramStart"/>
      <w:r>
        <w:t>national</w:t>
      </w:r>
      <w:proofErr w:type="gramEnd"/>
      <w:r>
        <w:t xml:space="preserve"> gas liquids (NGLs) and other hydrocarbon compounds.</w:t>
      </w:r>
    </w:p>
  </w:footnote>
  <w:footnote w:id="6">
    <w:p w:rsidR="00164269" w:rsidRDefault="00164269" w:rsidP="00164269">
      <w:pPr>
        <w:pStyle w:val="FootnoteText"/>
      </w:pPr>
      <w:r>
        <w:rPr>
          <w:rStyle w:val="FootnoteReference"/>
        </w:rPr>
        <w:footnoteRef/>
      </w:r>
      <w:r>
        <w:t xml:space="preserve"> In the case of investments and mega-projects of at least US$1 billion in the oil and gas sector, the Council of Ministers (Cabinet) is considered the highest decision-making body.</w:t>
      </w:r>
    </w:p>
  </w:footnote>
  <w:footnote w:id="7">
    <w:p w:rsidR="00164269" w:rsidRDefault="00164269" w:rsidP="00164269">
      <w:pPr>
        <w:pStyle w:val="FootnoteText"/>
      </w:pPr>
      <w:r>
        <w:rPr>
          <w:rStyle w:val="FootnoteReference"/>
        </w:rPr>
        <w:footnoteRef/>
      </w:r>
      <w:r>
        <w:t xml:space="preserve"> Oil production levels are expected to grow rapidly over the next five years (2010-2015), according to Kuwaiti investment firm Global Investment House.</w:t>
      </w:r>
    </w:p>
  </w:footnote>
  <w:footnote w:id="8">
    <w:p w:rsidR="00164269" w:rsidRPr="004F1778" w:rsidRDefault="00164269" w:rsidP="00164269">
      <w:pPr>
        <w:pStyle w:val="FootnoteText"/>
        <w:rPr>
          <w:sz w:val="18"/>
          <w:szCs w:val="18"/>
        </w:rPr>
      </w:pPr>
      <w:r>
        <w:rPr>
          <w:rStyle w:val="FootnoteReference"/>
        </w:rPr>
        <w:footnoteRef/>
      </w:r>
      <w:r>
        <w:t xml:space="preserve"> </w:t>
      </w:r>
      <w:r w:rsidRPr="004F1778">
        <w:rPr>
          <w:sz w:val="18"/>
          <w:szCs w:val="18"/>
        </w:rPr>
        <w:t>Italy, Denmark, Belgium, the Netherlands, Luxembourg</w:t>
      </w:r>
      <w:r>
        <w:rPr>
          <w:sz w:val="18"/>
          <w:szCs w:val="18"/>
        </w:rPr>
        <w:t xml:space="preserve"> and</w:t>
      </w:r>
      <w:r w:rsidRPr="004F1778">
        <w:rPr>
          <w:sz w:val="18"/>
          <w:szCs w:val="18"/>
        </w:rPr>
        <w:t xml:space="preserve"> </w:t>
      </w:r>
      <w:r>
        <w:rPr>
          <w:sz w:val="18"/>
          <w:szCs w:val="18"/>
        </w:rPr>
        <w:t>Sweden.</w:t>
      </w:r>
    </w:p>
  </w:footnote>
  <w:footnote w:id="9">
    <w:p w:rsidR="00164269" w:rsidRDefault="00164269" w:rsidP="00164269">
      <w:pPr>
        <w:pStyle w:val="FootnoteText"/>
      </w:pPr>
      <w:r>
        <w:rPr>
          <w:rStyle w:val="FootnoteReference"/>
        </w:rPr>
        <w:footnoteRef/>
      </w:r>
      <w:r>
        <w:t xml:space="preserve"> KPC has developed environment-friendly policies such as a greenhouse gas (GHG) management strategy and the potential to use international carbon financing mechanisms like Clean Development Mechanism (CDM). </w:t>
      </w:r>
    </w:p>
  </w:footnote>
  <w:footnote w:id="10">
    <w:p w:rsidR="00164269" w:rsidRDefault="00164269" w:rsidP="00164269">
      <w:pPr>
        <w:pStyle w:val="FootnoteText"/>
      </w:pPr>
      <w:r>
        <w:rPr>
          <w:rStyle w:val="FootnoteReference"/>
        </w:rPr>
        <w:footnoteRef/>
      </w:r>
      <w:r>
        <w:t xml:space="preserve"> Shell is a partner with government-owned Qatar Petroleum in the </w:t>
      </w:r>
      <w:proofErr w:type="spellStart"/>
      <w:r>
        <w:t>Qatargas</w:t>
      </w:r>
      <w:proofErr w:type="spellEnd"/>
      <w:r>
        <w:t xml:space="preserve"> LNG project.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267463"/>
    <w:multiLevelType w:val="multilevel"/>
    <w:tmpl w:val="C652EEB2"/>
    <w:lvl w:ilvl="0">
      <w:start w:val="4"/>
      <w:numFmt w:val="upperRoman"/>
      <w:pStyle w:val="Heading1"/>
      <w:lvlText w:val="%1."/>
      <w:lvlJc w:val="left"/>
      <w:pPr>
        <w:tabs>
          <w:tab w:val="num" w:pos="720"/>
        </w:tabs>
        <w:ind w:left="0" w:firstLine="0"/>
      </w:pPr>
      <w:rPr>
        <w:rFonts w:hint="default"/>
      </w:rPr>
    </w:lvl>
    <w:lvl w:ilvl="1">
      <w:start w:val="1"/>
      <w:numFmt w:val="decimal"/>
      <w:pStyle w:val="Heading2"/>
      <w:lvlText w:val="(%2)"/>
      <w:lvlJc w:val="left"/>
      <w:pPr>
        <w:tabs>
          <w:tab w:val="num" w:pos="720"/>
        </w:tabs>
        <w:ind w:left="0" w:firstLine="0"/>
      </w:pPr>
      <w:rPr>
        <w:rFonts w:hint="default"/>
      </w:rPr>
    </w:lvl>
    <w:lvl w:ilvl="2">
      <w:start w:val="1"/>
      <w:numFmt w:val="lowerRoman"/>
      <w:pStyle w:val="Heading3"/>
      <w:lvlText w:val="(%3)"/>
      <w:lvlJc w:val="left"/>
      <w:pPr>
        <w:tabs>
          <w:tab w:val="num" w:pos="720"/>
        </w:tabs>
        <w:ind w:left="0" w:firstLine="0"/>
      </w:pPr>
      <w:rPr>
        <w:rFonts w:hint="default"/>
      </w:rPr>
    </w:lvl>
    <w:lvl w:ilvl="3">
      <w:start w:val="1"/>
      <w:numFmt w:val="lowerLetter"/>
      <w:pStyle w:val="Heading4"/>
      <w:lvlText w:val="(%4)"/>
      <w:lvlJc w:val="left"/>
      <w:pPr>
        <w:tabs>
          <w:tab w:val="num" w:pos="72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decimal"/>
      <w:lvlRestart w:val="0"/>
      <w:pStyle w:val="BodyText"/>
      <w:lvlText w:val="%6."/>
      <w:lvlJc w:val="left"/>
      <w:pPr>
        <w:tabs>
          <w:tab w:val="num" w:pos="720"/>
        </w:tabs>
        <w:ind w:left="0" w:firstLine="0"/>
      </w:pPr>
      <w:rPr>
        <w:rFonts w:hint="default"/>
      </w:rPr>
    </w:lvl>
    <w:lvl w:ilvl="6">
      <w:start w:val="1"/>
      <w:numFmt w:val="none"/>
      <w:pStyle w:val="BodyText2"/>
      <w:lvlText w:val="-"/>
      <w:lvlJc w:val="left"/>
      <w:pPr>
        <w:tabs>
          <w:tab w:val="num" w:pos="720"/>
        </w:tabs>
        <w:ind w:left="0" w:firstLine="0"/>
      </w:pPr>
      <w:rPr>
        <w:rFonts w:hint="default"/>
      </w:rPr>
    </w:lvl>
    <w:lvl w:ilvl="7">
      <w:start w:val="1"/>
      <w:numFmt w:val="none"/>
      <w:pStyle w:val="BodyText3"/>
      <w:lvlText w:val="-"/>
      <w:lvlJc w:val="left"/>
      <w:pPr>
        <w:tabs>
          <w:tab w:val="num" w:pos="1440"/>
        </w:tabs>
        <w:ind w:left="1440" w:hanging="720"/>
      </w:pPr>
      <w:rPr>
        <w:rFonts w:hint="default"/>
      </w:rPr>
    </w:lvl>
    <w:lvl w:ilvl="8">
      <w:start w:val="1"/>
      <w:numFmt w:val="lowerLetter"/>
      <w:lvlText w:val="(%9)"/>
      <w:lvlJc w:val="left"/>
      <w:pPr>
        <w:tabs>
          <w:tab w:val="num" w:pos="1440"/>
        </w:tabs>
        <w:ind w:left="1440" w:hanging="720"/>
      </w:pPr>
      <w:rPr>
        <w:rFonts w:hint="default"/>
      </w:rPr>
    </w:lvl>
  </w:abstractNum>
  <w:num w:numId="1">
    <w:abstractNumId w:val="0"/>
  </w:num>
  <w:num w:numId="2">
    <w:abstractNumId w:val="0"/>
    <w:lvlOverride w:ilvl="0">
      <w:startOverride w:val="4"/>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269"/>
    <w:rsid w:val="00164269"/>
    <w:rsid w:val="002C41D2"/>
    <w:rsid w:val="00435FBD"/>
    <w:rsid w:val="00883809"/>
    <w:rsid w:val="008F1C67"/>
    <w:rsid w:val="00DD4A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5:docId w15:val="{441FE228-70A8-4078-AD77-1E2CAECFF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269"/>
    <w:pPr>
      <w:tabs>
        <w:tab w:val="left" w:pos="720"/>
      </w:tabs>
      <w:spacing w:after="0" w:line="240" w:lineRule="auto"/>
      <w:jc w:val="both"/>
    </w:pPr>
    <w:rPr>
      <w:rFonts w:ascii="Times New Roman" w:eastAsia="Times New Roman" w:hAnsi="Times New Roman" w:cs="Times New Roman"/>
      <w:szCs w:val="20"/>
      <w:lang w:val="en-GB" w:eastAsia="en-GB"/>
    </w:rPr>
  </w:style>
  <w:style w:type="paragraph" w:styleId="Heading1">
    <w:name w:val="heading 1"/>
    <w:basedOn w:val="Normal"/>
    <w:next w:val="Heading2"/>
    <w:link w:val="Heading1Char"/>
    <w:qFormat/>
    <w:rsid w:val="00164269"/>
    <w:pPr>
      <w:keepNext/>
      <w:numPr>
        <w:numId w:val="1"/>
      </w:numPr>
      <w:spacing w:after="240"/>
      <w:outlineLvl w:val="0"/>
    </w:pPr>
    <w:rPr>
      <w:b/>
      <w:caps/>
    </w:rPr>
  </w:style>
  <w:style w:type="paragraph" w:styleId="Heading2">
    <w:name w:val="heading 2"/>
    <w:basedOn w:val="Normal"/>
    <w:next w:val="Heading3"/>
    <w:link w:val="Heading2Char"/>
    <w:qFormat/>
    <w:rsid w:val="00164269"/>
    <w:pPr>
      <w:keepNext/>
      <w:numPr>
        <w:ilvl w:val="1"/>
        <w:numId w:val="1"/>
      </w:numPr>
      <w:spacing w:after="240"/>
      <w:outlineLvl w:val="1"/>
    </w:pPr>
    <w:rPr>
      <w:b/>
      <w:smallCaps/>
    </w:rPr>
  </w:style>
  <w:style w:type="paragraph" w:styleId="Heading3">
    <w:name w:val="heading 3"/>
    <w:basedOn w:val="Normal"/>
    <w:next w:val="Heading4"/>
    <w:link w:val="Heading3Char"/>
    <w:qFormat/>
    <w:rsid w:val="00164269"/>
    <w:pPr>
      <w:keepNext/>
      <w:numPr>
        <w:ilvl w:val="2"/>
        <w:numId w:val="1"/>
      </w:numPr>
      <w:spacing w:after="240"/>
      <w:outlineLvl w:val="2"/>
    </w:pPr>
    <w:rPr>
      <w:b/>
    </w:rPr>
  </w:style>
  <w:style w:type="paragraph" w:styleId="Heading4">
    <w:name w:val="heading 4"/>
    <w:basedOn w:val="Normal"/>
    <w:next w:val="Heading5"/>
    <w:link w:val="Heading4Char"/>
    <w:qFormat/>
    <w:rsid w:val="00164269"/>
    <w:pPr>
      <w:keepNext/>
      <w:numPr>
        <w:ilvl w:val="3"/>
        <w:numId w:val="1"/>
      </w:numPr>
      <w:spacing w:after="240"/>
      <w:outlineLvl w:val="3"/>
    </w:pPr>
  </w:style>
  <w:style w:type="paragraph" w:styleId="Heading5">
    <w:name w:val="heading 5"/>
    <w:basedOn w:val="Normal"/>
    <w:next w:val="BodyText"/>
    <w:link w:val="Heading5Char"/>
    <w:qFormat/>
    <w:rsid w:val="00164269"/>
    <w:pPr>
      <w:numPr>
        <w:ilvl w:val="4"/>
        <w:numId w:val="1"/>
      </w:numPr>
      <w:tabs>
        <w:tab w:val="clear" w:pos="720"/>
      </w:tabs>
      <w:spacing w:after="240"/>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4269"/>
    <w:rPr>
      <w:rFonts w:ascii="Times New Roman" w:eastAsia="Times New Roman" w:hAnsi="Times New Roman" w:cs="Times New Roman"/>
      <w:b/>
      <w:caps/>
      <w:szCs w:val="20"/>
      <w:lang w:val="en-GB" w:eastAsia="en-GB"/>
    </w:rPr>
  </w:style>
  <w:style w:type="character" w:customStyle="1" w:styleId="Heading2Char">
    <w:name w:val="Heading 2 Char"/>
    <w:basedOn w:val="DefaultParagraphFont"/>
    <w:link w:val="Heading2"/>
    <w:rsid w:val="00164269"/>
    <w:rPr>
      <w:rFonts w:ascii="Times New Roman" w:eastAsia="Times New Roman" w:hAnsi="Times New Roman" w:cs="Times New Roman"/>
      <w:b/>
      <w:smallCaps/>
      <w:szCs w:val="20"/>
      <w:lang w:val="en-GB" w:eastAsia="en-GB"/>
    </w:rPr>
  </w:style>
  <w:style w:type="character" w:customStyle="1" w:styleId="Heading3Char">
    <w:name w:val="Heading 3 Char"/>
    <w:basedOn w:val="DefaultParagraphFont"/>
    <w:link w:val="Heading3"/>
    <w:rsid w:val="00164269"/>
    <w:rPr>
      <w:rFonts w:ascii="Times New Roman" w:eastAsia="Times New Roman" w:hAnsi="Times New Roman" w:cs="Times New Roman"/>
      <w:b/>
      <w:szCs w:val="20"/>
      <w:lang w:val="en-GB" w:eastAsia="en-GB"/>
    </w:rPr>
  </w:style>
  <w:style w:type="character" w:customStyle="1" w:styleId="Heading4Char">
    <w:name w:val="Heading 4 Char"/>
    <w:basedOn w:val="DefaultParagraphFont"/>
    <w:link w:val="Heading4"/>
    <w:rsid w:val="00164269"/>
    <w:rPr>
      <w:rFonts w:ascii="Times New Roman" w:eastAsia="Times New Roman" w:hAnsi="Times New Roman" w:cs="Times New Roman"/>
      <w:szCs w:val="20"/>
      <w:lang w:val="en-GB" w:eastAsia="en-GB"/>
    </w:rPr>
  </w:style>
  <w:style w:type="character" w:customStyle="1" w:styleId="Heading5Char">
    <w:name w:val="Heading 5 Char"/>
    <w:basedOn w:val="DefaultParagraphFont"/>
    <w:link w:val="Heading5"/>
    <w:rsid w:val="00164269"/>
    <w:rPr>
      <w:rFonts w:ascii="Times New Roman" w:eastAsia="Times New Roman" w:hAnsi="Times New Roman" w:cs="Times New Roman"/>
      <w:i/>
      <w:szCs w:val="20"/>
      <w:lang w:val="en-GB" w:eastAsia="en-GB"/>
    </w:rPr>
  </w:style>
  <w:style w:type="paragraph" w:styleId="BodyText">
    <w:name w:val="Body Text"/>
    <w:basedOn w:val="Normal"/>
    <w:link w:val="BodyTextChar"/>
    <w:rsid w:val="00164269"/>
    <w:pPr>
      <w:numPr>
        <w:ilvl w:val="5"/>
        <w:numId w:val="1"/>
      </w:numPr>
      <w:spacing w:after="240"/>
    </w:pPr>
  </w:style>
  <w:style w:type="character" w:customStyle="1" w:styleId="BodyTextChar">
    <w:name w:val="Body Text Char"/>
    <w:basedOn w:val="DefaultParagraphFont"/>
    <w:link w:val="BodyText"/>
    <w:rsid w:val="00164269"/>
    <w:rPr>
      <w:rFonts w:ascii="Times New Roman" w:eastAsia="Times New Roman" w:hAnsi="Times New Roman" w:cs="Times New Roman"/>
      <w:szCs w:val="20"/>
      <w:lang w:val="en-GB" w:eastAsia="en-GB"/>
    </w:rPr>
  </w:style>
  <w:style w:type="paragraph" w:styleId="BodyText2">
    <w:name w:val="Body Text 2"/>
    <w:basedOn w:val="Normal"/>
    <w:link w:val="BodyText2Char"/>
    <w:rsid w:val="00164269"/>
    <w:pPr>
      <w:numPr>
        <w:ilvl w:val="6"/>
        <w:numId w:val="1"/>
      </w:numPr>
      <w:spacing w:after="240"/>
    </w:pPr>
  </w:style>
  <w:style w:type="character" w:customStyle="1" w:styleId="BodyText2Char">
    <w:name w:val="Body Text 2 Char"/>
    <w:basedOn w:val="DefaultParagraphFont"/>
    <w:link w:val="BodyText2"/>
    <w:rsid w:val="00164269"/>
    <w:rPr>
      <w:rFonts w:ascii="Times New Roman" w:eastAsia="Times New Roman" w:hAnsi="Times New Roman" w:cs="Times New Roman"/>
      <w:szCs w:val="20"/>
      <w:lang w:val="en-GB" w:eastAsia="en-GB"/>
    </w:rPr>
  </w:style>
  <w:style w:type="paragraph" w:styleId="BodyText3">
    <w:name w:val="Body Text 3"/>
    <w:basedOn w:val="Normal"/>
    <w:link w:val="BodyText3Char"/>
    <w:rsid w:val="00164269"/>
    <w:pPr>
      <w:numPr>
        <w:ilvl w:val="7"/>
        <w:numId w:val="1"/>
      </w:numPr>
      <w:tabs>
        <w:tab w:val="clear" w:pos="720"/>
      </w:tabs>
      <w:spacing w:after="240"/>
    </w:pPr>
  </w:style>
  <w:style w:type="character" w:customStyle="1" w:styleId="BodyText3Char">
    <w:name w:val="Body Text 3 Char"/>
    <w:basedOn w:val="DefaultParagraphFont"/>
    <w:link w:val="BodyText3"/>
    <w:rsid w:val="00164269"/>
    <w:rPr>
      <w:rFonts w:ascii="Times New Roman" w:eastAsia="Times New Roman" w:hAnsi="Times New Roman" w:cs="Times New Roman"/>
      <w:szCs w:val="20"/>
      <w:lang w:val="en-GB" w:eastAsia="en-GB"/>
    </w:rPr>
  </w:style>
  <w:style w:type="paragraph" w:styleId="BodyTextIndent">
    <w:name w:val="Body Text Indent"/>
    <w:basedOn w:val="Normal"/>
    <w:link w:val="BodyTextIndentChar"/>
    <w:uiPriority w:val="99"/>
    <w:semiHidden/>
    <w:unhideWhenUsed/>
    <w:rsid w:val="00164269"/>
    <w:pPr>
      <w:spacing w:after="120"/>
      <w:ind w:left="360"/>
    </w:pPr>
  </w:style>
  <w:style w:type="character" w:customStyle="1" w:styleId="BodyTextIndentChar">
    <w:name w:val="Body Text Indent Char"/>
    <w:basedOn w:val="DefaultParagraphFont"/>
    <w:link w:val="BodyTextIndent"/>
    <w:uiPriority w:val="99"/>
    <w:semiHidden/>
    <w:rsid w:val="00164269"/>
    <w:rPr>
      <w:rFonts w:ascii="Times New Roman" w:eastAsia="Times New Roman" w:hAnsi="Times New Roman" w:cs="Times New Roman"/>
      <w:szCs w:val="20"/>
      <w:lang w:val="en-GB" w:eastAsia="en-GB"/>
    </w:rPr>
  </w:style>
  <w:style w:type="paragraph" w:styleId="BodyTextFirstIndent2">
    <w:name w:val="Body Text First Indent 2"/>
    <w:basedOn w:val="BodyTextIndent"/>
    <w:link w:val="BodyTextFirstIndent2Char"/>
    <w:rsid w:val="00164269"/>
    <w:pPr>
      <w:spacing w:after="240"/>
      <w:ind w:left="720" w:firstLine="720"/>
    </w:pPr>
  </w:style>
  <w:style w:type="character" w:customStyle="1" w:styleId="BodyTextFirstIndent2Char">
    <w:name w:val="Body Text First Indent 2 Char"/>
    <w:basedOn w:val="BodyTextIndentChar"/>
    <w:link w:val="BodyTextFirstIndent2"/>
    <w:rsid w:val="00164269"/>
    <w:rPr>
      <w:rFonts w:ascii="Times New Roman" w:eastAsia="Times New Roman" w:hAnsi="Times New Roman" w:cs="Times New Roman"/>
      <w:szCs w:val="20"/>
      <w:lang w:val="en-GB" w:eastAsia="en-GB"/>
    </w:rPr>
  </w:style>
  <w:style w:type="character" w:styleId="FootnoteReference">
    <w:name w:val="footnote reference"/>
    <w:aliases w:val="Error-Fußnotenzeichen5,Error-Fußnotenzeichen6,Error-Fußnotenzeichen3"/>
    <w:rsid w:val="00164269"/>
    <w:rPr>
      <w:vertAlign w:val="superscript"/>
    </w:rPr>
  </w:style>
  <w:style w:type="paragraph" w:styleId="FootnoteText">
    <w:name w:val="footnote text"/>
    <w:aliases w:val="Char Char Char,Char ChaFootnote Text,Char Char, Char Char Char, Char Char,FOOTNOTES,fn,single space,footnote text,f,Footnote Text Char1,Footnote Text Char Char3 Char,Footnote Text Char2 Char1 Char Char Char Char"/>
    <w:basedOn w:val="Normal"/>
    <w:link w:val="FootnoteTextChar"/>
    <w:rsid w:val="00164269"/>
    <w:pPr>
      <w:ind w:firstLine="720"/>
    </w:pPr>
    <w:rPr>
      <w:sz w:val="20"/>
    </w:rPr>
  </w:style>
  <w:style w:type="character" w:customStyle="1" w:styleId="FootnoteTextChar">
    <w:name w:val="Footnote Text Char"/>
    <w:aliases w:val="Char Char Char Char,Char ChaFootnote Text Char,Char Char Char1, Char Char Char Char, Char Char Char1,FOOTNOTES Char,fn Char,single space Char,footnote text Char,f Char,Footnote Text Char1 Char,Footnote Text Char Char3 Char Char"/>
    <w:basedOn w:val="DefaultParagraphFont"/>
    <w:link w:val="FootnoteText"/>
    <w:rsid w:val="00164269"/>
    <w:rPr>
      <w:rFonts w:ascii="Times New Roman" w:eastAsia="Times New Roman" w:hAnsi="Times New Roman" w:cs="Times New Roman"/>
      <w:sz w:val="20"/>
      <w:szCs w:val="20"/>
      <w:lang w:val="en-GB" w:eastAsia="en-GB"/>
    </w:rPr>
  </w:style>
  <w:style w:type="character" w:styleId="Hyperlink">
    <w:name w:val="Hyperlink"/>
    <w:rsid w:val="00164269"/>
    <w:rPr>
      <w:color w:val="0000FF"/>
      <w:u w:val="single"/>
    </w:rPr>
  </w:style>
  <w:style w:type="character" w:customStyle="1" w:styleId="bodytext1">
    <w:name w:val="bodytext1"/>
    <w:rsid w:val="00164269"/>
    <w:rPr>
      <w:rFonts w:ascii="Verdana" w:hAnsi="Verdana" w:hint="default"/>
      <w:b w:val="0"/>
      <w:bCs w:val="0"/>
      <w:strike w:val="0"/>
      <w:dstrike w:val="0"/>
      <w:color w:val="000000"/>
      <w:sz w:val="14"/>
      <w:szCs w:val="1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pc.com.k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3023</Words>
  <Characters>17237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Kuwait Univercity</Company>
  <LinksUpToDate>false</LinksUpToDate>
  <CharactersWithSpaces>20220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Reyadh Faras</dc:creator>
  <cp:keywords/>
  <dc:description/>
  <cp:lastModifiedBy>Abdulaziz Almuslem</cp:lastModifiedBy>
  <cp:revision>2</cp:revision>
  <dcterms:created xsi:type="dcterms:W3CDTF">2016-05-27T14:38:00Z</dcterms:created>
  <dcterms:modified xsi:type="dcterms:W3CDTF">2016-05-27T14:38:00Z</dcterms:modified>
</cp:coreProperties>
</file>