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CD3" w:rsidRPr="00C24CD3" w:rsidRDefault="00C24CD3" w:rsidP="00C24CD3">
      <w:pPr>
        <w:spacing w:after="0" w:line="240" w:lineRule="auto"/>
        <w:jc w:val="center"/>
        <w:rPr>
          <w:rFonts w:ascii="Times New Roman" w:eastAsia="Times New Roman" w:hAnsi="Times New Roman" w:cs="Times New Roman"/>
          <w:b/>
          <w:bCs/>
          <w:color w:val="333333"/>
          <w:sz w:val="26"/>
          <w:szCs w:val="26"/>
        </w:rPr>
      </w:pPr>
      <w:r w:rsidRPr="00C24CD3">
        <w:rPr>
          <w:rFonts w:ascii="Times New Roman" w:eastAsia="Times New Roman" w:hAnsi="Times New Roman" w:cs="Times New Roman"/>
          <w:b/>
          <w:bCs/>
          <w:color w:val="333333"/>
          <w:sz w:val="26"/>
          <w:szCs w:val="26"/>
        </w:rPr>
        <w:t>Press Information Bureau </w:t>
      </w:r>
      <w:r w:rsidRPr="00C24CD3">
        <w:rPr>
          <w:rFonts w:ascii="Times New Roman" w:eastAsia="Times New Roman" w:hAnsi="Times New Roman" w:cs="Times New Roman"/>
          <w:b/>
          <w:bCs/>
          <w:color w:val="333333"/>
          <w:sz w:val="26"/>
          <w:szCs w:val="26"/>
        </w:rPr>
        <w:br/>
        <w:t>Government of India</w:t>
      </w:r>
      <w:r w:rsidRPr="00C24CD3">
        <w:rPr>
          <w:rFonts w:ascii="Times New Roman" w:eastAsia="Times New Roman" w:hAnsi="Times New Roman" w:cs="Times New Roman"/>
          <w:b/>
          <w:bCs/>
          <w:color w:val="333333"/>
          <w:sz w:val="26"/>
          <w:szCs w:val="26"/>
        </w:rPr>
        <w:br/>
        <w:t>Cabinet</w:t>
      </w:r>
      <w:r w:rsidRPr="00C24CD3">
        <w:rPr>
          <w:rFonts w:ascii="Times New Roman" w:eastAsia="Times New Roman" w:hAnsi="Times New Roman" w:cs="Times New Roman"/>
          <w:b/>
          <w:bCs/>
          <w:color w:val="333333"/>
          <w:sz w:val="26"/>
          <w:szCs w:val="26"/>
        </w:rPr>
        <w:br/>
      </w:r>
      <w:r w:rsidRPr="00C24CD3">
        <w:rPr>
          <w:rFonts w:ascii="Times New Roman" w:eastAsia="Times New Roman" w:hAnsi="Times New Roman" w:cs="Times New Roman"/>
          <w:color w:val="333333"/>
          <w:sz w:val="21"/>
          <w:szCs w:val="21"/>
        </w:rPr>
        <w:t>10-March-2016 14:50 IST</w:t>
      </w:r>
    </w:p>
    <w:p w:rsidR="00C24CD3" w:rsidRPr="00C24CD3" w:rsidRDefault="00C24CD3" w:rsidP="00C24CD3">
      <w:pPr>
        <w:spacing w:after="270" w:line="312" w:lineRule="atLeast"/>
        <w:jc w:val="center"/>
        <w:rPr>
          <w:rFonts w:ascii="Times New Roman" w:eastAsia="Times New Roman" w:hAnsi="Times New Roman" w:cs="Times New Roman"/>
          <w:b/>
          <w:bCs/>
          <w:color w:val="333333"/>
          <w:sz w:val="27"/>
          <w:szCs w:val="27"/>
        </w:rPr>
      </w:pPr>
      <w:r w:rsidRPr="00C24CD3">
        <w:rPr>
          <w:rFonts w:ascii="Times New Roman" w:eastAsia="Times New Roman" w:hAnsi="Times New Roman" w:cs="Times New Roman"/>
          <w:b/>
          <w:bCs/>
          <w:color w:val="333333"/>
          <w:sz w:val="27"/>
          <w:szCs w:val="27"/>
        </w:rPr>
        <w:t>Hydrocarbon Exploration and Licensing Policy (HELP) </w:t>
      </w:r>
    </w:p>
    <w:p w:rsidR="00C24CD3" w:rsidRPr="00C24CD3" w:rsidRDefault="00C24CD3" w:rsidP="00C24CD3">
      <w:pPr>
        <w:spacing w:after="0" w:line="360" w:lineRule="atLeast"/>
        <w:ind w:firstLine="72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24"/>
          <w:szCs w:val="24"/>
          <w:lang w:val="en-IN"/>
        </w:rPr>
        <w:t>The Union Cabinet, chaired by the Prime Minister Shri Narendra Modi, has approved</w:t>
      </w:r>
      <w:r w:rsidRPr="00C24CD3">
        <w:rPr>
          <w:rFonts w:ascii="Times New Roman" w:eastAsia="Times New Roman" w:hAnsi="Times New Roman" w:cs="Times New Roman"/>
          <w:b/>
          <w:bCs/>
          <w:color w:val="333333"/>
          <w:sz w:val="24"/>
          <w:szCs w:val="24"/>
          <w:lang w:val="en-IN"/>
        </w:rPr>
        <w:t> </w:t>
      </w:r>
      <w:r w:rsidRPr="00C24CD3">
        <w:rPr>
          <w:rFonts w:ascii="Times New Roman" w:eastAsia="Times New Roman" w:hAnsi="Times New Roman" w:cs="Times New Roman"/>
          <w:color w:val="333333"/>
          <w:sz w:val="24"/>
          <w:szCs w:val="24"/>
          <w:lang w:val="en-IN"/>
        </w:rPr>
        <w:t>the </w:t>
      </w:r>
      <w:r w:rsidRPr="00C24CD3">
        <w:rPr>
          <w:rFonts w:ascii="Times New Roman" w:eastAsia="Times New Roman" w:hAnsi="Times New Roman" w:cs="Times New Roman"/>
          <w:b/>
          <w:bCs/>
          <w:color w:val="333333"/>
          <w:sz w:val="24"/>
          <w:szCs w:val="24"/>
          <w:lang w:val="en-IN"/>
        </w:rPr>
        <w:t>Hydrocarbon Exploration and Licensing Policy (HELP)</w:t>
      </w:r>
      <w:r w:rsidRPr="00C24CD3">
        <w:rPr>
          <w:rFonts w:ascii="Times New Roman" w:eastAsia="Times New Roman" w:hAnsi="Times New Roman" w:cs="Times New Roman"/>
          <w:color w:val="333333"/>
          <w:sz w:val="24"/>
          <w:szCs w:val="24"/>
          <w:lang w:val="en-IN"/>
        </w:rPr>
        <w:t>.</w:t>
      </w:r>
    </w:p>
    <w:p w:rsidR="00C24CD3" w:rsidRPr="00C24CD3" w:rsidRDefault="00C24CD3" w:rsidP="00C24CD3">
      <w:pPr>
        <w:spacing w:after="0" w:line="360" w:lineRule="atLeast"/>
        <w:ind w:firstLine="72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24"/>
          <w:szCs w:val="24"/>
          <w:lang w:val="en-IN"/>
        </w:rPr>
        <w:t> </w:t>
      </w:r>
    </w:p>
    <w:p w:rsidR="00C24CD3" w:rsidRPr="00C24CD3" w:rsidRDefault="00C24CD3" w:rsidP="00C24CD3">
      <w:pPr>
        <w:spacing w:after="0" w:line="360" w:lineRule="atLeast"/>
        <w:ind w:firstLine="72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24"/>
          <w:szCs w:val="24"/>
          <w:lang w:val="en-IN"/>
        </w:rPr>
        <w:t>Four main facets of this policy are:</w:t>
      </w:r>
    </w:p>
    <w:p w:rsidR="00C24CD3" w:rsidRPr="00C24CD3" w:rsidRDefault="00C24CD3" w:rsidP="00C24CD3">
      <w:pPr>
        <w:spacing w:after="0" w:line="360" w:lineRule="atLeast"/>
        <w:ind w:left="1440" w:hanging="144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i.</w:t>
      </w: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uniform license for exploration and production of all forms of hydrocarbon,</w:t>
      </w:r>
    </w:p>
    <w:p w:rsidR="00C24CD3" w:rsidRPr="00C24CD3" w:rsidRDefault="00C24CD3" w:rsidP="00C24CD3">
      <w:pPr>
        <w:spacing w:after="0" w:line="360" w:lineRule="atLeast"/>
        <w:ind w:left="1440" w:hanging="144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ii.</w:t>
      </w: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an open acreage policy,</w:t>
      </w:r>
    </w:p>
    <w:p w:rsidR="00C24CD3" w:rsidRPr="00C24CD3" w:rsidRDefault="00C24CD3" w:rsidP="00C24CD3">
      <w:pPr>
        <w:spacing w:after="0" w:line="360" w:lineRule="atLeast"/>
        <w:ind w:left="1440" w:hanging="144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iii.</w:t>
      </w: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easy to administer revenue sharing model and</w:t>
      </w:r>
    </w:p>
    <w:p w:rsidR="00C24CD3" w:rsidRPr="00C24CD3" w:rsidRDefault="00C24CD3" w:rsidP="00C24CD3">
      <w:pPr>
        <w:spacing w:after="0" w:line="360" w:lineRule="atLeast"/>
        <w:ind w:left="1440" w:hanging="144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iv.</w:t>
      </w:r>
      <w:r w:rsidRPr="00C24CD3">
        <w:rPr>
          <w:rFonts w:ascii="Times New Roman" w:eastAsia="Times New Roman" w:hAnsi="Times New Roman" w:cs="Times New Roman"/>
          <w:color w:val="333333"/>
          <w:sz w:val="14"/>
          <w:szCs w:val="14"/>
          <w:lang w:val="en-IN"/>
        </w:rPr>
        <w:t>           </w:t>
      </w:r>
      <w:r w:rsidRPr="00C24CD3">
        <w:rPr>
          <w:rFonts w:ascii="Times New Roman" w:eastAsia="Times New Roman" w:hAnsi="Times New Roman" w:cs="Times New Roman"/>
          <w:color w:val="333333"/>
          <w:sz w:val="24"/>
          <w:szCs w:val="24"/>
          <w:lang w:val="en-IN"/>
        </w:rPr>
        <w:t>marketing and pricing freedom for the crude oil and natural gas produced.</w:t>
      </w:r>
    </w:p>
    <w:p w:rsidR="00C24CD3" w:rsidRPr="00C24CD3" w:rsidRDefault="00C24CD3" w:rsidP="00C24CD3">
      <w:pPr>
        <w:spacing w:after="0" w:line="360" w:lineRule="atLeast"/>
        <w:ind w:firstLine="72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24"/>
          <w:szCs w:val="24"/>
          <w:lang w:val="en-IN"/>
        </w:rPr>
        <w:t> </w:t>
      </w:r>
    </w:p>
    <w:p w:rsidR="00C24CD3" w:rsidRPr="00C24CD3" w:rsidRDefault="00C24CD3" w:rsidP="00C24CD3">
      <w:pPr>
        <w:spacing w:after="0" w:line="360" w:lineRule="atLeast"/>
        <w:ind w:firstLine="720"/>
        <w:jc w:val="both"/>
        <w:rPr>
          <w:rFonts w:ascii="Times New Roman" w:eastAsia="Times New Roman" w:hAnsi="Times New Roman" w:cs="Times New Roman"/>
          <w:color w:val="333333"/>
          <w:sz w:val="24"/>
          <w:szCs w:val="24"/>
        </w:rPr>
      </w:pPr>
      <w:r w:rsidRPr="00C24CD3">
        <w:rPr>
          <w:rFonts w:ascii="Times New Roman" w:eastAsia="Times New Roman" w:hAnsi="Times New Roman" w:cs="Times New Roman"/>
          <w:color w:val="333333"/>
          <w:sz w:val="24"/>
          <w:szCs w:val="24"/>
          <w:lang w:val="en-IN"/>
        </w:rPr>
        <w:t>The decision will </w:t>
      </w:r>
      <w:r w:rsidRPr="00C24CD3">
        <w:rPr>
          <w:rFonts w:ascii="Times New Roman" w:eastAsia="Times New Roman" w:hAnsi="Times New Roman" w:cs="Times New Roman"/>
          <w:color w:val="333333"/>
          <w:sz w:val="24"/>
          <w:szCs w:val="24"/>
          <w:u w:val="single"/>
          <w:lang w:val="en-IN"/>
        </w:rPr>
        <w:t>enhance domestic oil &amp; gas production</w:t>
      </w:r>
      <w:r w:rsidRPr="00C24CD3">
        <w:rPr>
          <w:rFonts w:ascii="Times New Roman" w:eastAsia="Times New Roman" w:hAnsi="Times New Roman" w:cs="Times New Roman"/>
          <w:color w:val="333333"/>
          <w:sz w:val="24"/>
          <w:szCs w:val="24"/>
          <w:lang w:val="en-IN"/>
        </w:rPr>
        <w:t>, bring </w:t>
      </w:r>
      <w:r w:rsidRPr="00C24CD3">
        <w:rPr>
          <w:rFonts w:ascii="Times New Roman" w:eastAsia="Times New Roman" w:hAnsi="Times New Roman" w:cs="Times New Roman"/>
          <w:color w:val="333333"/>
          <w:sz w:val="24"/>
          <w:szCs w:val="24"/>
          <w:u w:val="single"/>
          <w:lang w:val="en-IN"/>
        </w:rPr>
        <w:t>substantial investment</w:t>
      </w:r>
      <w:r w:rsidRPr="00C24CD3">
        <w:rPr>
          <w:rFonts w:ascii="Times New Roman" w:eastAsia="Times New Roman" w:hAnsi="Times New Roman" w:cs="Times New Roman"/>
          <w:color w:val="333333"/>
          <w:sz w:val="24"/>
          <w:szCs w:val="24"/>
          <w:lang w:val="en-IN"/>
        </w:rPr>
        <w:t> in the sector and </w:t>
      </w:r>
      <w:r w:rsidRPr="00C24CD3">
        <w:rPr>
          <w:rFonts w:ascii="Times New Roman" w:eastAsia="Times New Roman" w:hAnsi="Times New Roman" w:cs="Times New Roman"/>
          <w:color w:val="333333"/>
          <w:sz w:val="24"/>
          <w:szCs w:val="24"/>
          <w:u w:val="single"/>
          <w:lang w:val="en-IN"/>
        </w:rPr>
        <w:t>generate sizable employment</w:t>
      </w:r>
      <w:r w:rsidRPr="00C24CD3">
        <w:rPr>
          <w:rFonts w:ascii="Times New Roman" w:eastAsia="Times New Roman" w:hAnsi="Times New Roman" w:cs="Times New Roman"/>
          <w:color w:val="333333"/>
          <w:sz w:val="24"/>
          <w:szCs w:val="24"/>
          <w:lang w:val="en-IN"/>
        </w:rPr>
        <w:t>. The policy is also aimed at </w:t>
      </w:r>
      <w:r w:rsidRPr="00C24CD3">
        <w:rPr>
          <w:rFonts w:ascii="Times New Roman" w:eastAsia="Times New Roman" w:hAnsi="Times New Roman" w:cs="Times New Roman"/>
          <w:color w:val="333333"/>
          <w:sz w:val="24"/>
          <w:szCs w:val="24"/>
          <w:u w:val="single"/>
          <w:lang w:val="en-IN"/>
        </w:rPr>
        <w:t>enhancing transparency </w:t>
      </w:r>
      <w:r w:rsidRPr="00C24CD3">
        <w:rPr>
          <w:rFonts w:ascii="Times New Roman" w:eastAsia="Times New Roman" w:hAnsi="Times New Roman" w:cs="Times New Roman"/>
          <w:color w:val="333333"/>
          <w:sz w:val="24"/>
          <w:szCs w:val="24"/>
          <w:lang w:val="en-IN"/>
        </w:rPr>
        <w:t>and </w:t>
      </w:r>
      <w:r w:rsidRPr="00C24CD3">
        <w:rPr>
          <w:rFonts w:ascii="Times New Roman" w:eastAsia="Times New Roman" w:hAnsi="Times New Roman" w:cs="Times New Roman"/>
          <w:color w:val="333333"/>
          <w:sz w:val="24"/>
          <w:szCs w:val="24"/>
          <w:u w:val="single"/>
          <w:lang w:val="en-IN"/>
        </w:rPr>
        <w:t>reducing administrative discretion</w:t>
      </w:r>
      <w:r w:rsidRPr="00C24CD3">
        <w:rPr>
          <w:rFonts w:ascii="Times New Roman" w:eastAsia="Times New Roman" w:hAnsi="Times New Roman" w:cs="Times New Roman"/>
          <w:color w:val="333333"/>
          <w:sz w:val="24"/>
          <w:szCs w:val="24"/>
          <w:lang w:val="en-IN"/>
        </w:rPr>
        <w:t>.</w:t>
      </w:r>
    </w:p>
    <w:p w:rsidR="00C24CD3" w:rsidRPr="00C24CD3" w:rsidRDefault="00C24CD3" w:rsidP="00C24CD3">
      <w:pPr>
        <w:spacing w:before="120" w:after="120" w:line="420" w:lineRule="atLeast"/>
        <w:ind w:firstLine="720"/>
        <w:jc w:val="both"/>
        <w:rPr>
          <w:rFonts w:ascii="Arial" w:eastAsia="Times New Roman" w:hAnsi="Arial" w:cs="Arial"/>
          <w:color w:val="333333"/>
          <w:sz w:val="28"/>
          <w:szCs w:val="28"/>
        </w:rPr>
      </w:pPr>
      <w:r w:rsidRPr="00C24CD3">
        <w:rPr>
          <w:rFonts w:ascii="Times New Roman" w:eastAsia="Times New Roman" w:hAnsi="Times New Roman" w:cs="Times New Roman"/>
          <w:color w:val="333333"/>
          <w:sz w:val="24"/>
          <w:szCs w:val="24"/>
          <w:lang w:val="en-IN"/>
        </w:rPr>
        <w:t>The </w:t>
      </w:r>
      <w:r w:rsidRPr="00C24CD3">
        <w:rPr>
          <w:rFonts w:ascii="Times New Roman" w:eastAsia="Times New Roman" w:hAnsi="Times New Roman" w:cs="Times New Roman"/>
          <w:color w:val="333333"/>
          <w:sz w:val="24"/>
          <w:szCs w:val="24"/>
          <w:u w:val="single"/>
          <w:lang w:val="en-IN"/>
        </w:rPr>
        <w:t>uniform licence</w:t>
      </w:r>
      <w:r w:rsidRPr="00C24CD3">
        <w:rPr>
          <w:rFonts w:ascii="Times New Roman" w:eastAsia="Times New Roman" w:hAnsi="Times New Roman" w:cs="Times New Roman"/>
          <w:color w:val="333333"/>
          <w:sz w:val="24"/>
          <w:szCs w:val="24"/>
          <w:lang w:val="en-IN"/>
        </w:rPr>
        <w:t> will enable the contractor to explore conventional as well as unconventional oil and gas resources including CBM, shale gas/oil, tight gas and gas hydrates under a single license.  The concept of </w:t>
      </w:r>
      <w:r w:rsidRPr="00C24CD3">
        <w:rPr>
          <w:rFonts w:ascii="Times New Roman" w:eastAsia="Times New Roman" w:hAnsi="Times New Roman" w:cs="Times New Roman"/>
          <w:color w:val="333333"/>
          <w:sz w:val="24"/>
          <w:szCs w:val="24"/>
          <w:u w:val="single"/>
          <w:lang w:val="en-IN"/>
        </w:rPr>
        <w:t>Open Acreage Policy</w:t>
      </w:r>
      <w:r w:rsidRPr="00C24CD3">
        <w:rPr>
          <w:rFonts w:ascii="Times New Roman" w:eastAsia="Times New Roman" w:hAnsi="Times New Roman" w:cs="Times New Roman"/>
          <w:color w:val="333333"/>
          <w:sz w:val="24"/>
          <w:szCs w:val="24"/>
          <w:lang w:val="en-IN"/>
        </w:rPr>
        <w:t> will enable E&amp;P companies choose the blocks from the designated area. </w:t>
      </w:r>
    </w:p>
    <w:p w:rsidR="00C24CD3" w:rsidRPr="00C24CD3" w:rsidRDefault="00C24CD3" w:rsidP="00C24CD3">
      <w:pPr>
        <w:spacing w:before="120" w:after="120" w:line="420" w:lineRule="atLeast"/>
        <w:ind w:firstLine="720"/>
        <w:jc w:val="both"/>
        <w:rPr>
          <w:rFonts w:ascii="Arial" w:eastAsia="Times New Roman" w:hAnsi="Arial" w:cs="Arial"/>
          <w:color w:val="333333"/>
          <w:sz w:val="28"/>
          <w:szCs w:val="28"/>
        </w:rPr>
      </w:pPr>
      <w:r w:rsidRPr="00C24CD3">
        <w:rPr>
          <w:rFonts w:ascii="Times New Roman" w:eastAsia="Times New Roman" w:hAnsi="Times New Roman" w:cs="Times New Roman"/>
          <w:color w:val="333333"/>
          <w:sz w:val="24"/>
          <w:szCs w:val="24"/>
          <w:lang w:val="en-IN"/>
        </w:rPr>
        <w:t>P</w:t>
      </w:r>
      <w:r w:rsidRPr="00C24CD3">
        <w:rPr>
          <w:rFonts w:ascii="Times New Roman" w:eastAsia="Times New Roman" w:hAnsi="Times New Roman" w:cs="Times New Roman"/>
          <w:color w:val="333333"/>
          <w:sz w:val="24"/>
          <w:szCs w:val="24"/>
          <w:lang w:val="en-GB"/>
        </w:rPr>
        <w:t>resent fiscal system of production sharing based on Investment Multiple and cost recovery /production linked payment will be replaced </w:t>
      </w:r>
      <w:r w:rsidRPr="00C24CD3">
        <w:rPr>
          <w:rFonts w:ascii="Times New Roman" w:eastAsia="Times New Roman" w:hAnsi="Times New Roman" w:cs="Times New Roman"/>
          <w:color w:val="333333"/>
          <w:sz w:val="24"/>
          <w:szCs w:val="24"/>
          <w:lang w:val="en-IN"/>
        </w:rPr>
        <w:t>by a easy to administer </w:t>
      </w:r>
      <w:r w:rsidRPr="00C24CD3">
        <w:rPr>
          <w:rFonts w:ascii="Times New Roman" w:eastAsia="Times New Roman" w:hAnsi="Times New Roman" w:cs="Times New Roman"/>
          <w:color w:val="333333"/>
          <w:sz w:val="24"/>
          <w:szCs w:val="24"/>
          <w:u w:val="single"/>
          <w:lang w:val="en-IN"/>
        </w:rPr>
        <w:t>revenue sharing model</w:t>
      </w:r>
      <w:r w:rsidRPr="00C24CD3">
        <w:rPr>
          <w:rFonts w:ascii="Times New Roman" w:eastAsia="Times New Roman" w:hAnsi="Times New Roman" w:cs="Times New Roman"/>
          <w:color w:val="333333"/>
          <w:sz w:val="24"/>
          <w:szCs w:val="24"/>
          <w:lang w:val="en-IN"/>
        </w:rPr>
        <w:t>. </w:t>
      </w:r>
      <w:r w:rsidRPr="00C24CD3">
        <w:rPr>
          <w:rFonts w:ascii="Times New Roman" w:eastAsia="Times New Roman" w:hAnsi="Times New Roman" w:cs="Times New Roman"/>
          <w:color w:val="000000"/>
          <w:sz w:val="24"/>
          <w:szCs w:val="24"/>
          <w:lang w:val="en-IN"/>
        </w:rPr>
        <w:t>The earlier contracts were based on the concept of profit sharing where profits are shared between Government and the contractor after recovery of cost. Under the profit sharing methodology, it became necessary for the Government to scrutinize cost details of private participants and this led to many delays and disputes. Under the new regime, the Government will not be concerned with the cost incurred and will receive a share of the gross revenue from the sale of oil, gas etc. This is in tune with Government’s policy of “</w:t>
      </w:r>
      <w:r w:rsidRPr="00C24CD3">
        <w:rPr>
          <w:rFonts w:ascii="Times New Roman" w:eastAsia="Times New Roman" w:hAnsi="Times New Roman" w:cs="Times New Roman"/>
          <w:color w:val="000000"/>
          <w:sz w:val="24"/>
          <w:szCs w:val="24"/>
          <w:u w:val="single"/>
          <w:lang w:val="en-IN"/>
        </w:rPr>
        <w:t>Ease of Doing Business</w:t>
      </w:r>
      <w:r w:rsidRPr="00C24CD3">
        <w:rPr>
          <w:rFonts w:ascii="Times New Roman" w:eastAsia="Times New Roman" w:hAnsi="Times New Roman" w:cs="Times New Roman"/>
          <w:color w:val="000000"/>
          <w:sz w:val="24"/>
          <w:szCs w:val="24"/>
          <w:lang w:val="en-IN"/>
        </w:rPr>
        <w:t>”.</w:t>
      </w:r>
    </w:p>
    <w:p w:rsidR="00C24CD3" w:rsidRPr="00C24CD3" w:rsidRDefault="00C24CD3" w:rsidP="00C24CD3">
      <w:pPr>
        <w:spacing w:before="120" w:after="120" w:line="420" w:lineRule="atLeast"/>
        <w:ind w:firstLine="720"/>
        <w:jc w:val="both"/>
        <w:rPr>
          <w:rFonts w:ascii="Arial" w:eastAsia="Times New Roman" w:hAnsi="Arial" w:cs="Arial"/>
          <w:color w:val="333333"/>
          <w:sz w:val="28"/>
          <w:szCs w:val="28"/>
        </w:rPr>
      </w:pPr>
      <w:r w:rsidRPr="00C24CD3">
        <w:rPr>
          <w:rFonts w:ascii="Times New Roman" w:eastAsia="Times New Roman" w:hAnsi="Times New Roman" w:cs="Times New Roman"/>
          <w:color w:val="333333"/>
          <w:sz w:val="24"/>
          <w:szCs w:val="24"/>
          <w:lang w:val="en-IN"/>
        </w:rPr>
        <w:t xml:space="preserve">Recognising the higher risks and costs involved in exploration and production from offshore areas, lower royalty rates for such areas have been provided as compared to NELP royalty rates to encourage exploration and production.  A graded system of royalty rates have been </w:t>
      </w:r>
      <w:r w:rsidRPr="00C24CD3">
        <w:rPr>
          <w:rFonts w:ascii="Times New Roman" w:eastAsia="Times New Roman" w:hAnsi="Times New Roman" w:cs="Times New Roman"/>
          <w:color w:val="333333"/>
          <w:sz w:val="24"/>
          <w:szCs w:val="24"/>
          <w:lang w:val="en-IN"/>
        </w:rPr>
        <w:lastRenderedPageBreak/>
        <w:t>introduced, in which royalty rates decreases from shallow water to deepwater and ultra-deep water. At the same time, royalty rate for onland areas have been kept intact so that revenues to the state governments are not affected. On the lines of NELP, cess and import duty will not be applicable on blocks awarded under the new policy.  This policy also provides for </w:t>
      </w:r>
      <w:r w:rsidRPr="00C24CD3">
        <w:rPr>
          <w:rFonts w:ascii="Times New Roman" w:eastAsia="Times New Roman" w:hAnsi="Times New Roman" w:cs="Times New Roman"/>
          <w:color w:val="333333"/>
          <w:sz w:val="24"/>
          <w:szCs w:val="24"/>
          <w:u w:val="single"/>
          <w:lang w:val="en-IN"/>
        </w:rPr>
        <w:t>marketing freedom</w:t>
      </w:r>
      <w:r w:rsidRPr="00C24CD3">
        <w:rPr>
          <w:rFonts w:ascii="Times New Roman" w:eastAsia="Times New Roman" w:hAnsi="Times New Roman" w:cs="Times New Roman"/>
          <w:color w:val="333333"/>
          <w:sz w:val="24"/>
          <w:szCs w:val="24"/>
          <w:lang w:val="en-IN"/>
        </w:rPr>
        <w:t> for crude oil and natural gas produced from these blocks. </w:t>
      </w:r>
      <w:r w:rsidRPr="00C24CD3">
        <w:rPr>
          <w:rFonts w:ascii="Times New Roman" w:eastAsia="Times New Roman" w:hAnsi="Times New Roman" w:cs="Times New Roman"/>
          <w:color w:val="000000"/>
          <w:sz w:val="24"/>
          <w:szCs w:val="24"/>
          <w:lang w:val="en-IN"/>
        </w:rPr>
        <w:t>This is in tune with Government’s policy of “</w:t>
      </w:r>
      <w:r w:rsidRPr="00C24CD3">
        <w:rPr>
          <w:rFonts w:ascii="Times New Roman" w:eastAsia="Times New Roman" w:hAnsi="Times New Roman" w:cs="Times New Roman"/>
          <w:color w:val="000000"/>
          <w:sz w:val="24"/>
          <w:szCs w:val="24"/>
          <w:u w:val="single"/>
          <w:lang w:val="en-IN"/>
        </w:rPr>
        <w:t>Minimum Government –Maximum Governance</w:t>
      </w:r>
      <w:r w:rsidRPr="00C24CD3">
        <w:rPr>
          <w:rFonts w:ascii="Times New Roman" w:eastAsia="Times New Roman" w:hAnsi="Times New Roman" w:cs="Times New Roman"/>
          <w:color w:val="000000"/>
          <w:sz w:val="24"/>
          <w:szCs w:val="24"/>
          <w:lang w:val="en-IN"/>
        </w:rPr>
        <w:t>”</w:t>
      </w:r>
    </w:p>
    <w:p w:rsidR="00341FE5" w:rsidRDefault="00341FE5">
      <w:bookmarkStart w:id="0" w:name="_GoBack"/>
      <w:bookmarkEnd w:id="0"/>
    </w:p>
    <w:sectPr w:rsidR="00341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CD3"/>
    <w:rsid w:val="00341FE5"/>
    <w:rsid w:val="00C24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D739F-DDC8-48FC-94D1-B394A4DA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24CD3"/>
  </w:style>
  <w:style w:type="paragraph" w:styleId="BodyText">
    <w:name w:val="Body Text"/>
    <w:basedOn w:val="Normal"/>
    <w:link w:val="BodyTextChar"/>
    <w:uiPriority w:val="99"/>
    <w:semiHidden/>
    <w:unhideWhenUsed/>
    <w:rsid w:val="00C24C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C24CD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514262">
      <w:bodyDiv w:val="1"/>
      <w:marLeft w:val="0"/>
      <w:marRight w:val="0"/>
      <w:marTop w:val="0"/>
      <w:marBottom w:val="0"/>
      <w:divBdr>
        <w:top w:val="none" w:sz="0" w:space="0" w:color="auto"/>
        <w:left w:val="none" w:sz="0" w:space="0" w:color="auto"/>
        <w:bottom w:val="none" w:sz="0" w:space="0" w:color="auto"/>
        <w:right w:val="none" w:sz="0" w:space="0" w:color="auto"/>
      </w:divBdr>
      <w:divsChild>
        <w:div w:id="1783957247">
          <w:marLeft w:val="0"/>
          <w:marRight w:val="0"/>
          <w:marTop w:val="0"/>
          <w:marBottom w:val="0"/>
          <w:divBdr>
            <w:top w:val="none" w:sz="0" w:space="0" w:color="auto"/>
            <w:left w:val="none" w:sz="0" w:space="0" w:color="auto"/>
            <w:bottom w:val="single" w:sz="6" w:space="0" w:color="008080"/>
            <w:right w:val="none" w:sz="0" w:space="0" w:color="auto"/>
          </w:divBdr>
        </w:div>
        <w:div w:id="192218285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2016-03-18T10:11:00Z</dcterms:created>
  <dcterms:modified xsi:type="dcterms:W3CDTF">2016-03-18T10:12:00Z</dcterms:modified>
</cp:coreProperties>
</file>