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C3656">
      <w:pPr>
        <w:pStyle w:val="z-TopofForm"/>
        <w:divId w:val="816386708"/>
      </w:pPr>
      <w:r>
        <w:t>Top of Form</w:t>
      </w:r>
    </w:p>
    <w:p w:rsidR="00000000" w:rsidRDefault="002C3656">
      <w:pPr>
        <w:spacing w:before="0" w:beforeAutospacing="0" w:after="0" w:afterAutospacing="0"/>
        <w:divId w:val="816386708"/>
        <w:rPr>
          <w:rFonts w:eastAsia="Times New Roman"/>
          <w:sz w:val="15"/>
          <w:szCs w:val="15"/>
          <w:lang/>
        </w:rPr>
      </w:pPr>
      <w:r>
        <w:rPr>
          <w:rFonts w:eastAsia="Times New Roman"/>
          <w:sz w:val="15"/>
          <w:szCs w:val="15"/>
          <w:lang/>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in;height:18pt" o:ole="">
            <v:imagedata r:id="rId5" o:title=""/>
          </v:shape>
          <w:control r:id="rId6" w:name="DefaultOcxName" w:shapeid="_x0000_i1054"/>
        </w:object>
      </w:r>
      <w:r>
        <w:rPr>
          <w:rFonts w:eastAsia="Times New Roman"/>
          <w:sz w:val="15"/>
          <w:szCs w:val="15"/>
          <w:lang/>
        </w:rPr>
        <w:object w:dxaOrig="1440" w:dyaOrig="1440">
          <v:shape id="_x0000_i1057" type="#_x0000_t75" style="width:1in;height:18pt" o:ole="">
            <v:imagedata r:id="rId7" o:title=""/>
          </v:shape>
          <w:control r:id="rId8" w:name="DefaultOcxName1" w:shapeid="_x0000_i1057"/>
        </w:object>
      </w:r>
    </w:p>
    <w:tbl>
      <w:tblPr>
        <w:tblW w:w="5000" w:type="pct"/>
        <w:tblCellSpacing w:w="15" w:type="dxa"/>
        <w:tblCellMar>
          <w:top w:w="50" w:type="dxa"/>
          <w:left w:w="50" w:type="dxa"/>
          <w:bottom w:w="50" w:type="dxa"/>
          <w:right w:w="50" w:type="dxa"/>
        </w:tblCellMar>
        <w:tblLook w:val="04A0"/>
      </w:tblPr>
      <w:tblGrid>
        <w:gridCol w:w="81"/>
        <w:gridCol w:w="8954"/>
        <w:gridCol w:w="81"/>
      </w:tblGrid>
      <w:tr w:rsidR="00000000">
        <w:trPr>
          <w:divId w:val="816386708"/>
          <w:tblCellSpacing w:w="15" w:type="dxa"/>
        </w:trPr>
        <w:tc>
          <w:tcPr>
            <w:tcW w:w="0" w:type="auto"/>
            <w:gridSpan w:val="3"/>
            <w:tcMar>
              <w:top w:w="15" w:type="dxa"/>
              <w:left w:w="15" w:type="dxa"/>
              <w:bottom w:w="15" w:type="dxa"/>
              <w:right w:w="15" w:type="dxa"/>
            </w:tcMar>
            <w:vAlign w:val="center"/>
            <w:hideMark/>
          </w:tcPr>
          <w:p w:rsidR="00000000" w:rsidRDefault="002C3656">
            <w:pPr>
              <w:spacing w:before="0" w:beforeAutospacing="0" w:after="0" w:afterAutospacing="0"/>
              <w:jc w:val="center"/>
              <w:rPr>
                <w:rFonts w:eastAsia="Times New Roman"/>
                <w:sz w:val="15"/>
                <w:szCs w:val="15"/>
              </w:rPr>
            </w:pPr>
          </w:p>
        </w:tc>
      </w:tr>
      <w:tr w:rsidR="00000000">
        <w:trPr>
          <w:divId w:val="816386708"/>
          <w:tblCellSpacing w:w="15" w:type="dxa"/>
        </w:trPr>
        <w:tc>
          <w:tcPr>
            <w:tcW w:w="0" w:type="auto"/>
            <w:tcMar>
              <w:top w:w="15" w:type="dxa"/>
              <w:left w:w="15" w:type="dxa"/>
              <w:bottom w:w="15" w:type="dxa"/>
              <w:right w:w="15" w:type="dxa"/>
            </w:tcMar>
            <w:vAlign w:val="center"/>
            <w:hideMark/>
          </w:tcPr>
          <w:p w:rsidR="00000000" w:rsidRDefault="002C3656">
            <w:pPr>
              <w:spacing w:before="0" w:beforeAutospacing="0" w:after="0" w:afterAutospacing="0"/>
              <w:jc w:val="center"/>
              <w:rPr>
                <w:rFonts w:eastAsia="Times New Roman"/>
                <w:sz w:val="15"/>
                <w:szCs w:val="15"/>
              </w:rPr>
            </w:pPr>
          </w:p>
        </w:tc>
        <w:tc>
          <w:tcPr>
            <w:tcW w:w="10000" w:type="dxa"/>
            <w:tcMar>
              <w:top w:w="15" w:type="dxa"/>
              <w:left w:w="15" w:type="dxa"/>
              <w:bottom w:w="15" w:type="dxa"/>
              <w:right w:w="15" w:type="dxa"/>
            </w:tcMar>
            <w:vAlign w:val="center"/>
            <w:hideMark/>
          </w:tcPr>
          <w:tbl>
            <w:tblPr>
              <w:tblW w:w="5000" w:type="pct"/>
              <w:tblCellSpacing w:w="0" w:type="dxa"/>
              <w:tblCellMar>
                <w:top w:w="50" w:type="dxa"/>
                <w:left w:w="50" w:type="dxa"/>
                <w:bottom w:w="50" w:type="dxa"/>
                <w:right w:w="50" w:type="dxa"/>
              </w:tblCellMar>
              <w:tblLook w:val="04A0"/>
            </w:tblPr>
            <w:tblGrid>
              <w:gridCol w:w="8894"/>
            </w:tblGrid>
            <w:tr w:rsidR="00000000">
              <w:trPr>
                <w:divId w:val="524444984"/>
                <w:tblCellSpacing w:w="0" w:type="dxa"/>
              </w:trPr>
              <w:tc>
                <w:tcPr>
                  <w:tcW w:w="0" w:type="auto"/>
                  <w:tcMar>
                    <w:top w:w="30" w:type="dxa"/>
                    <w:left w:w="30" w:type="dxa"/>
                    <w:bottom w:w="30" w:type="dxa"/>
                    <w:right w:w="30" w:type="dxa"/>
                  </w:tcMar>
                  <w:vAlign w:val="bottom"/>
                  <w:hideMark/>
                </w:tcPr>
                <w:tbl>
                  <w:tblPr>
                    <w:tblW w:w="0" w:type="auto"/>
                    <w:tblCellSpacing w:w="0" w:type="dxa"/>
                    <w:tblCellMar>
                      <w:left w:w="0" w:type="dxa"/>
                      <w:right w:w="0" w:type="dxa"/>
                    </w:tblCellMar>
                    <w:tblLook w:val="04A0"/>
                  </w:tblPr>
                  <w:tblGrid>
                    <w:gridCol w:w="6"/>
                    <w:gridCol w:w="510"/>
                    <w:gridCol w:w="200"/>
                  </w:tblGrid>
                  <w:tr w:rsidR="00000000">
                    <w:trPr>
                      <w:tblCellSpacing w:w="0" w:type="dxa"/>
                    </w:trPr>
                    <w:tc>
                      <w:tcPr>
                        <w:tcW w:w="0" w:type="auto"/>
                        <w:vAlign w:val="center"/>
                        <w:hideMark/>
                      </w:tcPr>
                      <w:p w:rsidR="00000000" w:rsidRDefault="002C3656">
                        <w:pPr>
                          <w:spacing w:before="0" w:beforeAutospacing="0" w:after="0" w:afterAutospacing="0"/>
                          <w:rPr>
                            <w:rFonts w:eastAsia="Times New Roman"/>
                            <w:sz w:val="15"/>
                            <w:szCs w:val="15"/>
                          </w:rPr>
                        </w:pPr>
                      </w:p>
                    </w:tc>
                    <w:tc>
                      <w:tcPr>
                        <w:tcW w:w="0" w:type="auto"/>
                        <w:vAlign w:val="center"/>
                        <w:hideMark/>
                      </w:tcPr>
                      <w:p w:rsidR="00000000" w:rsidRDefault="002C3656">
                        <w:pPr>
                          <w:spacing w:before="0" w:beforeAutospacing="0" w:after="0" w:afterAutospacing="0"/>
                          <w:rPr>
                            <w:rFonts w:eastAsia="Times New Roman"/>
                            <w:sz w:val="15"/>
                            <w:szCs w:val="15"/>
                          </w:rPr>
                        </w:pPr>
                        <w:r>
                          <w:rPr>
                            <w:rFonts w:eastAsia="Times New Roman"/>
                            <w:noProof/>
                            <w:sz w:val="15"/>
                            <w:szCs w:val="15"/>
                          </w:rPr>
                          <w:drawing>
                            <wp:inline distT="0" distB="0" distL="0" distR="0">
                              <wp:extent cx="304800" cy="304800"/>
                              <wp:effectExtent l="19050" t="0" r="0" b="0"/>
                              <wp:docPr id="3" name="mainimage1" descr="QatarLegis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age1" descr="QatarLegislations"/>
                                      <pic:cNvPicPr>
                                        <a:picLocks noChangeAspect="1" noChangeArrowheads="1"/>
                                      </pic:cNvPicPr>
                                    </pic:nvPicPr>
                                    <pic:blipFill>
                                      <a:blip r:link="rId9"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00" w:type="dxa"/>
                        <w:vAlign w:val="center"/>
                        <w:hideMark/>
                      </w:tcPr>
                      <w:p w:rsidR="00000000" w:rsidRDefault="002C3656">
                        <w:pPr>
                          <w:spacing w:before="0" w:beforeAutospacing="0" w:after="0" w:afterAutospacing="0"/>
                          <w:rPr>
                            <w:rFonts w:eastAsia="Times New Roman"/>
                            <w:sz w:val="15"/>
                            <w:szCs w:val="15"/>
                          </w:rPr>
                        </w:pPr>
                      </w:p>
                    </w:tc>
                  </w:tr>
                </w:tbl>
                <w:p w:rsidR="00000000" w:rsidRDefault="002C3656">
                  <w:pPr>
                    <w:spacing w:before="0" w:beforeAutospacing="0" w:after="0" w:afterAutospacing="0"/>
                    <w:rPr>
                      <w:rFonts w:eastAsia="Times New Roman"/>
                      <w:sz w:val="15"/>
                      <w:szCs w:val="15"/>
                    </w:rPr>
                  </w:pPr>
                </w:p>
              </w:tc>
            </w:tr>
            <w:tr w:rsidR="00000000">
              <w:trPr>
                <w:divId w:val="524444984"/>
                <w:tblCellSpacing w:w="0" w:type="dxa"/>
              </w:trPr>
              <w:tc>
                <w:tcPr>
                  <w:tcW w:w="0" w:type="auto"/>
                  <w:vAlign w:val="center"/>
                  <w:hideMark/>
                </w:tcPr>
                <w:p w:rsidR="00000000" w:rsidRDefault="002C3656">
                  <w:pPr>
                    <w:spacing w:before="0" w:beforeAutospacing="0" w:after="0" w:afterAutospacing="0"/>
                    <w:jc w:val="center"/>
                    <w:rPr>
                      <w:rFonts w:eastAsia="Times New Roman"/>
                      <w:b/>
                      <w:bCs/>
                      <w:color w:val="000080"/>
                      <w:sz w:val="20"/>
                      <w:szCs w:val="20"/>
                    </w:rPr>
                  </w:pPr>
                </w:p>
              </w:tc>
            </w:tr>
            <w:tr w:rsidR="00000000">
              <w:trPr>
                <w:divId w:val="524444984"/>
                <w:tblCellSpacing w:w="0" w:type="dxa"/>
              </w:trPr>
              <w:tc>
                <w:tcPr>
                  <w:tcW w:w="0" w:type="auto"/>
                  <w:vAlign w:val="center"/>
                  <w:hideMark/>
                </w:tcPr>
                <w:p w:rsidR="00000000" w:rsidRDefault="002C3656">
                  <w:pPr>
                    <w:spacing w:before="0" w:beforeAutospacing="0" w:after="0" w:afterAutospacing="0"/>
                    <w:jc w:val="center"/>
                    <w:rPr>
                      <w:rFonts w:eastAsia="Times New Roman"/>
                      <w:b/>
                      <w:bCs/>
                      <w:color w:val="8E073E"/>
                      <w:sz w:val="30"/>
                      <w:szCs w:val="30"/>
                    </w:rPr>
                  </w:pPr>
                  <w:r>
                    <w:rPr>
                      <w:rFonts w:eastAsia="Times New Roman"/>
                      <w:b/>
                      <w:bCs/>
                      <w:color w:val="8E073E"/>
                      <w:sz w:val="30"/>
                      <w:szCs w:val="30"/>
                    </w:rPr>
                    <w:t xml:space="preserve">Decree Law No. 4 of 1977 on Preserving Petroleum Resources 4 / 1977 </w:t>
                  </w:r>
                </w:p>
              </w:tc>
            </w:tr>
            <w:tr w:rsidR="00000000">
              <w:trPr>
                <w:divId w:val="524444984"/>
                <w:tblCellSpacing w:w="0" w:type="dxa"/>
              </w:trPr>
              <w:tc>
                <w:tcPr>
                  <w:tcW w:w="0" w:type="auto"/>
                  <w:vAlign w:val="center"/>
                  <w:hideMark/>
                </w:tcPr>
                <w:p w:rsidR="00000000" w:rsidRDefault="002C3656">
                  <w:pPr>
                    <w:spacing w:before="0" w:beforeAutospacing="0" w:after="0" w:afterAutospacing="0"/>
                    <w:jc w:val="center"/>
                    <w:rPr>
                      <w:rFonts w:eastAsia="Times New Roman"/>
                      <w:sz w:val="15"/>
                      <w:szCs w:val="15"/>
                    </w:rPr>
                  </w:pPr>
                  <w:r>
                    <w:rPr>
                      <w:rFonts w:eastAsia="Times New Roman"/>
                      <w:sz w:val="15"/>
                      <w:szCs w:val="15"/>
                    </w:rPr>
                    <w:t xml:space="preserve">Number of Articles: 15 </w:t>
                  </w:r>
                </w:p>
              </w:tc>
            </w:tr>
            <w:tr w:rsidR="00000000">
              <w:trPr>
                <w:divId w:val="524444984"/>
                <w:tblCellSpacing w:w="0" w:type="dxa"/>
              </w:trPr>
              <w:tc>
                <w:tcPr>
                  <w:tcW w:w="0" w:type="auto"/>
                  <w:vAlign w:val="center"/>
                  <w:hideMark/>
                </w:tcPr>
                <w:p w:rsidR="00000000" w:rsidRDefault="002C3656">
                  <w:pPr>
                    <w:spacing w:before="0" w:beforeAutospacing="0" w:after="0" w:afterAutospacing="0"/>
                    <w:jc w:val="center"/>
                    <w:divId w:val="1851331887"/>
                    <w:rPr>
                      <w:rFonts w:eastAsia="Times New Roman"/>
                      <w:sz w:val="15"/>
                      <w:szCs w:val="15"/>
                    </w:rPr>
                  </w:pPr>
                  <w:r>
                    <w:rPr>
                      <w:rFonts w:eastAsia="Times New Roman"/>
                      <w:noProof/>
                      <w:sz w:val="15"/>
                      <w:szCs w:val="15"/>
                    </w:rPr>
                    <w:drawing>
                      <wp:inline distT="0" distB="0" distL="0" distR="0">
                        <wp:extent cx="381000" cy="381000"/>
                        <wp:effectExtent l="19050" t="0" r="0" b="0"/>
                        <wp:docPr id="4" name="mainstar" descr="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tar" descr="star"/>
                                <pic:cNvPicPr>
                                  <a:picLocks noChangeAspect="1" noChangeArrowheads="1"/>
                                </pic:cNvPicPr>
                              </pic:nvPicPr>
                              <pic:blipFill>
                                <a:blip r:link="rId10"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r>
                    <w:rPr>
                      <w:rFonts w:eastAsia="Times New Roman"/>
                      <w:sz w:val="15"/>
                      <w:szCs w:val="15"/>
                    </w:rPr>
                    <w:t> Stars icon indicate that some articles are amende</w:t>
                  </w:r>
                  <w:r>
                    <w:rPr>
                      <w:rFonts w:eastAsia="Times New Roman"/>
                      <w:sz w:val="15"/>
                      <w:szCs w:val="15"/>
                    </w:rPr>
                    <w:t>d</w:t>
                  </w:r>
                  <w:r>
                    <w:rPr>
                      <w:rFonts w:eastAsia="Times New Roman"/>
                      <w:sz w:val="15"/>
                      <w:szCs w:val="15"/>
                    </w:rPr>
                    <w:t xml:space="preserve"> </w:t>
                  </w:r>
                </w:p>
              </w:tc>
            </w:tr>
            <w:tr w:rsidR="00000000">
              <w:trPr>
                <w:divId w:val="524444984"/>
                <w:tblCellSpacing w:w="0" w:type="dxa"/>
              </w:trPr>
              <w:tc>
                <w:tcPr>
                  <w:tcW w:w="0" w:type="auto"/>
                  <w:vAlign w:val="center"/>
                  <w:hideMark/>
                </w:tcPr>
                <w:p w:rsidR="00000000" w:rsidRDefault="002C3656">
                  <w:pPr>
                    <w:spacing w:before="0" w:beforeAutospacing="0" w:after="0" w:afterAutospacing="0"/>
                    <w:rPr>
                      <w:rFonts w:eastAsia="Times New Roman"/>
                      <w:b/>
                      <w:bCs/>
                      <w:color w:val="313131"/>
                      <w:sz w:val="18"/>
                      <w:szCs w:val="18"/>
                    </w:rPr>
                  </w:pPr>
                  <w:r>
                    <w:rPr>
                      <w:rFonts w:eastAsia="Times New Roman"/>
                      <w:b/>
                      <w:bCs/>
                      <w:color w:val="313131"/>
                      <w:sz w:val="18"/>
                      <w:szCs w:val="18"/>
                      <w:u w:val="single"/>
                    </w:rPr>
                    <w:t>Table of Content</w:t>
                  </w:r>
                  <w:r>
                    <w:rPr>
                      <w:rFonts w:eastAsia="Times New Roman"/>
                      <w:b/>
                      <w:bCs/>
                      <w:color w:val="313131"/>
                      <w:sz w:val="18"/>
                      <w:szCs w:val="18"/>
                    </w:rPr>
                    <w:t xml:space="preserve"> </w:t>
                  </w:r>
                </w:p>
              </w:tc>
            </w:tr>
            <w:tr w:rsidR="00000000">
              <w:trPr>
                <w:divId w:val="524444984"/>
                <w:tblCellSpacing w:w="0" w:type="dxa"/>
              </w:trPr>
              <w:tc>
                <w:tcPr>
                  <w:tcW w:w="0" w:type="auto"/>
                  <w:vAlign w:val="center"/>
                  <w:hideMark/>
                </w:tcPr>
                <w:p w:rsidR="00000000" w:rsidRDefault="002C3656">
                  <w:pPr>
                    <w:pStyle w:val="NormalWeb"/>
                    <w:rPr>
                      <w:sz w:val="15"/>
                      <w:szCs w:val="15"/>
                    </w:rPr>
                  </w:pPr>
                  <w:hyperlink w:anchor="Section_10152" w:history="1">
                    <w:r>
                      <w:rPr>
                        <w:rStyle w:val="Hyperlink"/>
                      </w:rPr>
                      <w:t>Articles (1-15)</w:t>
                    </w:r>
                  </w:hyperlink>
                </w:p>
              </w:tc>
            </w:tr>
            <w:tr w:rsidR="00000000">
              <w:trPr>
                <w:divId w:val="524444984"/>
                <w:tblCellSpacing w:w="0" w:type="dxa"/>
              </w:trPr>
              <w:tc>
                <w:tcPr>
                  <w:tcW w:w="0" w:type="auto"/>
                  <w:vAlign w:val="center"/>
                  <w:hideMark/>
                </w:tcPr>
                <w:p w:rsidR="00000000" w:rsidRDefault="002C3656">
                  <w:pPr>
                    <w:pStyle w:val="NormalWeb"/>
                    <w:spacing w:after="240" w:afterAutospacing="0"/>
                    <w:rPr>
                      <w:color w:val="313131"/>
                      <w:sz w:val="20"/>
                      <w:szCs w:val="20"/>
                    </w:rPr>
                  </w:pPr>
                </w:p>
                <w:p w:rsidR="00000000" w:rsidRDefault="002C3656">
                  <w:pPr>
                    <w:spacing w:before="0" w:beforeAutospacing="0" w:after="0" w:afterAutospacing="0"/>
                    <w:divId w:val="1026636082"/>
                    <w:rPr>
                      <w:rFonts w:eastAsia="Times New Roman"/>
                      <w:color w:val="313131"/>
                      <w:sz w:val="20"/>
                      <w:szCs w:val="20"/>
                    </w:rPr>
                  </w:pPr>
                  <w:r>
                    <w:rPr>
                      <w:rFonts w:eastAsia="Times New Roman"/>
                      <w:color w:val="313131"/>
                      <w:sz w:val="20"/>
                      <w:szCs w:val="20"/>
                    </w:rPr>
                    <w:t>We, Hamad Bin Khalifa Al-Thani, Deputy-Emir of the State of Qatar;</w:t>
                  </w:r>
                </w:p>
                <w:p w:rsidR="00000000" w:rsidRDefault="002C3656">
                  <w:pPr>
                    <w:spacing w:before="0" w:beforeAutospacing="0" w:after="0" w:afterAutospacing="0"/>
                    <w:divId w:val="1026636082"/>
                    <w:rPr>
                      <w:rFonts w:eastAsia="Times New Roman"/>
                      <w:color w:val="313131"/>
                      <w:sz w:val="20"/>
                      <w:szCs w:val="20"/>
                    </w:rPr>
                  </w:pPr>
                  <w:r>
                    <w:rPr>
                      <w:rFonts w:eastAsia="Times New Roman"/>
                      <w:color w:val="313131"/>
                      <w:sz w:val="20"/>
                      <w:szCs w:val="20"/>
                    </w:rPr>
                    <w:t xml:space="preserve">Having perused the </w:t>
                  </w:r>
                  <w:hyperlink r:id="rId11" w:history="1">
                    <w:r>
                      <w:rPr>
                        <w:rStyle w:val="Hyperlink"/>
                        <w:rFonts w:eastAsia="Times New Roman"/>
                      </w:rPr>
                      <w:t>Amended Provisional Constitution</w:t>
                    </w:r>
                  </w:hyperlink>
                  <w:r>
                    <w:rPr>
                      <w:rFonts w:eastAsia="Times New Roman"/>
                      <w:color w:val="313131"/>
                      <w:sz w:val="20"/>
                      <w:szCs w:val="20"/>
                    </w:rPr>
                    <w:t xml:space="preserve">, in particular Articles </w:t>
                  </w:r>
                  <w:hyperlink r:id="rId12" w:history="1">
                    <w:r>
                      <w:rPr>
                        <w:rStyle w:val="Hyperlink"/>
                        <w:rFonts w:eastAsia="Times New Roman"/>
                      </w:rPr>
                      <w:t>22</w:t>
                    </w:r>
                  </w:hyperlink>
                  <w:r>
                    <w:rPr>
                      <w:rFonts w:eastAsia="Times New Roman"/>
                      <w:color w:val="313131"/>
                      <w:sz w:val="20"/>
                      <w:szCs w:val="20"/>
                    </w:rPr>
                    <w:t xml:space="preserve">, </w:t>
                  </w:r>
                  <w:hyperlink r:id="rId13" w:history="1">
                    <w:r>
                      <w:rPr>
                        <w:rStyle w:val="Hyperlink"/>
                        <w:rFonts w:eastAsia="Times New Roman"/>
                      </w:rPr>
                      <w:t>23</w:t>
                    </w:r>
                  </w:hyperlink>
                  <w:r>
                    <w:rPr>
                      <w:rFonts w:eastAsia="Times New Roman"/>
                      <w:color w:val="313131"/>
                      <w:sz w:val="20"/>
                      <w:szCs w:val="20"/>
                    </w:rPr>
                    <w:t xml:space="preserve">, and </w:t>
                  </w:r>
                  <w:hyperlink r:id="rId14" w:history="1">
                    <w:r>
                      <w:rPr>
                        <w:rStyle w:val="Hyperlink"/>
                        <w:rFonts w:eastAsia="Times New Roman"/>
                      </w:rPr>
                      <w:t>34</w:t>
                    </w:r>
                  </w:hyperlink>
                  <w:r>
                    <w:rPr>
                      <w:rFonts w:eastAsia="Times New Roman"/>
                      <w:color w:val="313131"/>
                      <w:sz w:val="20"/>
                      <w:szCs w:val="20"/>
                    </w:rPr>
                    <w:t xml:space="preserve"> thereof;</w:t>
                  </w:r>
                </w:p>
                <w:p w:rsidR="00000000" w:rsidRDefault="002C3656">
                  <w:pPr>
                    <w:spacing w:before="0" w:beforeAutospacing="0" w:after="0" w:afterAutospacing="0"/>
                    <w:divId w:val="1026636082"/>
                    <w:rPr>
                      <w:rFonts w:eastAsia="Times New Roman"/>
                      <w:color w:val="313131"/>
                      <w:sz w:val="20"/>
                      <w:szCs w:val="20"/>
                    </w:rPr>
                  </w:pPr>
                  <w:hyperlink r:id="rId15" w:history="1">
                    <w:r>
                      <w:rPr>
                        <w:rStyle w:val="Hyperlink"/>
                        <w:rFonts w:eastAsia="Times New Roman"/>
                      </w:rPr>
                      <w:t>Emiri Order No. 3 of 1977</w:t>
                    </w:r>
                  </w:hyperlink>
                  <w:r>
                    <w:rPr>
                      <w:rFonts w:eastAsia="Times New Roman"/>
                      <w:color w:val="313131"/>
                      <w:sz w:val="20"/>
                      <w:szCs w:val="20"/>
                    </w:rPr>
                    <w:t xml:space="preserve"> pertaining to the appointment of a Deputy Emir to the State of Qatar;</w:t>
                  </w:r>
                </w:p>
                <w:p w:rsidR="00000000" w:rsidRDefault="002C3656">
                  <w:pPr>
                    <w:spacing w:before="0" w:beforeAutospacing="0" w:after="0" w:afterAutospacing="0"/>
                    <w:divId w:val="1026636082"/>
                    <w:rPr>
                      <w:rFonts w:eastAsia="Times New Roman"/>
                      <w:color w:val="313131"/>
                      <w:sz w:val="20"/>
                      <w:szCs w:val="20"/>
                    </w:rPr>
                  </w:pPr>
                  <w:r>
                    <w:rPr>
                      <w:rFonts w:eastAsia="Times New Roman"/>
                      <w:color w:val="313131"/>
                      <w:sz w:val="20"/>
                      <w:szCs w:val="20"/>
                    </w:rPr>
                    <w:t>Law No. 5 of 1970 pertaining to determining the jurisdictions of t</w:t>
                  </w:r>
                  <w:r>
                    <w:rPr>
                      <w:rFonts w:eastAsia="Times New Roman"/>
                      <w:color w:val="313131"/>
                      <w:sz w:val="20"/>
                      <w:szCs w:val="20"/>
                    </w:rPr>
                    <w:t>he ministers and the functions of the ministries and other governmental bodies and the amending Laws thereof;</w:t>
                  </w:r>
                </w:p>
                <w:p w:rsidR="00000000" w:rsidRDefault="002C3656">
                  <w:pPr>
                    <w:spacing w:before="0" w:beforeAutospacing="0" w:after="0" w:afterAutospacing="0"/>
                    <w:divId w:val="1026636082"/>
                    <w:rPr>
                      <w:rFonts w:eastAsia="Times New Roman"/>
                      <w:color w:val="313131"/>
                      <w:sz w:val="20"/>
                      <w:szCs w:val="20"/>
                    </w:rPr>
                  </w:pPr>
                  <w:hyperlink r:id="rId16" w:history="1">
                    <w:r>
                      <w:rPr>
                        <w:rStyle w:val="Hyperlink"/>
                        <w:rFonts w:eastAsia="Times New Roman"/>
                      </w:rPr>
                      <w:t>Law No. 13 of 1971</w:t>
                    </w:r>
                  </w:hyperlink>
                  <w:r>
                    <w:rPr>
                      <w:rFonts w:eastAsia="Times New Roman"/>
                      <w:color w:val="313131"/>
                      <w:sz w:val="20"/>
                      <w:szCs w:val="20"/>
                    </w:rPr>
                    <w:t xml:space="preserve"> pertaining to the Structure of Courts of Justice and th</w:t>
                  </w:r>
                  <w:r>
                    <w:rPr>
                      <w:rFonts w:eastAsia="Times New Roman"/>
                      <w:color w:val="313131"/>
                      <w:sz w:val="20"/>
                      <w:szCs w:val="20"/>
                    </w:rPr>
                    <w:t>e amending Laws thereof;</w:t>
                  </w:r>
                </w:p>
                <w:p w:rsidR="00000000" w:rsidRDefault="002C3656">
                  <w:pPr>
                    <w:spacing w:before="0" w:beforeAutospacing="0" w:after="0" w:afterAutospacing="0"/>
                    <w:divId w:val="1026636082"/>
                    <w:rPr>
                      <w:rFonts w:eastAsia="Times New Roman"/>
                      <w:color w:val="313131"/>
                      <w:sz w:val="20"/>
                      <w:szCs w:val="20"/>
                    </w:rPr>
                  </w:pPr>
                  <w:hyperlink r:id="rId17" w:history="1">
                    <w:r>
                      <w:rPr>
                        <w:rStyle w:val="Hyperlink"/>
                        <w:rFonts w:eastAsia="Times New Roman"/>
                      </w:rPr>
                      <w:t>Law No. 14 of 1971</w:t>
                    </w:r>
                  </w:hyperlink>
                  <w:r>
                    <w:rPr>
                      <w:rFonts w:eastAsia="Times New Roman"/>
                      <w:color w:val="313131"/>
                      <w:sz w:val="20"/>
                      <w:szCs w:val="20"/>
                    </w:rPr>
                    <w:t xml:space="preserve"> promulgating the Qatar Penal Code;</w:t>
                  </w:r>
                </w:p>
                <w:p w:rsidR="00000000" w:rsidRDefault="002C3656">
                  <w:pPr>
                    <w:spacing w:before="0" w:beforeAutospacing="0" w:after="0" w:afterAutospacing="0"/>
                    <w:divId w:val="1026636082"/>
                    <w:rPr>
                      <w:rFonts w:eastAsia="Times New Roman"/>
                      <w:color w:val="313131"/>
                      <w:sz w:val="20"/>
                      <w:szCs w:val="20"/>
                    </w:rPr>
                  </w:pPr>
                  <w:hyperlink r:id="rId18" w:history="1">
                    <w:r>
                      <w:rPr>
                        <w:rStyle w:val="Hyperlink"/>
                        <w:rFonts w:eastAsia="Times New Roman"/>
                      </w:rPr>
                      <w:t>Law No. 15 of 1971</w:t>
                    </w:r>
                  </w:hyperlink>
                  <w:r>
                    <w:rPr>
                      <w:rFonts w:eastAsia="Times New Roman"/>
                      <w:color w:val="313131"/>
                      <w:sz w:val="20"/>
                      <w:szCs w:val="20"/>
                    </w:rPr>
                    <w:t xml:space="preserve"> promulgating t</w:t>
                  </w:r>
                  <w:r>
                    <w:rPr>
                      <w:rFonts w:eastAsia="Times New Roman"/>
                      <w:color w:val="313131"/>
                      <w:sz w:val="20"/>
                      <w:szCs w:val="20"/>
                    </w:rPr>
                    <w:t>he Criminal Procedures Code;</w:t>
                  </w:r>
                </w:p>
                <w:p w:rsidR="00000000" w:rsidRDefault="002C3656">
                  <w:pPr>
                    <w:spacing w:before="0" w:beforeAutospacing="0" w:after="0" w:afterAutospacing="0"/>
                    <w:divId w:val="1026636082"/>
                    <w:rPr>
                      <w:rFonts w:eastAsia="Times New Roman"/>
                      <w:color w:val="313131"/>
                      <w:sz w:val="20"/>
                      <w:szCs w:val="20"/>
                    </w:rPr>
                  </w:pPr>
                  <w:hyperlink r:id="rId19" w:history="1">
                    <w:r>
                      <w:rPr>
                        <w:rStyle w:val="Hyperlink"/>
                        <w:rFonts w:eastAsia="Times New Roman"/>
                      </w:rPr>
                      <w:t>Law No. 16 of 1971</w:t>
                    </w:r>
                  </w:hyperlink>
                  <w:r>
                    <w:rPr>
                      <w:rFonts w:eastAsia="Times New Roman"/>
                      <w:color w:val="313131"/>
                      <w:sz w:val="20"/>
                      <w:szCs w:val="20"/>
                    </w:rPr>
                    <w:t xml:space="preserve"> promulgating the Law of Civil and Commercial Articles;</w:t>
                  </w:r>
                </w:p>
                <w:p w:rsidR="00000000" w:rsidRDefault="002C3656">
                  <w:pPr>
                    <w:spacing w:before="0" w:beforeAutospacing="0" w:after="0" w:afterAutospacing="0"/>
                    <w:divId w:val="1026636082"/>
                    <w:rPr>
                      <w:rFonts w:eastAsia="Times New Roman"/>
                      <w:color w:val="313131"/>
                      <w:sz w:val="20"/>
                      <w:szCs w:val="20"/>
                    </w:rPr>
                  </w:pPr>
                  <w:hyperlink r:id="rId20" w:history="1">
                    <w:r>
                      <w:rPr>
                        <w:rStyle w:val="Hyperlink"/>
                        <w:rFonts w:eastAsia="Times New Roman"/>
                      </w:rPr>
                      <w:t>Decree Law</w:t>
                    </w:r>
                    <w:r>
                      <w:rPr>
                        <w:rStyle w:val="Hyperlink"/>
                        <w:rFonts w:eastAsia="Times New Roman"/>
                      </w:rPr>
                      <w:t xml:space="preserve"> No. 10 of 1974</w:t>
                    </w:r>
                  </w:hyperlink>
                  <w:r>
                    <w:rPr>
                      <w:rFonts w:eastAsia="Times New Roman"/>
                      <w:color w:val="313131"/>
                      <w:sz w:val="20"/>
                      <w:szCs w:val="20"/>
                    </w:rPr>
                    <w:t xml:space="preserve"> pertaining to the establishment of Qatar General Petroleum Corporation (Qatar Petroleum);</w:t>
                  </w:r>
                </w:p>
                <w:p w:rsidR="00000000" w:rsidRDefault="002C3656">
                  <w:pPr>
                    <w:spacing w:before="0" w:beforeAutospacing="0" w:after="0" w:afterAutospacing="0"/>
                    <w:divId w:val="1026636082"/>
                    <w:rPr>
                      <w:rFonts w:eastAsia="Times New Roman"/>
                      <w:color w:val="313131"/>
                      <w:sz w:val="20"/>
                      <w:szCs w:val="20"/>
                    </w:rPr>
                  </w:pPr>
                  <w:hyperlink r:id="rId21" w:history="1">
                    <w:r>
                      <w:rPr>
                        <w:rStyle w:val="Hyperlink"/>
                        <w:rFonts w:eastAsia="Times New Roman"/>
                      </w:rPr>
                      <w:t>Decree No. 102 of 1976</w:t>
                    </w:r>
                  </w:hyperlink>
                  <w:r>
                    <w:rPr>
                      <w:rFonts w:eastAsia="Times New Roman"/>
                      <w:color w:val="313131"/>
                      <w:sz w:val="20"/>
                      <w:szCs w:val="20"/>
                    </w:rPr>
                    <w:t xml:space="preserve"> pertaining to the establishment of Qatar Authority for </w:t>
                  </w:r>
                  <w:r>
                    <w:rPr>
                      <w:rFonts w:eastAsia="Times New Roman"/>
                      <w:color w:val="313131"/>
                      <w:sz w:val="20"/>
                      <w:szCs w:val="20"/>
                    </w:rPr>
                    <w:t>Oil Production;</w:t>
                  </w:r>
                </w:p>
                <w:p w:rsidR="00000000" w:rsidRDefault="002C3656">
                  <w:pPr>
                    <w:spacing w:before="0" w:beforeAutospacing="0" w:after="0" w:afterAutospacing="0"/>
                    <w:divId w:val="1026636082"/>
                    <w:rPr>
                      <w:rFonts w:eastAsia="Times New Roman"/>
                      <w:color w:val="313131"/>
                      <w:sz w:val="20"/>
                      <w:szCs w:val="20"/>
                    </w:rPr>
                  </w:pPr>
                  <w:r>
                    <w:rPr>
                      <w:rFonts w:eastAsia="Times New Roman"/>
                      <w:color w:val="313131"/>
                      <w:sz w:val="20"/>
                      <w:szCs w:val="20"/>
                    </w:rPr>
                    <w:t>The proposal of the Minister of Finance and Pe</w:t>
                  </w:r>
                </w:p>
              </w:tc>
            </w:tr>
            <w:tr w:rsidR="00000000">
              <w:trPr>
                <w:divId w:val="524444984"/>
                <w:tblCellSpacing w:w="0" w:type="dxa"/>
              </w:trPr>
              <w:tc>
                <w:tcPr>
                  <w:tcW w:w="0" w:type="auto"/>
                  <w:vAlign w:val="center"/>
                  <w:hideMark/>
                </w:tcPr>
                <w:p w:rsidR="00000000" w:rsidRDefault="0026083B">
                  <w:pPr>
                    <w:spacing w:before="0" w:beforeAutospacing="0" w:after="0" w:afterAutospacing="0"/>
                    <w:rPr>
                      <w:rFonts w:eastAsia="Times New Roman"/>
                      <w:sz w:val="15"/>
                      <w:szCs w:val="15"/>
                    </w:rPr>
                  </w:pPr>
                  <w:r>
                    <w:rPr>
                      <w:rFonts w:eastAsia="Times New Roman"/>
                      <w:sz w:val="15"/>
                      <w:szCs w:val="15"/>
                    </w:rPr>
                    <w:pict>
                      <v:rect id="_x0000_i1029" style="width:0;height:1.5pt" o:hralign="center" o:hrstd="t" o:hr="t" fillcolor="#a0a0a0" stroked="f"/>
                    </w:pict>
                  </w:r>
                </w:p>
              </w:tc>
            </w:tr>
            <w:bookmarkStart w:id="0" w:name="Section_10152"/>
            <w:tr w:rsidR="00000000">
              <w:trPr>
                <w:divId w:val="524444984"/>
                <w:tblCellSpacing w:w="0" w:type="dxa"/>
              </w:trPr>
              <w:tc>
                <w:tcPr>
                  <w:tcW w:w="0" w:type="auto"/>
                  <w:vAlign w:val="center"/>
                  <w:hideMark/>
                </w:tcPr>
                <w:p w:rsidR="00000000" w:rsidRDefault="002C3656">
                  <w:pPr>
                    <w:pStyle w:val="NormalWeb"/>
                    <w:jc w:val="both"/>
                    <w:rPr>
                      <w:sz w:val="15"/>
                      <w:szCs w:val="15"/>
                    </w:rPr>
                  </w:pPr>
                  <w:r>
                    <w:rPr>
                      <w:b/>
                      <w:bCs/>
                      <w:sz w:val="18"/>
                      <w:szCs w:val="18"/>
                      <w:u w:val="single"/>
                    </w:rPr>
                    <w:fldChar w:fldCharType="begin"/>
                  </w:r>
                  <w:r>
                    <w:rPr>
                      <w:b/>
                      <w:bCs/>
                      <w:sz w:val="18"/>
                      <w:szCs w:val="18"/>
                      <w:u w:val="single"/>
                    </w:rPr>
                    <w:instrText xml:space="preserve"> </w:instrText>
                  </w:r>
                  <w:r>
                    <w:rPr>
                      <w:b/>
                      <w:bCs/>
                      <w:sz w:val="18"/>
                      <w:szCs w:val="18"/>
                      <w:u w:val="single"/>
                    </w:rPr>
                    <w:instrText>HYPERLINK ""</w:instrText>
                  </w:r>
                  <w:r>
                    <w:rPr>
                      <w:b/>
                      <w:bCs/>
                      <w:sz w:val="18"/>
                      <w:szCs w:val="18"/>
                      <w:u w:val="single"/>
                    </w:rPr>
                    <w:instrText xml:space="preserve"> </w:instrText>
                  </w:r>
                  <w:r>
                    <w:rPr>
                      <w:b/>
                      <w:bCs/>
                      <w:sz w:val="18"/>
                      <w:szCs w:val="18"/>
                      <w:u w:val="single"/>
                    </w:rPr>
                    <w:fldChar w:fldCharType="separate"/>
                  </w:r>
                  <w:r>
                    <w:rPr>
                      <w:rStyle w:val="Hyperlink"/>
                      <w:b/>
                      <w:bCs/>
                      <w:sz w:val="18"/>
                      <w:szCs w:val="18"/>
                    </w:rPr>
                    <w:t>Articles</w:t>
                  </w:r>
                  <w:r>
                    <w:rPr>
                      <w:b/>
                      <w:bCs/>
                      <w:sz w:val="18"/>
                      <w:szCs w:val="18"/>
                      <w:u w:val="single"/>
                    </w:rPr>
                    <w:fldChar w:fldCharType="end"/>
                  </w:r>
                  <w:bookmarkEnd w:id="0"/>
                </w:p>
                <w:p w:rsidR="00000000" w:rsidRDefault="002C3656">
                  <w:pPr>
                    <w:pStyle w:val="NormalWeb"/>
                    <w:jc w:val="both"/>
                    <w:rPr>
                      <w:sz w:val="15"/>
                      <w:szCs w:val="15"/>
                    </w:rPr>
                  </w:pPr>
                  <w:r>
                    <w:rPr>
                      <w:sz w:val="18"/>
                      <w:szCs w:val="18"/>
                    </w:rPr>
                    <w:t xml:space="preserve">Article </w:t>
                  </w:r>
                  <w:r>
                    <w:rPr>
                      <w:sz w:val="20"/>
                      <w:szCs w:val="20"/>
                    </w:rPr>
                    <w:t xml:space="preserve">1 </w:t>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jc w:val="both"/>
                          <w:divId w:val="1311401240"/>
                          <w:rPr>
                            <w:rFonts w:eastAsia="Times New Roman"/>
                            <w:sz w:val="15"/>
                            <w:szCs w:val="15"/>
                          </w:rPr>
                        </w:pPr>
                        <w:r>
                          <w:rPr>
                            <w:rStyle w:val="st1"/>
                            <w:rFonts w:eastAsia="Times New Roman"/>
                            <w:sz w:val="15"/>
                            <w:szCs w:val="15"/>
                          </w:rPr>
                          <w:t>In applying the provisions of this Decree-Law, the following words and expressions shall have the meanings assigned to each, unless the context requires otherwise:</w:t>
                        </w:r>
                      </w:p>
                      <w:p w:rsidR="00000000" w:rsidRDefault="002C3656">
                        <w:pPr>
                          <w:spacing w:before="0" w:beforeAutospacing="0" w:after="0" w:afterAutospacing="0"/>
                          <w:jc w:val="both"/>
                          <w:divId w:val="1990360066"/>
                          <w:rPr>
                            <w:rFonts w:eastAsia="Times New Roman"/>
                            <w:sz w:val="15"/>
                            <w:szCs w:val="15"/>
                          </w:rPr>
                        </w:pPr>
                        <w:r>
                          <w:rPr>
                            <w:rStyle w:val="st1"/>
                            <w:rFonts w:eastAsia="Times New Roman"/>
                            <w:sz w:val="15"/>
                            <w:szCs w:val="15"/>
                          </w:rPr>
                          <w:t xml:space="preserve">“Petroleum (oil)” means all the natural hydrocarbon materials in a solid, liquid or gaseous </w:t>
                        </w:r>
                        <w:r>
                          <w:rPr>
                            <w:rStyle w:val="st1"/>
                            <w:rFonts w:eastAsia="Times New Roman"/>
                            <w:sz w:val="15"/>
                            <w:szCs w:val="15"/>
                          </w:rPr>
                          <w:t>state produced, or that can be produced, from the surface or the interior of the earth.</w:t>
                        </w:r>
                      </w:p>
                      <w:p w:rsidR="00000000" w:rsidRDefault="002C3656">
                        <w:pPr>
                          <w:spacing w:before="0" w:beforeAutospacing="0" w:after="0" w:afterAutospacing="0"/>
                          <w:divId w:val="394743163"/>
                          <w:rPr>
                            <w:rFonts w:eastAsia="Times New Roman"/>
                            <w:sz w:val="15"/>
                            <w:szCs w:val="15"/>
                          </w:rPr>
                        </w:pPr>
                        <w:r>
                          <w:rPr>
                            <w:rStyle w:val="st1"/>
                            <w:rFonts w:eastAsia="Times New Roman"/>
                            <w:sz w:val="15"/>
                            <w:szCs w:val="15"/>
                          </w:rPr>
                          <w:t xml:space="preserve">“Petroleum Operations” means, </w:t>
                        </w:r>
                        <w:r>
                          <w:rPr>
                            <w:rStyle w:val="st1"/>
                            <w:rFonts w:eastAsia="Times New Roman"/>
                            <w:i/>
                            <w:iCs/>
                            <w:sz w:val="15"/>
                            <w:szCs w:val="15"/>
                          </w:rPr>
                          <w:t>inter alia</w:t>
                        </w:r>
                        <w:r>
                          <w:rPr>
                            <w:rStyle w:val="st1"/>
                            <w:rFonts w:eastAsia="Times New Roman"/>
                            <w:sz w:val="15"/>
                            <w:szCs w:val="15"/>
                          </w:rPr>
                          <w:t>, all operations related to the exploration, prospecting and development of petroleum fields, drilling of wells, and the conclus</w:t>
                        </w:r>
                        <w:r>
                          <w:rPr>
                            <w:rStyle w:val="st1"/>
                            <w:rFonts w:eastAsia="Times New Roman"/>
                            <w:sz w:val="15"/>
                            <w:szCs w:val="15"/>
                          </w:rPr>
                          <w:t>ion of construction, expansion and renovation thereof. Such operations shall also include the production, processing and refining of crude oil and the production of petroleum derivatives and by-products; storage, transportation, loading and shipping; and t</w:t>
                        </w:r>
                        <w:r>
                          <w:rPr>
                            <w:rStyle w:val="st1"/>
                            <w:rFonts w:eastAsia="Times New Roman"/>
                            <w:sz w:val="15"/>
                            <w:szCs w:val="15"/>
                          </w:rPr>
                          <w:t xml:space="preserve">he establishment and operation of the facilities of power, water, housing and camps, as well any other supplementary facilities, construction, equipment and administration. </w:t>
                        </w:r>
                      </w:p>
                      <w:p w:rsidR="00000000" w:rsidRDefault="002C3656">
                        <w:pPr>
                          <w:spacing w:before="0" w:beforeAutospacing="0" w:after="0" w:afterAutospacing="0"/>
                          <w:jc w:val="both"/>
                          <w:divId w:val="384915702"/>
                          <w:rPr>
                            <w:rFonts w:eastAsia="Times New Roman"/>
                            <w:sz w:val="15"/>
                            <w:szCs w:val="15"/>
                          </w:rPr>
                        </w:pPr>
                        <w:r>
                          <w:rPr>
                            <w:rStyle w:val="st1"/>
                            <w:rFonts w:eastAsia="Times New Roman"/>
                            <w:sz w:val="15"/>
                            <w:szCs w:val="15"/>
                          </w:rPr>
                          <w:t xml:space="preserve">“Person in charge of Oil Operations” means any natural or juristic person legally </w:t>
                        </w:r>
                        <w:r>
                          <w:rPr>
                            <w:rStyle w:val="st1"/>
                            <w:rFonts w:eastAsia="Times New Roman"/>
                            <w:sz w:val="15"/>
                            <w:szCs w:val="15"/>
                          </w:rPr>
                          <w:t>authorised to conduct oil operations.</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30"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r>
                    <w:rPr>
                      <w:rFonts w:eastAsia="Times New Roman"/>
                      <w:sz w:val="18"/>
                      <w:szCs w:val="18"/>
                    </w:rPr>
                    <w:t xml:space="preserve">Article </w:t>
                  </w:r>
                  <w:r>
                    <w:rPr>
                      <w:rFonts w:eastAsia="Times New Roman"/>
                      <w:sz w:val="20"/>
                      <w:szCs w:val="20"/>
                    </w:rPr>
                    <w:t xml:space="preserve">2 </w:t>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jc w:val="both"/>
                          <w:divId w:val="1962105690"/>
                          <w:rPr>
                            <w:rFonts w:eastAsia="Times New Roman"/>
                            <w:sz w:val="15"/>
                            <w:szCs w:val="15"/>
                          </w:rPr>
                        </w:pPr>
                        <w:r>
                          <w:rPr>
                            <w:rStyle w:val="st1"/>
                            <w:rFonts w:eastAsia="Times New Roman"/>
                            <w:sz w:val="15"/>
                            <w:szCs w:val="15"/>
                          </w:rPr>
                          <w:t>The provisions of this Decree-Law shall be applicable to all oil operations conducted in and on the territories of the State of Qatar and its continental shelf.</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31"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r>
                    <w:rPr>
                      <w:rFonts w:eastAsia="Times New Roman"/>
                      <w:sz w:val="18"/>
                      <w:szCs w:val="18"/>
                    </w:rPr>
                    <w:t xml:space="preserve">Article </w:t>
                  </w:r>
                  <w:r>
                    <w:rPr>
                      <w:rFonts w:eastAsia="Times New Roman"/>
                      <w:sz w:val="20"/>
                      <w:szCs w:val="20"/>
                    </w:rPr>
                    <w:t xml:space="preserve">3 </w:t>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jc w:val="both"/>
                          <w:divId w:val="1024983956"/>
                          <w:rPr>
                            <w:rFonts w:eastAsia="Times New Roman"/>
                            <w:sz w:val="15"/>
                            <w:szCs w:val="15"/>
                          </w:rPr>
                        </w:pPr>
                        <w:r>
                          <w:rPr>
                            <w:rStyle w:val="st1"/>
                            <w:rFonts w:eastAsia="Times New Roman"/>
                            <w:sz w:val="15"/>
                            <w:szCs w:val="15"/>
                          </w:rPr>
                          <w:t>Taking into consideration the measures required for safety precautions and production regulation, oil operations and related projects shall be conducted according to the prevailing technical traditions, rules and standards in the oil industry which guarant</w:t>
                        </w:r>
                        <w:r>
                          <w:rPr>
                            <w:rStyle w:val="st1"/>
                            <w:rFonts w:eastAsia="Times New Roman"/>
                            <w:sz w:val="15"/>
                            <w:szCs w:val="15"/>
                          </w:rPr>
                          <w:t>ee the best practices for the optimal exploitation, investment, preservation, development and production of the State's oil resources, as well as the prevention of their loss, damage or waste.</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32"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r>
                    <w:rPr>
                      <w:rFonts w:eastAsia="Times New Roman"/>
                      <w:sz w:val="18"/>
                      <w:szCs w:val="18"/>
                    </w:rPr>
                    <w:t xml:space="preserve">Article </w:t>
                  </w:r>
                  <w:r>
                    <w:rPr>
                      <w:rFonts w:eastAsia="Times New Roman"/>
                      <w:sz w:val="20"/>
                      <w:szCs w:val="20"/>
                    </w:rPr>
                    <w:t xml:space="preserve">4 </w:t>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jc w:val="both"/>
                          <w:divId w:val="1252011506"/>
                          <w:rPr>
                            <w:rFonts w:eastAsia="Times New Roman"/>
                            <w:sz w:val="15"/>
                            <w:szCs w:val="15"/>
                          </w:rPr>
                        </w:pPr>
                        <w:r>
                          <w:rPr>
                            <w:rStyle w:val="st1"/>
                            <w:rFonts w:eastAsia="Times New Roman"/>
                            <w:sz w:val="15"/>
                            <w:szCs w:val="15"/>
                          </w:rPr>
                          <w:t>The pers</w:t>
                        </w:r>
                        <w:r>
                          <w:rPr>
                            <w:rStyle w:val="st1"/>
                            <w:rFonts w:eastAsia="Times New Roman"/>
                            <w:sz w:val="15"/>
                            <w:szCs w:val="15"/>
                          </w:rPr>
                          <w:t>on in charge of oil operations shall adopt whatever safety precautions and procedures are required to prevent:</w:t>
                        </w:r>
                      </w:p>
                      <w:p w:rsidR="00000000" w:rsidRDefault="002C3656">
                        <w:pPr>
                          <w:numPr>
                            <w:ilvl w:val="0"/>
                            <w:numId w:val="1"/>
                          </w:numPr>
                          <w:spacing w:afterAutospacing="0"/>
                          <w:jc w:val="both"/>
                          <w:rPr>
                            <w:rFonts w:eastAsia="Times New Roman"/>
                            <w:sz w:val="15"/>
                            <w:szCs w:val="15"/>
                          </w:rPr>
                        </w:pPr>
                        <w:r>
                          <w:rPr>
                            <w:rStyle w:val="st1"/>
                            <w:rFonts w:eastAsia="Times New Roman"/>
                            <w:sz w:val="15"/>
                            <w:szCs w:val="15"/>
                          </w:rPr>
                          <w:t xml:space="preserve">Waste, damage or risk caused by such operations and that might inflict harm to, </w:t>
                        </w:r>
                        <w:r>
                          <w:rPr>
                            <w:rStyle w:val="st1"/>
                            <w:rFonts w:eastAsia="Times New Roman"/>
                            <w:i/>
                            <w:iCs/>
                            <w:sz w:val="15"/>
                            <w:szCs w:val="15"/>
                          </w:rPr>
                          <w:t>inter alia</w:t>
                        </w:r>
                        <w:r>
                          <w:rPr>
                            <w:rStyle w:val="st1"/>
                            <w:rFonts w:eastAsia="Times New Roman"/>
                            <w:sz w:val="15"/>
                            <w:szCs w:val="15"/>
                          </w:rPr>
                          <w:t>, human life, public health, property, natural wealth r</w:t>
                        </w:r>
                        <w:r>
                          <w:rPr>
                            <w:rStyle w:val="st1"/>
                            <w:rFonts w:eastAsia="Times New Roman"/>
                            <w:sz w:val="15"/>
                            <w:szCs w:val="15"/>
                          </w:rPr>
                          <w:t xml:space="preserve">esources, shores, archaeological or tourist attractions, religious monuments and cemeteries. </w:t>
                        </w:r>
                      </w:p>
                      <w:p w:rsidR="00000000" w:rsidRDefault="002C3656">
                        <w:pPr>
                          <w:numPr>
                            <w:ilvl w:val="0"/>
                            <w:numId w:val="1"/>
                          </w:numPr>
                          <w:spacing w:afterAutospacing="0"/>
                          <w:jc w:val="both"/>
                          <w:rPr>
                            <w:rFonts w:eastAsia="Times New Roman"/>
                            <w:sz w:val="15"/>
                            <w:szCs w:val="15"/>
                          </w:rPr>
                        </w:pPr>
                        <w:r>
                          <w:rPr>
                            <w:rStyle w:val="st2"/>
                            <w:rFonts w:eastAsia="Times New Roman"/>
                            <w:sz w:val="15"/>
                            <w:szCs w:val="15"/>
                          </w:rPr>
                          <w:t>Environmental pollution in general and air, surface water and groundwater pollution in particular.</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33"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r>
                    <w:rPr>
                      <w:rFonts w:eastAsia="Times New Roman"/>
                      <w:sz w:val="18"/>
                      <w:szCs w:val="18"/>
                    </w:rPr>
                    <w:t xml:space="preserve">Article </w:t>
                  </w:r>
                  <w:r>
                    <w:rPr>
                      <w:rFonts w:eastAsia="Times New Roman"/>
                      <w:sz w:val="20"/>
                      <w:szCs w:val="20"/>
                    </w:rPr>
                    <w:t xml:space="preserve">5 </w:t>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ind w:hanging="240"/>
                          <w:jc w:val="both"/>
                          <w:divId w:val="1319185052"/>
                          <w:rPr>
                            <w:rFonts w:eastAsia="Times New Roman"/>
                            <w:sz w:val="15"/>
                            <w:szCs w:val="15"/>
                          </w:rPr>
                        </w:pPr>
                        <w:r>
                          <w:rPr>
                            <w:rStyle w:val="st1"/>
                            <w:rFonts w:eastAsia="Times New Roman"/>
                            <w:sz w:val="15"/>
                            <w:szCs w:val="15"/>
                          </w:rPr>
                          <w:t>1.      All apparatus, equipment and substances used in oil operations shall conform to standard international specifications and shall comply with industrial safety and security and other technical con</w:t>
                        </w:r>
                        <w:r>
                          <w:rPr>
                            <w:rStyle w:val="st1"/>
                            <w:rFonts w:eastAsia="Times New Roman"/>
                            <w:sz w:val="15"/>
                            <w:szCs w:val="15"/>
                          </w:rPr>
                          <w:t>ditions in accordance with the best rules of practice applied in the oil industry.</w:t>
                        </w:r>
                      </w:p>
                      <w:p w:rsidR="00000000" w:rsidRDefault="002C3656">
                        <w:pPr>
                          <w:numPr>
                            <w:ilvl w:val="0"/>
                            <w:numId w:val="2"/>
                          </w:numPr>
                          <w:spacing w:afterAutospacing="0"/>
                          <w:jc w:val="both"/>
                          <w:rPr>
                            <w:rFonts w:eastAsia="Times New Roman"/>
                            <w:sz w:val="15"/>
                            <w:szCs w:val="15"/>
                          </w:rPr>
                        </w:pPr>
                        <w:r>
                          <w:rPr>
                            <w:rStyle w:val="st1"/>
                            <w:rFonts w:eastAsia="Times New Roman"/>
                            <w:sz w:val="15"/>
                            <w:szCs w:val="15"/>
                          </w:rPr>
                          <w:t xml:space="preserve">Such </w:t>
                        </w:r>
                        <w:r>
                          <w:rPr>
                            <w:rStyle w:val="st3"/>
                            <w:rFonts w:eastAsia="Times New Roman"/>
                            <w:sz w:val="15"/>
                            <w:szCs w:val="15"/>
                          </w:rPr>
                          <w:t xml:space="preserve">apparatus, </w:t>
                        </w:r>
                        <w:r>
                          <w:rPr>
                            <w:rStyle w:val="st1"/>
                            <w:rFonts w:eastAsia="Times New Roman"/>
                            <w:sz w:val="15"/>
                            <w:szCs w:val="15"/>
                          </w:rPr>
                          <w:t>equipment and substances shall at all times be accompanied by accredited certificates that certify their operational validity.</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34"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hyperlink r:id="rId22" w:tgtFrame="_blank" w:history="1">
                    <w:r>
                      <w:rPr>
                        <w:rStyle w:val="Hyperlink"/>
                        <w:rFonts w:eastAsia="Times New Roman"/>
                      </w:rPr>
                      <w:t xml:space="preserve">Article 6 </w:t>
                    </w:r>
                  </w:hyperlink>
                  <w:r>
                    <w:rPr>
                      <w:rFonts w:ascii="Tahoma" w:eastAsia="Times New Roman" w:hAnsi="Tahoma" w:cs="Tahoma"/>
                      <w:sz w:val="14"/>
                      <w:szCs w:val="14"/>
                    </w:rPr>
                    <w:t>(</w:t>
                  </w:r>
                  <w:hyperlink r:id="rId23" w:tgtFrame="_blank" w:history="1">
                    <w:r>
                      <w:rPr>
                        <w:rStyle w:val="Hyperlink"/>
                        <w:rFonts w:ascii="Tahoma" w:eastAsia="Times New Roman" w:hAnsi="Tahoma" w:cs="Tahoma"/>
                      </w:rPr>
                      <w:t>Amended By Decree 35/2002</w:t>
                    </w:r>
                  </w:hyperlink>
                  <w:r>
                    <w:rPr>
                      <w:rFonts w:eastAsia="Times New Roman"/>
                      <w:sz w:val="20"/>
                      <w:szCs w:val="20"/>
                    </w:rPr>
                    <w:t>)</w:t>
                  </w:r>
                  <w:r>
                    <w:rPr>
                      <w:rFonts w:eastAsia="Times New Roman"/>
                      <w:noProof/>
                      <w:sz w:val="20"/>
                      <w:szCs w:val="20"/>
                    </w:rPr>
                    <w:drawing>
                      <wp:inline distT="0" distB="0" distL="0" distR="0">
                        <wp:extent cx="190500" cy="190500"/>
                        <wp:effectExtent l="19050" t="0" r="0" b="0"/>
                        <wp:docPr id="11" name="Picture 11" descr="am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ended"/>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ind w:hanging="240"/>
                          <w:jc w:val="both"/>
                          <w:divId w:val="672882755"/>
                          <w:rPr>
                            <w:rFonts w:eastAsia="Times New Roman"/>
                            <w:sz w:val="15"/>
                            <w:szCs w:val="15"/>
                          </w:rPr>
                        </w:pPr>
                        <w:r>
                          <w:rPr>
                            <w:rStyle w:val="st1"/>
                            <w:rFonts w:eastAsia="Times New Roman"/>
                            <w:sz w:val="15"/>
                            <w:szCs w:val="15"/>
                          </w:rPr>
                          <w:t>1.      </w:t>
                        </w:r>
                        <w:r>
                          <w:rPr>
                            <w:rStyle w:val="st1"/>
                            <w:rFonts w:eastAsia="Times New Roman"/>
                            <w:sz w:val="15"/>
                            <w:szCs w:val="15"/>
                          </w:rPr>
                          <w:t>The person in charge of oil operations shall, prior to commencing any projects, submit to Qatar Petroleum a detailed description of the project including its plans, location, productive capacity, mode of operation, geometric information, estimated costs, c</w:t>
                        </w:r>
                        <w:r>
                          <w:rPr>
                            <w:rStyle w:val="st1"/>
                            <w:rFonts w:eastAsia="Times New Roman"/>
                            <w:sz w:val="15"/>
                            <w:szCs w:val="15"/>
                          </w:rPr>
                          <w:t>alculations, and any other documents, information, and necessary statistics.</w:t>
                        </w:r>
                      </w:p>
                      <w:p w:rsidR="00000000" w:rsidRDefault="002C3656">
                        <w:pPr>
                          <w:numPr>
                            <w:ilvl w:val="0"/>
                            <w:numId w:val="3"/>
                          </w:numPr>
                          <w:spacing w:afterAutospacing="0"/>
                          <w:jc w:val="both"/>
                          <w:rPr>
                            <w:rFonts w:eastAsia="Times New Roman"/>
                            <w:sz w:val="15"/>
                            <w:szCs w:val="15"/>
                          </w:rPr>
                        </w:pPr>
                        <w:r>
                          <w:rPr>
                            <w:rStyle w:val="st1"/>
                            <w:rFonts w:eastAsia="Times New Roman"/>
                            <w:sz w:val="15"/>
                            <w:szCs w:val="15"/>
                          </w:rPr>
                          <w:t xml:space="preserve">After conducting a comprehensive study and completing the different documents, the administration shall issue a recommendation supported by reasons for approving, disapproving or </w:t>
                        </w:r>
                        <w:r>
                          <w:rPr>
                            <w:rStyle w:val="st1"/>
                            <w:rFonts w:eastAsia="Times New Roman"/>
                            <w:sz w:val="15"/>
                            <w:szCs w:val="15"/>
                          </w:rPr>
                          <w:t>amending the project.</w:t>
                        </w:r>
                      </w:p>
                      <w:p w:rsidR="00000000" w:rsidRDefault="002C3656">
                        <w:pPr>
                          <w:spacing w:before="0" w:beforeAutospacing="0" w:after="0" w:afterAutospacing="0"/>
                          <w:divId w:val="291135601"/>
                          <w:rPr>
                            <w:rFonts w:eastAsia="Times New Roman"/>
                            <w:sz w:val="15"/>
                            <w:szCs w:val="15"/>
                          </w:rPr>
                        </w:pPr>
                        <w:r>
                          <w:rPr>
                            <w:rStyle w:val="st1"/>
                            <w:rFonts w:eastAsia="Times New Roman"/>
                            <w:sz w:val="15"/>
                            <w:szCs w:val="15"/>
                          </w:rPr>
                          <w:t>Such recommendation shall not be final or valid unless ratified by the Minister</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36"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hyperlink r:id="rId24" w:tgtFrame="_blank" w:history="1">
                    <w:r>
                      <w:rPr>
                        <w:rStyle w:val="Hyperlink"/>
                        <w:rFonts w:eastAsia="Times New Roman"/>
                      </w:rPr>
                      <w:t xml:space="preserve">Article 7 </w:t>
                    </w:r>
                  </w:hyperlink>
                  <w:r>
                    <w:rPr>
                      <w:rFonts w:ascii="Tahoma" w:eastAsia="Times New Roman" w:hAnsi="Tahoma" w:cs="Tahoma"/>
                      <w:sz w:val="14"/>
                      <w:szCs w:val="14"/>
                    </w:rPr>
                    <w:t>(</w:t>
                  </w:r>
                  <w:hyperlink r:id="rId25" w:tgtFrame="_blank" w:history="1">
                    <w:r>
                      <w:rPr>
                        <w:rStyle w:val="Hyperlink"/>
                        <w:rFonts w:ascii="Tahoma" w:eastAsia="Times New Roman" w:hAnsi="Tahoma" w:cs="Tahoma"/>
                      </w:rPr>
                      <w:t>Amended By Decree 35/2002</w:t>
                    </w:r>
                  </w:hyperlink>
                  <w:r>
                    <w:rPr>
                      <w:rFonts w:eastAsia="Times New Roman"/>
                      <w:sz w:val="20"/>
                      <w:szCs w:val="20"/>
                    </w:rPr>
                    <w:t>)</w:t>
                  </w:r>
                  <w:r>
                    <w:rPr>
                      <w:rFonts w:eastAsia="Times New Roman"/>
                      <w:noProof/>
                      <w:sz w:val="20"/>
                      <w:szCs w:val="20"/>
                    </w:rPr>
                    <w:drawing>
                      <wp:inline distT="0" distB="0" distL="0" distR="0">
                        <wp:extent cx="190500" cy="190500"/>
                        <wp:effectExtent l="19050" t="0" r="0" b="0"/>
                        <wp:docPr id="13" name="Picture 13" descr="am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ended"/>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ind w:hanging="240"/>
                          <w:jc w:val="both"/>
                          <w:divId w:val="1830169854"/>
                          <w:rPr>
                            <w:rFonts w:eastAsia="Times New Roman"/>
                            <w:sz w:val="15"/>
                            <w:szCs w:val="15"/>
                          </w:rPr>
                        </w:pPr>
                        <w:r>
                          <w:rPr>
                            <w:rStyle w:val="st1"/>
                            <w:rFonts w:eastAsia="Times New Roman"/>
                            <w:sz w:val="15"/>
                            <w:szCs w:val="15"/>
                          </w:rPr>
                          <w:t>1.      The person in charge of oil operations shall subm</w:t>
                        </w:r>
                        <w:r>
                          <w:rPr>
                            <w:rStyle w:val="st1"/>
                            <w:rFonts w:eastAsia="Times New Roman"/>
                            <w:sz w:val="15"/>
                            <w:szCs w:val="15"/>
                          </w:rPr>
                          <w:t xml:space="preserve">it to Qatar Petroleum, periodically and pursuant to the rules decided in this matter, detailed information about the execution of the different phases of the project. Such person shall also submit all programs, reports, data and information related to the </w:t>
                        </w:r>
                        <w:r>
                          <w:rPr>
                            <w:rStyle w:val="st1"/>
                            <w:rFonts w:eastAsia="Times New Roman"/>
                            <w:sz w:val="15"/>
                            <w:szCs w:val="15"/>
                          </w:rPr>
                          <w:t>oil operations in general.</w:t>
                        </w:r>
                      </w:p>
                      <w:p w:rsidR="00000000" w:rsidRDefault="002C3656">
                        <w:pPr>
                          <w:numPr>
                            <w:ilvl w:val="0"/>
                            <w:numId w:val="4"/>
                          </w:numPr>
                          <w:spacing w:afterAutospacing="0"/>
                          <w:jc w:val="both"/>
                          <w:rPr>
                            <w:rFonts w:eastAsia="Times New Roman"/>
                            <w:sz w:val="15"/>
                            <w:szCs w:val="15"/>
                          </w:rPr>
                        </w:pPr>
                        <w:r>
                          <w:rPr>
                            <w:rStyle w:val="st1"/>
                            <w:rFonts w:eastAsia="Times New Roman"/>
                            <w:sz w:val="15"/>
                            <w:szCs w:val="15"/>
                          </w:rPr>
                          <w:t>The administration shall have the right at any time to control, follow up and verify the proper execution of all phases of the operations and their projects in accordance with the provisions of the law, issued resolutions and pla</w:t>
                        </w:r>
                        <w:r>
                          <w:rPr>
                            <w:rStyle w:val="st1"/>
                            <w:rFonts w:eastAsia="Times New Roman"/>
                            <w:sz w:val="15"/>
                            <w:szCs w:val="15"/>
                          </w:rPr>
                          <w:t>ns thereof.</w:t>
                        </w:r>
                      </w:p>
                      <w:p w:rsidR="00000000" w:rsidRDefault="002C3656">
                        <w:pPr>
                          <w:numPr>
                            <w:ilvl w:val="0"/>
                            <w:numId w:val="4"/>
                          </w:numPr>
                          <w:spacing w:afterAutospacing="0"/>
                          <w:jc w:val="both"/>
                          <w:rPr>
                            <w:rFonts w:eastAsia="Times New Roman"/>
                            <w:sz w:val="15"/>
                            <w:szCs w:val="15"/>
                          </w:rPr>
                        </w:pPr>
                        <w:r>
                          <w:rPr>
                            <w:rStyle w:val="st2"/>
                            <w:rFonts w:eastAsia="Times New Roman"/>
                            <w:sz w:val="15"/>
                            <w:szCs w:val="15"/>
                          </w:rPr>
                          <w:t>The administration shall submit its reports on such operations and projects to the Minister of Energy and Industry for his instructions.</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38"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hyperlink r:id="rId26" w:tgtFrame="_blank" w:history="1">
                    <w:r>
                      <w:rPr>
                        <w:rStyle w:val="Hyperlink"/>
                        <w:rFonts w:eastAsia="Times New Roman"/>
                      </w:rPr>
                      <w:t xml:space="preserve">Article 8 </w:t>
                    </w:r>
                  </w:hyperlink>
                  <w:r>
                    <w:rPr>
                      <w:rFonts w:ascii="Tahoma" w:eastAsia="Times New Roman" w:hAnsi="Tahoma" w:cs="Tahoma"/>
                      <w:sz w:val="14"/>
                      <w:szCs w:val="14"/>
                    </w:rPr>
                    <w:t>(</w:t>
                  </w:r>
                  <w:hyperlink r:id="rId27" w:tgtFrame="_blank" w:history="1">
                    <w:r>
                      <w:rPr>
                        <w:rStyle w:val="Hyperlink"/>
                        <w:rFonts w:ascii="Tahoma" w:eastAsia="Times New Roman" w:hAnsi="Tahoma" w:cs="Tahoma"/>
                      </w:rPr>
                      <w:t>Amended By Decree 35/2002</w:t>
                    </w:r>
                  </w:hyperlink>
                  <w:r>
                    <w:rPr>
                      <w:rFonts w:eastAsia="Times New Roman"/>
                      <w:sz w:val="20"/>
                      <w:szCs w:val="20"/>
                    </w:rPr>
                    <w:t>)</w:t>
                  </w:r>
                  <w:r>
                    <w:rPr>
                      <w:rFonts w:eastAsia="Times New Roman"/>
                      <w:noProof/>
                      <w:sz w:val="20"/>
                      <w:szCs w:val="20"/>
                    </w:rPr>
                    <w:drawing>
                      <wp:inline distT="0" distB="0" distL="0" distR="0">
                        <wp:extent cx="190500" cy="190500"/>
                        <wp:effectExtent l="19050" t="0" r="0" b="0"/>
                        <wp:docPr id="15" name="Picture 15" descr="am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ended"/>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ind w:hanging="240"/>
                          <w:jc w:val="both"/>
                          <w:divId w:val="1161384509"/>
                          <w:rPr>
                            <w:rFonts w:eastAsia="Times New Roman"/>
                            <w:sz w:val="15"/>
                            <w:szCs w:val="15"/>
                          </w:rPr>
                        </w:pPr>
                        <w:r>
                          <w:rPr>
                            <w:rStyle w:val="st1"/>
                            <w:rFonts w:eastAsia="Times New Roman"/>
                            <w:sz w:val="15"/>
                            <w:szCs w:val="15"/>
                          </w:rPr>
                          <w:t>1.      </w:t>
                        </w:r>
                        <w:r>
                          <w:rPr>
                            <w:rStyle w:val="st1"/>
                            <w:rFonts w:eastAsia="Times New Roman"/>
                            <w:sz w:val="15"/>
                            <w:szCs w:val="15"/>
                          </w:rPr>
                          <w:t xml:space="preserve">The Qatar Petroleum staff, authorized by a resolution of the Minister of Energy and Industry, shall have the capacity of judicial officers in implementing the provisions of this Decree-Law. </w:t>
                        </w:r>
                      </w:p>
                      <w:p w:rsidR="00000000" w:rsidRDefault="002C3656">
                        <w:pPr>
                          <w:numPr>
                            <w:ilvl w:val="0"/>
                            <w:numId w:val="5"/>
                          </w:numPr>
                          <w:spacing w:afterAutospacing="0"/>
                          <w:jc w:val="both"/>
                          <w:rPr>
                            <w:rFonts w:eastAsia="Times New Roman"/>
                            <w:sz w:val="15"/>
                            <w:szCs w:val="15"/>
                          </w:rPr>
                        </w:pPr>
                        <w:r>
                          <w:rPr>
                            <w:rStyle w:val="st2"/>
                            <w:rFonts w:eastAsia="Times New Roman"/>
                            <w:sz w:val="15"/>
                            <w:szCs w:val="15"/>
                          </w:rPr>
                          <w:t>Such staff shall have the right to investigate and examine the re</w:t>
                        </w:r>
                        <w:r>
                          <w:rPr>
                            <w:rStyle w:val="st2"/>
                            <w:rFonts w:eastAsia="Times New Roman"/>
                            <w:sz w:val="15"/>
                            <w:szCs w:val="15"/>
                          </w:rPr>
                          <w:t>gisters, documents and statements at the office of the person in charge of oil operations and at different work places, as well as the right to conduct field, laboratory and administrative investigations, tests, and experiments relating to any aspect of su</w:t>
                        </w:r>
                        <w:r>
                          <w:rPr>
                            <w:rStyle w:val="st2"/>
                            <w:rFonts w:eastAsia="Times New Roman"/>
                            <w:sz w:val="15"/>
                            <w:szCs w:val="15"/>
                          </w:rPr>
                          <w:t>ch operations.</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40"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hyperlink r:id="rId28" w:tgtFrame="_blank" w:history="1">
                    <w:r>
                      <w:rPr>
                        <w:rStyle w:val="Hyperlink"/>
                        <w:rFonts w:eastAsia="Times New Roman"/>
                      </w:rPr>
                      <w:t xml:space="preserve">Article 9 </w:t>
                    </w:r>
                  </w:hyperlink>
                  <w:r>
                    <w:rPr>
                      <w:rFonts w:ascii="Tahoma" w:eastAsia="Times New Roman" w:hAnsi="Tahoma" w:cs="Tahoma"/>
                      <w:sz w:val="14"/>
                      <w:szCs w:val="14"/>
                    </w:rPr>
                    <w:t>(</w:t>
                  </w:r>
                  <w:hyperlink r:id="rId29" w:tgtFrame="_blank" w:history="1">
                    <w:r>
                      <w:rPr>
                        <w:rStyle w:val="Hyperlink"/>
                        <w:rFonts w:ascii="Tahoma" w:eastAsia="Times New Roman" w:hAnsi="Tahoma" w:cs="Tahoma"/>
                      </w:rPr>
                      <w:t>Amended By Decree 35/2002</w:t>
                    </w:r>
                  </w:hyperlink>
                  <w:r>
                    <w:rPr>
                      <w:rFonts w:eastAsia="Times New Roman"/>
                      <w:sz w:val="20"/>
                      <w:szCs w:val="20"/>
                    </w:rPr>
                    <w:t>)</w:t>
                  </w:r>
                  <w:r>
                    <w:rPr>
                      <w:rFonts w:eastAsia="Times New Roman"/>
                      <w:noProof/>
                      <w:sz w:val="20"/>
                      <w:szCs w:val="20"/>
                    </w:rPr>
                    <w:drawing>
                      <wp:inline distT="0" distB="0" distL="0" distR="0">
                        <wp:extent cx="190500" cy="190500"/>
                        <wp:effectExtent l="19050" t="0" r="0" b="0"/>
                        <wp:docPr id="17" name="Picture 17" descr="am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ended"/>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jc w:val="both"/>
                          <w:divId w:val="1627006899"/>
                          <w:rPr>
                            <w:rFonts w:eastAsia="Times New Roman"/>
                            <w:sz w:val="15"/>
                            <w:szCs w:val="15"/>
                          </w:rPr>
                        </w:pPr>
                        <w:r>
                          <w:rPr>
                            <w:rStyle w:val="st1"/>
                            <w:rFonts w:eastAsia="Times New Roman"/>
                            <w:sz w:val="15"/>
                            <w:szCs w:val="15"/>
                          </w:rPr>
                          <w:t>The Minister of Energy and Industry shall have the right, when necessary, to entrust to any natural or juristic person all or some of the competencies authorized to Qatar Petroleum pursuant to the provisions of this Decree-Law. Such person and his subordin</w:t>
                        </w:r>
                        <w:r>
                          <w:rPr>
                            <w:rStyle w:val="st1"/>
                            <w:rFonts w:eastAsia="Times New Roman"/>
                            <w:sz w:val="15"/>
                            <w:szCs w:val="15"/>
                          </w:rPr>
                          <w:t>ates shall enjoy the same rights and privileges afforded to the employees of Qatar Petroleum.</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42"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hyperlink r:id="rId30" w:tgtFrame="_blank" w:history="1">
                    <w:r>
                      <w:rPr>
                        <w:rStyle w:val="Hyperlink"/>
                        <w:rFonts w:eastAsia="Times New Roman"/>
                      </w:rPr>
                      <w:t xml:space="preserve">Article 10 </w:t>
                    </w:r>
                  </w:hyperlink>
                  <w:r>
                    <w:rPr>
                      <w:rFonts w:ascii="Tahoma" w:eastAsia="Times New Roman" w:hAnsi="Tahoma" w:cs="Tahoma"/>
                      <w:sz w:val="14"/>
                      <w:szCs w:val="14"/>
                    </w:rPr>
                    <w:t>(</w:t>
                  </w:r>
                  <w:hyperlink r:id="rId31" w:tgtFrame="_blank" w:history="1">
                    <w:r>
                      <w:rPr>
                        <w:rStyle w:val="Hyperlink"/>
                        <w:rFonts w:ascii="Tahoma" w:eastAsia="Times New Roman" w:hAnsi="Tahoma" w:cs="Tahoma"/>
                      </w:rPr>
                      <w:t>Amended By Decree 35/2002</w:t>
                    </w:r>
                  </w:hyperlink>
                  <w:r>
                    <w:rPr>
                      <w:rFonts w:eastAsia="Times New Roman"/>
                      <w:sz w:val="20"/>
                      <w:szCs w:val="20"/>
                    </w:rPr>
                    <w:t>)</w:t>
                  </w:r>
                  <w:r>
                    <w:rPr>
                      <w:rFonts w:eastAsia="Times New Roman"/>
                      <w:noProof/>
                      <w:sz w:val="20"/>
                      <w:szCs w:val="20"/>
                    </w:rPr>
                    <w:drawing>
                      <wp:inline distT="0" distB="0" distL="0" distR="0">
                        <wp:extent cx="190500" cy="190500"/>
                        <wp:effectExtent l="19050" t="0" r="0" b="0"/>
                        <wp:docPr id="19" name="Picture 19" descr="am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mended"/>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jc w:val="both"/>
                          <w:divId w:val="400493149"/>
                          <w:rPr>
                            <w:rFonts w:eastAsia="Times New Roman"/>
                            <w:sz w:val="15"/>
                            <w:szCs w:val="15"/>
                          </w:rPr>
                        </w:pPr>
                        <w:r>
                          <w:rPr>
                            <w:rStyle w:val="st1"/>
                            <w:rFonts w:eastAsia="Times New Roman"/>
                            <w:sz w:val="15"/>
                            <w:szCs w:val="15"/>
                          </w:rPr>
                          <w:t>Qatar Petroleum may notify the person in charge of oil operations of the procedures to be adopted to apply the provisions of this Decree-La</w:t>
                        </w:r>
                        <w:r>
                          <w:rPr>
                            <w:rStyle w:val="st1"/>
                            <w:rFonts w:eastAsia="Times New Roman"/>
                            <w:sz w:val="15"/>
                            <w:szCs w:val="15"/>
                          </w:rPr>
                          <w:t xml:space="preserve">w and to define a term for their execution. Where such officer fails to comply with the notification, or the execution fails to produce the required result, the administration shall submit the issue to the Minister of Energy and Industry for the necessary </w:t>
                        </w:r>
                        <w:r>
                          <w:rPr>
                            <w:rStyle w:val="st1"/>
                            <w:rFonts w:eastAsia="Times New Roman"/>
                            <w:sz w:val="15"/>
                            <w:szCs w:val="15"/>
                          </w:rPr>
                          <w:t>resolution, including the total or partial cessation of oil production.</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44"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r>
                    <w:rPr>
                      <w:rFonts w:eastAsia="Times New Roman"/>
                      <w:sz w:val="18"/>
                      <w:szCs w:val="18"/>
                    </w:rPr>
                    <w:t xml:space="preserve">Article </w:t>
                  </w:r>
                  <w:r>
                    <w:rPr>
                      <w:rFonts w:eastAsia="Times New Roman"/>
                      <w:sz w:val="20"/>
                      <w:szCs w:val="20"/>
                    </w:rPr>
                    <w:t xml:space="preserve">11 </w:t>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ind w:hanging="240"/>
                          <w:jc w:val="both"/>
                          <w:divId w:val="647511182"/>
                          <w:rPr>
                            <w:rFonts w:eastAsia="Times New Roman"/>
                            <w:sz w:val="15"/>
                            <w:szCs w:val="15"/>
                          </w:rPr>
                        </w:pPr>
                        <w:r>
                          <w:rPr>
                            <w:rStyle w:val="st1"/>
                            <w:rFonts w:eastAsia="Times New Roman"/>
                            <w:sz w:val="15"/>
                            <w:szCs w:val="15"/>
                          </w:rPr>
                          <w:t>1.      </w:t>
                        </w:r>
                        <w:r>
                          <w:rPr>
                            <w:rStyle w:val="st1"/>
                            <w:rFonts w:eastAsia="Times New Roman"/>
                            <w:sz w:val="15"/>
                            <w:szCs w:val="15"/>
                          </w:rPr>
                          <w:t xml:space="preserve">Any person convicted of violating the provisions, bylaws, regulations or executive resolutions of this Decree-Law shall be sentenced to a fine not exceeding five hundred thousand (500,000) Riyals. </w:t>
                        </w:r>
                      </w:p>
                      <w:p w:rsidR="00000000" w:rsidRDefault="002C3656">
                        <w:pPr>
                          <w:numPr>
                            <w:ilvl w:val="0"/>
                            <w:numId w:val="6"/>
                          </w:numPr>
                          <w:spacing w:afterAutospacing="0"/>
                          <w:jc w:val="both"/>
                          <w:rPr>
                            <w:rFonts w:eastAsia="Times New Roman"/>
                            <w:sz w:val="15"/>
                            <w:szCs w:val="15"/>
                          </w:rPr>
                        </w:pPr>
                        <w:r>
                          <w:rPr>
                            <w:rStyle w:val="st1"/>
                            <w:rFonts w:eastAsia="Times New Roman"/>
                            <w:sz w:val="15"/>
                            <w:szCs w:val="15"/>
                          </w:rPr>
                          <w:t>Where such person commits a similar violation within three</w:t>
                        </w:r>
                        <w:r>
                          <w:rPr>
                            <w:rStyle w:val="st1"/>
                            <w:rFonts w:eastAsia="Times New Roman"/>
                            <w:sz w:val="15"/>
                            <w:szCs w:val="15"/>
                          </w:rPr>
                          <w:t xml:space="preserve"> years of the date of the previous violation, such fine shall be doubled.</w:t>
                        </w:r>
                      </w:p>
                      <w:p w:rsidR="00000000" w:rsidRDefault="002C3656">
                        <w:pPr>
                          <w:numPr>
                            <w:ilvl w:val="0"/>
                            <w:numId w:val="6"/>
                          </w:numPr>
                          <w:spacing w:afterAutospacing="0"/>
                          <w:jc w:val="both"/>
                          <w:rPr>
                            <w:rFonts w:eastAsia="Times New Roman"/>
                            <w:sz w:val="15"/>
                            <w:szCs w:val="15"/>
                          </w:rPr>
                        </w:pPr>
                        <w:r>
                          <w:rPr>
                            <w:rStyle w:val="st1"/>
                            <w:rFonts w:eastAsia="Times New Roman"/>
                            <w:sz w:val="15"/>
                            <w:szCs w:val="15"/>
                          </w:rPr>
                          <w:t>In all cases, in addition to receiving a fine, such person shall be ordered to pay appropriate compensation if the violation inflicted harm to any oil resources or to any other perso</w:t>
                        </w:r>
                        <w:r>
                          <w:rPr>
                            <w:rStyle w:val="st1"/>
                            <w:rFonts w:eastAsia="Times New Roman"/>
                            <w:sz w:val="15"/>
                            <w:szCs w:val="15"/>
                          </w:rPr>
                          <w:t>n, without prejudice to the person in charge of oil operations being ordered to restore the status quo at his own expense.</w:t>
                        </w:r>
                      </w:p>
                      <w:p w:rsidR="00000000" w:rsidRDefault="002C3656">
                        <w:pPr>
                          <w:numPr>
                            <w:ilvl w:val="0"/>
                            <w:numId w:val="6"/>
                          </w:numPr>
                          <w:spacing w:afterAutospacing="0"/>
                          <w:jc w:val="both"/>
                          <w:rPr>
                            <w:rFonts w:eastAsia="Times New Roman"/>
                            <w:sz w:val="15"/>
                            <w:szCs w:val="15"/>
                          </w:rPr>
                        </w:pPr>
                        <w:r>
                          <w:rPr>
                            <w:rStyle w:val="st2"/>
                            <w:rFonts w:eastAsia="Times New Roman"/>
                            <w:sz w:val="15"/>
                            <w:szCs w:val="15"/>
                          </w:rPr>
                          <w:t>The provisions of paragraphs (1), (2) and (3) above shall not preclude the application of different rights and penalties available pu</w:t>
                        </w:r>
                        <w:r>
                          <w:rPr>
                            <w:rStyle w:val="st2"/>
                            <w:rFonts w:eastAsia="Times New Roman"/>
                            <w:sz w:val="15"/>
                            <w:szCs w:val="15"/>
                          </w:rPr>
                          <w:t>rsuant to the Law or any contract or international agreement.</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45"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hyperlink r:id="rId32" w:tgtFrame="_blank" w:history="1">
                    <w:r>
                      <w:rPr>
                        <w:rStyle w:val="Hyperlink"/>
                        <w:rFonts w:eastAsia="Times New Roman"/>
                      </w:rPr>
                      <w:t xml:space="preserve">Article 12 </w:t>
                    </w:r>
                  </w:hyperlink>
                  <w:r>
                    <w:rPr>
                      <w:rFonts w:ascii="Tahoma" w:eastAsia="Times New Roman" w:hAnsi="Tahoma" w:cs="Tahoma"/>
                      <w:sz w:val="14"/>
                      <w:szCs w:val="14"/>
                    </w:rPr>
                    <w:t>(</w:t>
                  </w:r>
                  <w:hyperlink r:id="rId33" w:tgtFrame="_blank" w:history="1">
                    <w:r>
                      <w:rPr>
                        <w:rStyle w:val="Hyperlink"/>
                        <w:rFonts w:ascii="Tahoma" w:eastAsia="Times New Roman" w:hAnsi="Tahoma" w:cs="Tahoma"/>
                      </w:rPr>
                      <w:t>Amended By Decree 35/2002</w:t>
                    </w:r>
                  </w:hyperlink>
                  <w:r>
                    <w:rPr>
                      <w:rFonts w:eastAsia="Times New Roman"/>
                      <w:sz w:val="20"/>
                      <w:szCs w:val="20"/>
                    </w:rPr>
                    <w:t>)</w:t>
                  </w:r>
                  <w:r>
                    <w:rPr>
                      <w:rFonts w:eastAsia="Times New Roman"/>
                      <w:noProof/>
                      <w:sz w:val="20"/>
                      <w:szCs w:val="20"/>
                    </w:rPr>
                    <w:drawing>
                      <wp:inline distT="0" distB="0" distL="0" distR="0">
                        <wp:extent cx="190500" cy="190500"/>
                        <wp:effectExtent l="19050" t="0" r="0" b="0"/>
                        <wp:docPr id="22" name="Picture 22" descr="am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mended"/>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00000" w:rsidRDefault="002C3656">
                  <w:pPr>
                    <w:spacing w:before="0" w:beforeAutospacing="0" w:after="0" w:afterAutospacing="0"/>
                    <w:jc w:val="both"/>
                    <w:rPr>
                      <w:rFonts w:eastAsia="Times New Roman"/>
                      <w:sz w:val="16"/>
                      <w:szCs w:val="16"/>
                    </w:rPr>
                  </w:pPr>
                </w:p>
                <w:tbl>
                  <w:tblPr>
                    <w:tblW w:w="0" w:type="auto"/>
                    <w:tblCellMar>
                      <w:left w:w="0" w:type="dxa"/>
                      <w:right w:w="0" w:type="dxa"/>
                    </w:tblCellMar>
                    <w:tblLook w:val="04A0"/>
                  </w:tblPr>
                  <w:tblGrid>
                    <w:gridCol w:w="8788"/>
                  </w:tblGrid>
                  <w:tr w:rsidR="00000000">
                    <w:trPr>
                      <w:trHeight w:val="225"/>
                    </w:trPr>
                    <w:tc>
                      <w:tcPr>
                        <w:tcW w:w="21375"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ind w:hanging="240"/>
                          <w:jc w:val="both"/>
                          <w:divId w:val="385881718"/>
                          <w:rPr>
                            <w:rFonts w:eastAsia="Times New Roman"/>
                            <w:sz w:val="15"/>
                            <w:szCs w:val="15"/>
                          </w:rPr>
                        </w:pPr>
                        <w:r>
                          <w:rPr>
                            <w:rStyle w:val="st1"/>
                            <w:rFonts w:eastAsia="Times New Roman"/>
                            <w:sz w:val="15"/>
                            <w:szCs w:val="15"/>
                          </w:rPr>
                          <w:t>1.      </w:t>
                        </w:r>
                        <w:r>
                          <w:rPr>
                            <w:rStyle w:val="st1"/>
                            <w:rFonts w:eastAsia="Times New Roman"/>
                            <w:sz w:val="15"/>
                            <w:szCs w:val="15"/>
                          </w:rPr>
                          <w:t>A resolution for the imposition of penalties and compensation decided according to the provisions of this Decree-Law shall be issued by the Minister of Energy and Industry upon a proposal by Qatar Petroleum.</w:t>
                        </w:r>
                      </w:p>
                      <w:p w:rsidR="00000000" w:rsidRDefault="002C3656">
                        <w:pPr>
                          <w:numPr>
                            <w:ilvl w:val="0"/>
                            <w:numId w:val="7"/>
                          </w:numPr>
                          <w:spacing w:afterAutospacing="0"/>
                          <w:jc w:val="both"/>
                          <w:rPr>
                            <w:rFonts w:eastAsia="Times New Roman"/>
                            <w:sz w:val="15"/>
                            <w:szCs w:val="15"/>
                          </w:rPr>
                        </w:pPr>
                        <w:r>
                          <w:rPr>
                            <w:rStyle w:val="st1"/>
                            <w:rFonts w:eastAsia="Times New Roman"/>
                            <w:sz w:val="15"/>
                            <w:szCs w:val="15"/>
                          </w:rPr>
                          <w:t xml:space="preserve">Such resolution shall be executable through the </w:t>
                        </w:r>
                        <w:r>
                          <w:rPr>
                            <w:rStyle w:val="st1"/>
                            <w:rFonts w:eastAsia="Times New Roman"/>
                            <w:sz w:val="15"/>
                            <w:szCs w:val="15"/>
                          </w:rPr>
                          <w:t>administrative channels unless the Minister decides otherwise.</w:t>
                        </w:r>
                      </w:p>
                      <w:p w:rsidR="00000000" w:rsidRDefault="002C3656">
                        <w:pPr>
                          <w:numPr>
                            <w:ilvl w:val="0"/>
                            <w:numId w:val="7"/>
                          </w:numPr>
                          <w:spacing w:afterAutospacing="0"/>
                          <w:jc w:val="both"/>
                          <w:rPr>
                            <w:rFonts w:eastAsia="Times New Roman"/>
                            <w:sz w:val="15"/>
                            <w:szCs w:val="15"/>
                          </w:rPr>
                        </w:pPr>
                        <w:r>
                          <w:rPr>
                            <w:rStyle w:val="st2"/>
                            <w:rFonts w:eastAsia="Times New Roman"/>
                            <w:sz w:val="15"/>
                            <w:szCs w:val="15"/>
                          </w:rPr>
                          <w:t>The Minister shall have the right, before issuing the resolution, to form a technical committee to study the issue, and the person in charge of the oil operations shall have the right to expres</w:t>
                        </w:r>
                        <w:r>
                          <w:rPr>
                            <w:rStyle w:val="st2"/>
                            <w:rFonts w:eastAsia="Times New Roman"/>
                            <w:sz w:val="15"/>
                            <w:szCs w:val="15"/>
                          </w:rPr>
                          <w:t>s his opinion concerning any allegations made against him.</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47"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r>
                    <w:rPr>
                      <w:rFonts w:eastAsia="Times New Roman"/>
                      <w:sz w:val="18"/>
                      <w:szCs w:val="18"/>
                    </w:rPr>
                    <w:t xml:space="preserve">Article </w:t>
                  </w:r>
                  <w:r>
                    <w:rPr>
                      <w:rFonts w:eastAsia="Times New Roman"/>
                      <w:sz w:val="20"/>
                      <w:szCs w:val="20"/>
                    </w:rPr>
                    <w:t xml:space="preserve">13 </w:t>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ind w:hanging="240"/>
                          <w:jc w:val="both"/>
                          <w:divId w:val="881133741"/>
                          <w:rPr>
                            <w:rFonts w:eastAsia="Times New Roman"/>
                            <w:sz w:val="15"/>
                            <w:szCs w:val="15"/>
                          </w:rPr>
                        </w:pPr>
                        <w:r>
                          <w:rPr>
                            <w:rStyle w:val="st1"/>
                            <w:rFonts w:eastAsia="Times New Roman"/>
                            <w:sz w:val="15"/>
                            <w:szCs w:val="15"/>
                          </w:rPr>
                          <w:t>1.      The resolution shall be delivered by registered letter to the person in charge of the oil operations within ten days of its issuance.</w:t>
                        </w:r>
                      </w:p>
                      <w:p w:rsidR="00000000" w:rsidRDefault="002C3656">
                        <w:pPr>
                          <w:numPr>
                            <w:ilvl w:val="0"/>
                            <w:numId w:val="8"/>
                          </w:numPr>
                          <w:spacing w:afterAutospacing="0"/>
                          <w:jc w:val="both"/>
                          <w:rPr>
                            <w:rFonts w:eastAsia="Times New Roman"/>
                            <w:sz w:val="15"/>
                            <w:szCs w:val="15"/>
                          </w:rPr>
                        </w:pPr>
                        <w:r>
                          <w:rPr>
                            <w:rStyle w:val="st1"/>
                            <w:rFonts w:eastAsia="Times New Roman"/>
                            <w:sz w:val="15"/>
                            <w:szCs w:val="15"/>
                          </w:rPr>
                          <w:t>The person in charge of the oil operations may file a complaint against the resolution before the Council of Minister within thirty days of his receiving it.</w:t>
                        </w:r>
                      </w:p>
                      <w:p w:rsidR="00000000" w:rsidRDefault="002C3656">
                        <w:pPr>
                          <w:numPr>
                            <w:ilvl w:val="0"/>
                            <w:numId w:val="8"/>
                          </w:numPr>
                          <w:spacing w:afterAutospacing="0"/>
                          <w:jc w:val="both"/>
                          <w:rPr>
                            <w:rFonts w:eastAsia="Times New Roman"/>
                            <w:sz w:val="15"/>
                            <w:szCs w:val="15"/>
                          </w:rPr>
                        </w:pPr>
                        <w:r>
                          <w:rPr>
                            <w:rStyle w:val="st1"/>
                            <w:rFonts w:eastAsia="Times New Roman"/>
                            <w:sz w:val="15"/>
                            <w:szCs w:val="15"/>
                          </w:rPr>
                          <w:t xml:space="preserve">Such complaint shall not stop the execution of the resolution. Notwithstanding this, the Council </w:t>
                        </w:r>
                        <w:r>
                          <w:rPr>
                            <w:rStyle w:val="st1"/>
                            <w:rFonts w:eastAsia="Times New Roman"/>
                            <w:sz w:val="15"/>
                            <w:szCs w:val="15"/>
                          </w:rPr>
                          <w:t>of Ministers may, whenever necessary, order that the execution be stopped if it is shown that serious damage may result if the execution proceeds. In this case, the Council of Ministers may order the provision of an appropriate guarantee.</w:t>
                        </w:r>
                      </w:p>
                      <w:p w:rsidR="00000000" w:rsidRDefault="002C3656">
                        <w:pPr>
                          <w:numPr>
                            <w:ilvl w:val="0"/>
                            <w:numId w:val="8"/>
                          </w:numPr>
                          <w:spacing w:afterAutospacing="0"/>
                          <w:jc w:val="both"/>
                          <w:rPr>
                            <w:rFonts w:eastAsia="Times New Roman"/>
                            <w:sz w:val="15"/>
                            <w:szCs w:val="15"/>
                          </w:rPr>
                        </w:pPr>
                        <w:r>
                          <w:rPr>
                            <w:rStyle w:val="st2"/>
                            <w:rFonts w:eastAsia="Times New Roman"/>
                            <w:sz w:val="15"/>
                            <w:szCs w:val="15"/>
                          </w:rPr>
                          <w:t>In all cases, the</w:t>
                        </w:r>
                        <w:r>
                          <w:rPr>
                            <w:rStyle w:val="st2"/>
                            <w:rFonts w:eastAsia="Times New Roman"/>
                            <w:sz w:val="15"/>
                            <w:szCs w:val="15"/>
                          </w:rPr>
                          <w:t xml:space="preserve"> resolution of the Council of Ministers shall be final and not subject to appeal.</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48"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hyperlink r:id="rId34" w:tgtFrame="_blank" w:history="1">
                    <w:r>
                      <w:rPr>
                        <w:rStyle w:val="Hyperlink"/>
                        <w:rFonts w:eastAsia="Times New Roman"/>
                      </w:rPr>
                      <w:t xml:space="preserve">Article 14 </w:t>
                    </w:r>
                  </w:hyperlink>
                  <w:r>
                    <w:rPr>
                      <w:rFonts w:ascii="Tahoma" w:eastAsia="Times New Roman" w:hAnsi="Tahoma" w:cs="Tahoma"/>
                      <w:sz w:val="14"/>
                      <w:szCs w:val="14"/>
                    </w:rPr>
                    <w:t>(</w:t>
                  </w:r>
                  <w:hyperlink r:id="rId35" w:tgtFrame="_blank" w:history="1">
                    <w:r>
                      <w:rPr>
                        <w:rStyle w:val="Hyperlink"/>
                        <w:rFonts w:ascii="Tahoma" w:eastAsia="Times New Roman" w:hAnsi="Tahoma" w:cs="Tahoma"/>
                      </w:rPr>
                      <w:t>Amended By Decree 35/2002</w:t>
                    </w:r>
                  </w:hyperlink>
                  <w:r>
                    <w:rPr>
                      <w:rFonts w:eastAsia="Times New Roman"/>
                      <w:sz w:val="20"/>
                      <w:szCs w:val="20"/>
                    </w:rPr>
                    <w:t>)</w:t>
                  </w:r>
                  <w:r>
                    <w:rPr>
                      <w:rFonts w:eastAsia="Times New Roman"/>
                      <w:noProof/>
                      <w:sz w:val="20"/>
                      <w:szCs w:val="20"/>
                    </w:rPr>
                    <w:drawing>
                      <wp:inline distT="0" distB="0" distL="0" distR="0">
                        <wp:extent cx="190500" cy="190500"/>
                        <wp:effectExtent l="19050" t="0" r="0" b="0"/>
                        <wp:docPr id="25" name="Picture 25" descr="am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mended"/>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jc w:val="both"/>
                          <w:divId w:val="451050186"/>
                          <w:rPr>
                            <w:rFonts w:eastAsia="Times New Roman"/>
                            <w:sz w:val="15"/>
                            <w:szCs w:val="15"/>
                          </w:rPr>
                        </w:pPr>
                        <w:r>
                          <w:rPr>
                            <w:rStyle w:val="st1"/>
                            <w:rFonts w:eastAsia="Times New Roman"/>
                            <w:sz w:val="15"/>
                            <w:szCs w:val="15"/>
                          </w:rPr>
                          <w:t>Any provisions not regulated by this Decree-Law shall be regulated by virtue of a Decree in order to achieve the goals thereof, and the Minister of Energy and Industry shall issue the requisite b</w:t>
                        </w:r>
                        <w:r>
                          <w:rPr>
                            <w:rStyle w:val="st1"/>
                            <w:rFonts w:eastAsia="Times New Roman"/>
                            <w:sz w:val="15"/>
                            <w:szCs w:val="15"/>
                          </w:rPr>
                          <w:t>ylaws and resolutions to execute this Decree-Law.</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50" style="width:0;height:1.5pt" o:hralign="center" o:hrstd="t" o:hr="t" fillcolor="#a0a0a0" stroked="f"/>
                    </w:pict>
                  </w:r>
                </w:p>
                <w:p w:rsidR="00000000" w:rsidRDefault="002C3656">
                  <w:pPr>
                    <w:pStyle w:val="NormalWeb"/>
                    <w:jc w:val="both"/>
                    <w:rPr>
                      <w:sz w:val="15"/>
                      <w:szCs w:val="15"/>
                    </w:rPr>
                  </w:pPr>
                  <w:r>
                    <w:rPr>
                      <w:sz w:val="15"/>
                      <w:szCs w:val="15"/>
                    </w:rPr>
                    <w:t> </w:t>
                  </w:r>
                </w:p>
                <w:p w:rsidR="00000000" w:rsidRDefault="002C3656">
                  <w:pPr>
                    <w:spacing w:before="0" w:beforeAutospacing="0" w:after="0" w:afterAutospacing="0"/>
                    <w:jc w:val="both"/>
                    <w:rPr>
                      <w:rFonts w:eastAsia="Times New Roman"/>
                      <w:sz w:val="15"/>
                      <w:szCs w:val="15"/>
                    </w:rPr>
                  </w:pPr>
                  <w:r>
                    <w:rPr>
                      <w:rFonts w:eastAsia="Times New Roman"/>
                      <w:sz w:val="18"/>
                      <w:szCs w:val="18"/>
                    </w:rPr>
                    <w:t xml:space="preserve">Article </w:t>
                  </w:r>
                  <w:r>
                    <w:rPr>
                      <w:rFonts w:eastAsia="Times New Roman"/>
                      <w:sz w:val="20"/>
                      <w:szCs w:val="20"/>
                    </w:rPr>
                    <w:t xml:space="preserve">15 </w:t>
                  </w:r>
                </w:p>
                <w:p w:rsidR="00000000" w:rsidRDefault="002C3656">
                  <w:pPr>
                    <w:spacing w:before="0" w:beforeAutospacing="0" w:after="0" w:afterAutospacing="0"/>
                    <w:jc w:val="both"/>
                    <w:rPr>
                      <w:rFonts w:eastAsia="Times New Roman"/>
                      <w:sz w:val="16"/>
                      <w:szCs w:val="16"/>
                    </w:rPr>
                  </w:pPr>
                </w:p>
                <w:tbl>
                  <w:tblPr>
                    <w:tblW w:w="0" w:type="auto"/>
                    <w:tblInd w:w="53" w:type="dxa"/>
                    <w:tblCellMar>
                      <w:left w:w="0" w:type="dxa"/>
                      <w:right w:w="0" w:type="dxa"/>
                    </w:tblCellMar>
                    <w:tblLook w:val="04A0"/>
                  </w:tblPr>
                  <w:tblGrid>
                    <w:gridCol w:w="8735"/>
                  </w:tblGrid>
                  <w:tr w:rsidR="00000000">
                    <w:trPr>
                      <w:trHeight w:val="225"/>
                    </w:trPr>
                    <w:tc>
                      <w:tcPr>
                        <w:tcW w:w="21480" w:type="dxa"/>
                        <w:tcBorders>
                          <w:top w:val="single" w:sz="2" w:space="0" w:color="000000"/>
                          <w:left w:val="single" w:sz="2" w:space="0" w:color="000000"/>
                          <w:bottom w:val="single" w:sz="2" w:space="0" w:color="000000"/>
                          <w:right w:val="single" w:sz="2" w:space="0" w:color="000000"/>
                        </w:tcBorders>
                        <w:vAlign w:val="bottom"/>
                        <w:hideMark/>
                      </w:tcPr>
                      <w:p w:rsidR="00000000" w:rsidRDefault="002C3656">
                        <w:pPr>
                          <w:spacing w:before="0" w:beforeAutospacing="0" w:after="0" w:afterAutospacing="0"/>
                          <w:jc w:val="both"/>
                          <w:divId w:val="906649761"/>
                          <w:rPr>
                            <w:rFonts w:eastAsia="Times New Roman"/>
                            <w:sz w:val="15"/>
                            <w:szCs w:val="15"/>
                          </w:rPr>
                        </w:pPr>
                        <w:r>
                          <w:rPr>
                            <w:rStyle w:val="st1"/>
                            <w:rFonts w:eastAsia="Times New Roman"/>
                            <w:sz w:val="15"/>
                            <w:szCs w:val="15"/>
                          </w:rPr>
                          <w:t xml:space="preserve">All competent authorities, each within its jurisdiction, shall implement this Decree-Law which shall be effective from the date of its publication in the </w:t>
                        </w:r>
                        <w:r>
                          <w:rPr>
                            <w:rStyle w:val="st1"/>
                            <w:rFonts w:eastAsia="Times New Roman"/>
                            <w:i/>
                            <w:iCs/>
                            <w:sz w:val="15"/>
                            <w:szCs w:val="15"/>
                          </w:rPr>
                          <w:t>Official Gazette</w:t>
                        </w:r>
                        <w:r>
                          <w:rPr>
                            <w:rStyle w:val="st1"/>
                            <w:rFonts w:eastAsia="Times New Roman"/>
                            <w:sz w:val="15"/>
                            <w:szCs w:val="15"/>
                          </w:rPr>
                          <w:t>.</w:t>
                        </w:r>
                      </w:p>
                    </w:tc>
                  </w:tr>
                </w:tbl>
                <w:p w:rsidR="00000000" w:rsidRDefault="0026083B">
                  <w:pPr>
                    <w:spacing w:before="0" w:beforeAutospacing="0" w:after="0" w:afterAutospacing="0"/>
                    <w:jc w:val="both"/>
                    <w:rPr>
                      <w:rFonts w:eastAsia="Times New Roman"/>
                      <w:sz w:val="15"/>
                      <w:szCs w:val="15"/>
                    </w:rPr>
                  </w:pPr>
                  <w:r>
                    <w:rPr>
                      <w:rFonts w:eastAsia="Times New Roman"/>
                      <w:sz w:val="15"/>
                      <w:szCs w:val="15"/>
                    </w:rPr>
                    <w:pict>
                      <v:rect id="_x0000_i1051" style="width:0;height:1.5pt" o:hralign="center" o:hrstd="t" o:hr="t" fillcolor="#a0a0a0" stroked="f"/>
                    </w:pict>
                  </w:r>
                </w:p>
                <w:p w:rsidR="00000000" w:rsidRDefault="002C3656">
                  <w:pPr>
                    <w:pStyle w:val="NormalWeb"/>
                    <w:jc w:val="both"/>
                    <w:rPr>
                      <w:sz w:val="15"/>
                      <w:szCs w:val="15"/>
                    </w:rPr>
                  </w:pPr>
                  <w:r>
                    <w:rPr>
                      <w:sz w:val="15"/>
                      <w:szCs w:val="15"/>
                    </w:rPr>
                    <w:t> </w:t>
                  </w:r>
                </w:p>
              </w:tc>
            </w:tr>
          </w:tbl>
          <w:p w:rsidR="00000000" w:rsidRDefault="0026083B">
            <w:pPr>
              <w:spacing w:before="0" w:beforeAutospacing="0" w:after="0" w:afterAutospacing="0"/>
              <w:rPr>
                <w:rFonts w:eastAsia="Times New Roman"/>
                <w:sz w:val="15"/>
                <w:szCs w:val="15"/>
              </w:rPr>
            </w:pPr>
            <w:r>
              <w:rPr>
                <w:rFonts w:eastAsia="Times New Roman"/>
                <w:sz w:val="15"/>
                <w:szCs w:val="15"/>
              </w:rPr>
              <w:pict>
                <v:rect id="_x0000_i1052" style="width:0;height:.75pt" o:hralign="center" o:hrstd="t" o:hrnoshade="t" o:hr="t" fillcolor="black" stroked="f"/>
              </w:pict>
            </w:r>
          </w:p>
          <w:p w:rsidR="00000000" w:rsidRDefault="002C3656">
            <w:pPr>
              <w:spacing w:before="0" w:beforeAutospacing="0" w:after="0" w:afterAutospacing="0"/>
              <w:jc w:val="center"/>
              <w:rPr>
                <w:rFonts w:eastAsia="Times New Roman"/>
                <w:b/>
                <w:bCs/>
                <w:sz w:val="15"/>
                <w:szCs w:val="15"/>
              </w:rPr>
            </w:pPr>
            <w:r>
              <w:rPr>
                <w:rFonts w:eastAsia="Times New Roman"/>
                <w:b/>
                <w:bCs/>
                <w:sz w:val="15"/>
                <w:szCs w:val="15"/>
              </w:rPr>
              <w:t>Plea</w:t>
            </w:r>
            <w:r>
              <w:rPr>
                <w:rFonts w:eastAsia="Times New Roman"/>
                <w:b/>
                <w:bCs/>
                <w:sz w:val="15"/>
                <w:szCs w:val="15"/>
              </w:rPr>
              <w:t xml:space="preserve">se do not consider the material presented above Official </w:t>
            </w:r>
          </w:p>
          <w:p w:rsidR="00000000" w:rsidRDefault="002C3656">
            <w:pPr>
              <w:spacing w:before="0" w:beforeAutospacing="0" w:after="0" w:afterAutospacing="0"/>
              <w:jc w:val="center"/>
              <w:rPr>
                <w:rFonts w:eastAsia="Times New Roman"/>
                <w:b/>
                <w:bCs/>
                <w:sz w:val="15"/>
                <w:szCs w:val="15"/>
              </w:rPr>
            </w:pPr>
            <w:r>
              <w:rPr>
                <w:rFonts w:eastAsia="Times New Roman"/>
                <w:b/>
                <w:bCs/>
                <w:sz w:val="15"/>
                <w:szCs w:val="15"/>
              </w:rPr>
              <w:t>Al Meezan - Qatary Legal Portal</w:t>
            </w:r>
          </w:p>
        </w:tc>
        <w:tc>
          <w:tcPr>
            <w:tcW w:w="0" w:type="auto"/>
            <w:tcMar>
              <w:top w:w="15" w:type="dxa"/>
              <w:left w:w="15" w:type="dxa"/>
              <w:bottom w:w="15" w:type="dxa"/>
              <w:right w:w="15" w:type="dxa"/>
            </w:tcMar>
            <w:vAlign w:val="center"/>
            <w:hideMark/>
          </w:tcPr>
          <w:p w:rsidR="00000000" w:rsidRDefault="002C3656">
            <w:pPr>
              <w:spacing w:before="0" w:beforeAutospacing="0" w:after="0" w:afterAutospacing="0"/>
              <w:jc w:val="center"/>
              <w:rPr>
                <w:rFonts w:eastAsia="Times New Roman"/>
                <w:sz w:val="15"/>
                <w:szCs w:val="15"/>
              </w:rPr>
            </w:pPr>
          </w:p>
        </w:tc>
      </w:tr>
    </w:tbl>
    <w:p w:rsidR="00000000" w:rsidRDefault="002C3656">
      <w:pPr>
        <w:pStyle w:val="z-BottomofForm"/>
        <w:divId w:val="816386708"/>
      </w:pPr>
      <w:r>
        <w:t>Bottom of Form</w:t>
      </w:r>
    </w:p>
    <w:sectPr w:rsidR="000000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0420"/>
    <w:multiLevelType w:val="multilevel"/>
    <w:tmpl w:val="C090F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422754"/>
    <w:multiLevelType w:val="multilevel"/>
    <w:tmpl w:val="F90CD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0E5D31"/>
    <w:multiLevelType w:val="multilevel"/>
    <w:tmpl w:val="FA006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D8154F"/>
    <w:multiLevelType w:val="multilevel"/>
    <w:tmpl w:val="75360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27508B"/>
    <w:multiLevelType w:val="multilevel"/>
    <w:tmpl w:val="7722D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AA4E00"/>
    <w:multiLevelType w:val="multilevel"/>
    <w:tmpl w:val="58704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366685"/>
    <w:multiLevelType w:val="multilevel"/>
    <w:tmpl w:val="813C6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F744F8"/>
    <w:multiLevelType w:val="multilevel"/>
    <w:tmpl w:val="3A342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1"/>
  </w:num>
  <w:num w:numId="5">
    <w:abstractNumId w:val="2"/>
  </w:num>
  <w:num w:numId="6">
    <w:abstractNumId w:val="4"/>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noPunctuationKerning/>
  <w:characterSpacingControl w:val="doNotCompress"/>
  <w:compat/>
  <w:rsids>
    <w:rsidRoot w:val="0026083B"/>
    <w:rsid w:val="0026083B"/>
    <w:rsid w:val="002C36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b w:val="0"/>
      <w:bCs w:val="0"/>
      <w:strike w:val="0"/>
      <w:dstrike w:val="0"/>
      <w:color w:val="0000FF"/>
      <w:sz w:val="20"/>
      <w:szCs w:val="20"/>
      <w:u w:val="single"/>
      <w:effect w:val="none"/>
    </w:rPr>
  </w:style>
  <w:style w:type="character" w:styleId="FollowedHyperlink">
    <w:name w:val="FollowedHyperlink"/>
    <w:basedOn w:val="DefaultParagraphFont"/>
    <w:uiPriority w:val="99"/>
    <w:semiHidden/>
    <w:unhideWhenUsed/>
    <w:rPr>
      <w:b w:val="0"/>
      <w:bCs w:val="0"/>
      <w:strike w:val="0"/>
      <w:dstrike w:val="0"/>
      <w:color w:val="0000FF"/>
      <w:sz w:val="20"/>
      <w:szCs w:val="20"/>
      <w:u w:val="single"/>
      <w:effect w:val="none"/>
    </w:rPr>
  </w:style>
  <w:style w:type="paragraph" w:styleId="z-TopofForm">
    <w:name w:val="HTML Top of Form"/>
    <w:basedOn w:val="Normal"/>
    <w:next w:val="Normal"/>
    <w:link w:val="z-TopofFormChar"/>
    <w:hidden/>
    <w:uiPriority w:val="99"/>
    <w:semiHidden/>
    <w:unhideWhenUsed/>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NormalWeb">
    <w:name w:val="Normal (Web)"/>
    <w:basedOn w:val="Normal"/>
    <w:uiPriority w:val="99"/>
    <w:unhideWhenUsed/>
  </w:style>
  <w:style w:type="character" w:customStyle="1" w:styleId="st1">
    <w:name w:val="st1"/>
    <w:basedOn w:val="DefaultParagraphFont"/>
  </w:style>
  <w:style w:type="character" w:customStyle="1" w:styleId="st2">
    <w:name w:val="st2"/>
    <w:basedOn w:val="DefaultParagraphFont"/>
  </w:style>
  <w:style w:type="character" w:customStyle="1" w:styleId="st3">
    <w:name w:val="st3"/>
    <w:basedOn w:val="DefaultParagraphFont"/>
  </w:style>
  <w:style w:type="paragraph" w:styleId="z-BottomofForm">
    <w:name w:val="HTML Bottom of Form"/>
    <w:basedOn w:val="Normal"/>
    <w:next w:val="Normal"/>
    <w:link w:val="z-BottomofFormChar"/>
    <w:hidden/>
    <w:uiPriority w:val="99"/>
    <w:semiHidden/>
    <w:unhideWhenUsed/>
    <w:pPr>
      <w:pBdr>
        <w:top w:val="single" w:sz="6" w:space="1" w:color="auto"/>
      </w:pBdr>
      <w:spacing w:before="0" w:beforeAutospacing="0" w:after="0" w:afterAutospacing="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BalloonText">
    <w:name w:val="Balloon Text"/>
    <w:basedOn w:val="Normal"/>
    <w:link w:val="BalloonTextChar"/>
    <w:uiPriority w:val="99"/>
    <w:semiHidden/>
    <w:unhideWhenUsed/>
    <w:rsid w:val="002C365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656"/>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6386708">
      <w:bodyDiv w:val="1"/>
      <w:marLeft w:val="50"/>
      <w:marRight w:val="50"/>
      <w:marTop w:val="50"/>
      <w:marBottom w:val="50"/>
      <w:divBdr>
        <w:top w:val="none" w:sz="0" w:space="0" w:color="auto"/>
        <w:left w:val="none" w:sz="0" w:space="0" w:color="auto"/>
        <w:bottom w:val="none" w:sz="0" w:space="0" w:color="auto"/>
        <w:right w:val="none" w:sz="0" w:space="0" w:color="auto"/>
      </w:divBdr>
      <w:divsChild>
        <w:div w:id="524444984">
          <w:marLeft w:val="0"/>
          <w:marRight w:val="0"/>
          <w:marTop w:val="0"/>
          <w:marBottom w:val="0"/>
          <w:divBdr>
            <w:top w:val="none" w:sz="0" w:space="0" w:color="auto"/>
            <w:left w:val="none" w:sz="0" w:space="0" w:color="auto"/>
            <w:bottom w:val="none" w:sz="0" w:space="0" w:color="auto"/>
            <w:right w:val="none" w:sz="0" w:space="0" w:color="auto"/>
          </w:divBdr>
          <w:divsChild>
            <w:div w:id="1851331887">
              <w:marLeft w:val="0"/>
              <w:marRight w:val="0"/>
              <w:marTop w:val="0"/>
              <w:marBottom w:val="0"/>
              <w:divBdr>
                <w:top w:val="none" w:sz="0" w:space="0" w:color="auto"/>
                <w:left w:val="none" w:sz="0" w:space="0" w:color="auto"/>
                <w:bottom w:val="none" w:sz="0" w:space="0" w:color="auto"/>
                <w:right w:val="none" w:sz="0" w:space="0" w:color="auto"/>
              </w:divBdr>
            </w:div>
            <w:div w:id="1026636082">
              <w:marLeft w:val="0"/>
              <w:marRight w:val="0"/>
              <w:marTop w:val="0"/>
              <w:marBottom w:val="0"/>
              <w:divBdr>
                <w:top w:val="none" w:sz="0" w:space="0" w:color="auto"/>
                <w:left w:val="none" w:sz="0" w:space="0" w:color="auto"/>
                <w:bottom w:val="none" w:sz="0" w:space="0" w:color="auto"/>
                <w:right w:val="none" w:sz="0" w:space="0" w:color="auto"/>
              </w:divBdr>
            </w:div>
            <w:div w:id="1311401240">
              <w:marLeft w:val="0"/>
              <w:marRight w:val="0"/>
              <w:marTop w:val="0"/>
              <w:marBottom w:val="80"/>
              <w:divBdr>
                <w:top w:val="none" w:sz="0" w:space="0" w:color="auto"/>
                <w:left w:val="none" w:sz="0" w:space="0" w:color="auto"/>
                <w:bottom w:val="none" w:sz="0" w:space="0" w:color="auto"/>
                <w:right w:val="none" w:sz="0" w:space="0" w:color="auto"/>
              </w:divBdr>
            </w:div>
            <w:div w:id="1990360066">
              <w:marLeft w:val="0"/>
              <w:marRight w:val="0"/>
              <w:marTop w:val="0"/>
              <w:marBottom w:val="80"/>
              <w:divBdr>
                <w:top w:val="none" w:sz="0" w:space="0" w:color="auto"/>
                <w:left w:val="none" w:sz="0" w:space="0" w:color="auto"/>
                <w:bottom w:val="none" w:sz="0" w:space="0" w:color="auto"/>
                <w:right w:val="none" w:sz="0" w:space="0" w:color="auto"/>
              </w:divBdr>
            </w:div>
            <w:div w:id="394743163">
              <w:marLeft w:val="0"/>
              <w:marRight w:val="0"/>
              <w:marTop w:val="0"/>
              <w:marBottom w:val="0"/>
              <w:divBdr>
                <w:top w:val="none" w:sz="0" w:space="0" w:color="auto"/>
                <w:left w:val="none" w:sz="0" w:space="0" w:color="auto"/>
                <w:bottom w:val="none" w:sz="0" w:space="0" w:color="auto"/>
                <w:right w:val="none" w:sz="0" w:space="0" w:color="auto"/>
              </w:divBdr>
            </w:div>
            <w:div w:id="384915702">
              <w:marLeft w:val="0"/>
              <w:marRight w:val="0"/>
              <w:marTop w:val="0"/>
              <w:marBottom w:val="80"/>
              <w:divBdr>
                <w:top w:val="none" w:sz="0" w:space="0" w:color="auto"/>
                <w:left w:val="none" w:sz="0" w:space="0" w:color="auto"/>
                <w:bottom w:val="none" w:sz="0" w:space="0" w:color="auto"/>
                <w:right w:val="none" w:sz="0" w:space="0" w:color="auto"/>
              </w:divBdr>
            </w:div>
            <w:div w:id="1962105690">
              <w:marLeft w:val="0"/>
              <w:marRight w:val="0"/>
              <w:marTop w:val="0"/>
              <w:marBottom w:val="80"/>
              <w:divBdr>
                <w:top w:val="none" w:sz="0" w:space="0" w:color="auto"/>
                <w:left w:val="none" w:sz="0" w:space="0" w:color="auto"/>
                <w:bottom w:val="none" w:sz="0" w:space="0" w:color="auto"/>
                <w:right w:val="none" w:sz="0" w:space="0" w:color="auto"/>
              </w:divBdr>
            </w:div>
            <w:div w:id="1024983956">
              <w:marLeft w:val="0"/>
              <w:marRight w:val="0"/>
              <w:marTop w:val="0"/>
              <w:marBottom w:val="80"/>
              <w:divBdr>
                <w:top w:val="none" w:sz="0" w:space="0" w:color="auto"/>
                <w:left w:val="none" w:sz="0" w:space="0" w:color="auto"/>
                <w:bottom w:val="none" w:sz="0" w:space="0" w:color="auto"/>
                <w:right w:val="none" w:sz="0" w:space="0" w:color="auto"/>
              </w:divBdr>
            </w:div>
            <w:div w:id="1252011506">
              <w:marLeft w:val="0"/>
              <w:marRight w:val="0"/>
              <w:marTop w:val="0"/>
              <w:marBottom w:val="80"/>
              <w:divBdr>
                <w:top w:val="none" w:sz="0" w:space="0" w:color="auto"/>
                <w:left w:val="none" w:sz="0" w:space="0" w:color="auto"/>
                <w:bottom w:val="none" w:sz="0" w:space="0" w:color="auto"/>
                <w:right w:val="none" w:sz="0" w:space="0" w:color="auto"/>
              </w:divBdr>
            </w:div>
            <w:div w:id="1319185052">
              <w:marLeft w:val="480"/>
              <w:marRight w:val="0"/>
              <w:marTop w:val="0"/>
              <w:marBottom w:val="100"/>
              <w:divBdr>
                <w:top w:val="none" w:sz="0" w:space="0" w:color="auto"/>
                <w:left w:val="none" w:sz="0" w:space="0" w:color="auto"/>
                <w:bottom w:val="none" w:sz="0" w:space="0" w:color="auto"/>
                <w:right w:val="none" w:sz="0" w:space="0" w:color="auto"/>
              </w:divBdr>
            </w:div>
            <w:div w:id="672882755">
              <w:marLeft w:val="480"/>
              <w:marRight w:val="0"/>
              <w:marTop w:val="0"/>
              <w:marBottom w:val="100"/>
              <w:divBdr>
                <w:top w:val="none" w:sz="0" w:space="0" w:color="auto"/>
                <w:left w:val="none" w:sz="0" w:space="0" w:color="auto"/>
                <w:bottom w:val="none" w:sz="0" w:space="0" w:color="auto"/>
                <w:right w:val="none" w:sz="0" w:space="0" w:color="auto"/>
              </w:divBdr>
            </w:div>
            <w:div w:id="291135601">
              <w:marLeft w:val="0"/>
              <w:marRight w:val="0"/>
              <w:marTop w:val="0"/>
              <w:marBottom w:val="0"/>
              <w:divBdr>
                <w:top w:val="none" w:sz="0" w:space="0" w:color="auto"/>
                <w:left w:val="none" w:sz="0" w:space="0" w:color="auto"/>
                <w:bottom w:val="none" w:sz="0" w:space="0" w:color="auto"/>
                <w:right w:val="none" w:sz="0" w:space="0" w:color="auto"/>
              </w:divBdr>
            </w:div>
            <w:div w:id="1830169854">
              <w:marLeft w:val="480"/>
              <w:marRight w:val="0"/>
              <w:marTop w:val="0"/>
              <w:marBottom w:val="100"/>
              <w:divBdr>
                <w:top w:val="none" w:sz="0" w:space="0" w:color="auto"/>
                <w:left w:val="none" w:sz="0" w:space="0" w:color="auto"/>
                <w:bottom w:val="none" w:sz="0" w:space="0" w:color="auto"/>
                <w:right w:val="none" w:sz="0" w:space="0" w:color="auto"/>
              </w:divBdr>
            </w:div>
            <w:div w:id="1161384509">
              <w:marLeft w:val="480"/>
              <w:marRight w:val="0"/>
              <w:marTop w:val="0"/>
              <w:marBottom w:val="100"/>
              <w:divBdr>
                <w:top w:val="none" w:sz="0" w:space="0" w:color="auto"/>
                <w:left w:val="none" w:sz="0" w:space="0" w:color="auto"/>
                <w:bottom w:val="none" w:sz="0" w:space="0" w:color="auto"/>
                <w:right w:val="none" w:sz="0" w:space="0" w:color="auto"/>
              </w:divBdr>
            </w:div>
            <w:div w:id="1627006899">
              <w:marLeft w:val="0"/>
              <w:marRight w:val="0"/>
              <w:marTop w:val="0"/>
              <w:marBottom w:val="80"/>
              <w:divBdr>
                <w:top w:val="none" w:sz="0" w:space="0" w:color="auto"/>
                <w:left w:val="none" w:sz="0" w:space="0" w:color="auto"/>
                <w:bottom w:val="none" w:sz="0" w:space="0" w:color="auto"/>
                <w:right w:val="none" w:sz="0" w:space="0" w:color="auto"/>
              </w:divBdr>
            </w:div>
            <w:div w:id="400493149">
              <w:marLeft w:val="0"/>
              <w:marRight w:val="0"/>
              <w:marTop w:val="0"/>
              <w:marBottom w:val="80"/>
              <w:divBdr>
                <w:top w:val="none" w:sz="0" w:space="0" w:color="auto"/>
                <w:left w:val="none" w:sz="0" w:space="0" w:color="auto"/>
                <w:bottom w:val="none" w:sz="0" w:space="0" w:color="auto"/>
                <w:right w:val="none" w:sz="0" w:space="0" w:color="auto"/>
              </w:divBdr>
            </w:div>
            <w:div w:id="647511182">
              <w:marLeft w:val="480"/>
              <w:marRight w:val="0"/>
              <w:marTop w:val="0"/>
              <w:marBottom w:val="100"/>
              <w:divBdr>
                <w:top w:val="none" w:sz="0" w:space="0" w:color="auto"/>
                <w:left w:val="none" w:sz="0" w:space="0" w:color="auto"/>
                <w:bottom w:val="none" w:sz="0" w:space="0" w:color="auto"/>
                <w:right w:val="none" w:sz="0" w:space="0" w:color="auto"/>
              </w:divBdr>
            </w:div>
            <w:div w:id="385881718">
              <w:marLeft w:val="480"/>
              <w:marRight w:val="0"/>
              <w:marTop w:val="0"/>
              <w:marBottom w:val="100"/>
              <w:divBdr>
                <w:top w:val="none" w:sz="0" w:space="0" w:color="auto"/>
                <w:left w:val="none" w:sz="0" w:space="0" w:color="auto"/>
                <w:bottom w:val="none" w:sz="0" w:space="0" w:color="auto"/>
                <w:right w:val="none" w:sz="0" w:space="0" w:color="auto"/>
              </w:divBdr>
            </w:div>
            <w:div w:id="881133741">
              <w:marLeft w:val="480"/>
              <w:marRight w:val="0"/>
              <w:marTop w:val="0"/>
              <w:marBottom w:val="100"/>
              <w:divBdr>
                <w:top w:val="none" w:sz="0" w:space="0" w:color="auto"/>
                <w:left w:val="none" w:sz="0" w:space="0" w:color="auto"/>
                <w:bottom w:val="none" w:sz="0" w:space="0" w:color="auto"/>
                <w:right w:val="none" w:sz="0" w:space="0" w:color="auto"/>
              </w:divBdr>
            </w:div>
            <w:div w:id="451050186">
              <w:marLeft w:val="0"/>
              <w:marRight w:val="0"/>
              <w:marTop w:val="0"/>
              <w:marBottom w:val="80"/>
              <w:divBdr>
                <w:top w:val="none" w:sz="0" w:space="0" w:color="auto"/>
                <w:left w:val="none" w:sz="0" w:space="0" w:color="auto"/>
                <w:bottom w:val="none" w:sz="0" w:space="0" w:color="auto"/>
                <w:right w:val="none" w:sz="0" w:space="0" w:color="auto"/>
              </w:divBdr>
            </w:div>
            <w:div w:id="906649761">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hyperlink" Target="http://www.almeezan.qa/LawArticles.aspx?LawArticleID=25928&amp;LawID=2285&amp;language=en" TargetMode="External"/><Relationship Id="rId18" Type="http://schemas.openxmlformats.org/officeDocument/2006/relationships/hyperlink" Target="http://www.almeezan.qa/LawPage.aspx?id=2513&amp;language=en" TargetMode="External"/><Relationship Id="rId26" Type="http://schemas.openxmlformats.org/officeDocument/2006/relationships/hyperlink" Target="file:///C:\Users\Dr%20Alramahi\Downloads\LawArticles.aspx%3fLawArticleID=42214&amp;lawId=2716&amp;language=en" TargetMode="External"/><Relationship Id="rId3" Type="http://schemas.openxmlformats.org/officeDocument/2006/relationships/settings" Target="settings.xml"/><Relationship Id="rId21" Type="http://schemas.openxmlformats.org/officeDocument/2006/relationships/hyperlink" Target="http://www.almeezan.qa/LawPage.aspx?id=2933&amp;language=en" TargetMode="External"/><Relationship Id="rId34" Type="http://schemas.openxmlformats.org/officeDocument/2006/relationships/hyperlink" Target="file:///C:\Users\Dr%20Alramahi\Downloads\LawArticles.aspx%3fLawArticleID=42224&amp;lawId=2716&amp;language=en" TargetMode="External"/><Relationship Id="rId7" Type="http://schemas.openxmlformats.org/officeDocument/2006/relationships/image" Target="media/image2.wmf"/><Relationship Id="rId12" Type="http://schemas.openxmlformats.org/officeDocument/2006/relationships/hyperlink" Target="http://www.almeezan.qa/LawArticles.aspx?LawArticleID=25926&amp;LawID=2285&amp;language=en" TargetMode="External"/><Relationship Id="rId17" Type="http://schemas.openxmlformats.org/officeDocument/2006/relationships/hyperlink" Target="http://www.almeezan.qa/LawPage.aspx?id=2505&amp;language=en" TargetMode="External"/><Relationship Id="rId25" Type="http://schemas.openxmlformats.org/officeDocument/2006/relationships/hyperlink" Target="file:///C:\Users\Dr%20Alramahi\Downloads\LawPage.aspx%3fid=569&amp;language=en" TargetMode="External"/><Relationship Id="rId33" Type="http://schemas.openxmlformats.org/officeDocument/2006/relationships/hyperlink" Target="file:///C:\Users\Dr%20Alramahi\Downloads\LawPage.aspx%3fid=569&amp;language=en" TargetMode="External"/><Relationship Id="rId2" Type="http://schemas.openxmlformats.org/officeDocument/2006/relationships/styles" Target="styles.xml"/><Relationship Id="rId16" Type="http://schemas.openxmlformats.org/officeDocument/2006/relationships/hyperlink" Target="http://www.almeezan.qa/LawPage.aspx?id=2498&amp;language=en" TargetMode="External"/><Relationship Id="rId20" Type="http://schemas.openxmlformats.org/officeDocument/2006/relationships/hyperlink" Target="http://www.almeezan.qa/LawPage.aspx?id=457&amp;language=en" TargetMode="External"/><Relationship Id="rId29" Type="http://schemas.openxmlformats.org/officeDocument/2006/relationships/hyperlink" Target="file:///C:\Users\Dr%20Alramahi\Downloads\LawPage.aspx%3fid=569&amp;language=en" TargetMode="Externa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enwww.almeezan.qa/LawPage.aspx?id=2285&amp;language=en" TargetMode="External"/><Relationship Id="rId24" Type="http://schemas.openxmlformats.org/officeDocument/2006/relationships/hyperlink" Target="file:///C:\Users\Dr%20Alramahi\Downloads\LawArticles.aspx%3fLawArticleID=42212&amp;lawId=2716&amp;language=en" TargetMode="External"/><Relationship Id="rId32" Type="http://schemas.openxmlformats.org/officeDocument/2006/relationships/hyperlink" Target="file:///C:\Users\Dr%20Alramahi\Downloads\LawArticles.aspx%3fLawArticleID=42221&amp;lawId=2716&amp;language=en" TargetMode="External"/><Relationship Id="rId37"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hyperlink" Target="http://www.almeezan.qa/LawPage.aspx?id=340&amp;language=en" TargetMode="External"/><Relationship Id="rId23" Type="http://schemas.openxmlformats.org/officeDocument/2006/relationships/hyperlink" Target="file:///C:\Users\Dr%20Alramahi\Downloads\LawPage.aspx%3fid=569&amp;language=en" TargetMode="External"/><Relationship Id="rId28" Type="http://schemas.openxmlformats.org/officeDocument/2006/relationships/hyperlink" Target="file:///C:\Users\Dr%20Alramahi\Downloads\LawArticles.aspx%3fLawArticleID=42216&amp;lawId=2716&amp;language=en" TargetMode="External"/><Relationship Id="rId36" Type="http://schemas.openxmlformats.org/officeDocument/2006/relationships/fontTable" Target="fontTable.xml"/><Relationship Id="rId10" Type="http://schemas.openxmlformats.org/officeDocument/2006/relationships/image" Target="http://www.almeezan.qa/Images/star.png" TargetMode="External"/><Relationship Id="rId19" Type="http://schemas.openxmlformats.org/officeDocument/2006/relationships/hyperlink" Target="http://www.almeezan.qa/LawPage.aspx?id=2517&amp;language=en" TargetMode="External"/><Relationship Id="rId31" Type="http://schemas.openxmlformats.org/officeDocument/2006/relationships/hyperlink" Target="file:///C:\Users\Dr%20Alramahi\Downloads\LawPage.aspx%3fid=569&amp;language=en" TargetMode="External"/><Relationship Id="rId4" Type="http://schemas.openxmlformats.org/officeDocument/2006/relationships/webSettings" Target="webSettings.xml"/><Relationship Id="rId9" Type="http://schemas.openxmlformats.org/officeDocument/2006/relationships/image" Target="http://www.almeezan.qa/Images/en/ALMEEZAN_en.png" TargetMode="External"/><Relationship Id="rId14" Type="http://schemas.openxmlformats.org/officeDocument/2006/relationships/hyperlink" Target="http://www.almeezan.qa/LawArticles.aspx?LawArticleID=25944&amp;LawID=2285&amp;language=en" TargetMode="External"/><Relationship Id="rId22" Type="http://schemas.openxmlformats.org/officeDocument/2006/relationships/hyperlink" Target="file:///C:\Users\Dr%20Alramahi\Downloads\LawArticles.aspx%3fLawArticleID=42210&amp;lawId=2716&amp;language=en" TargetMode="External"/><Relationship Id="rId27" Type="http://schemas.openxmlformats.org/officeDocument/2006/relationships/hyperlink" Target="file:///C:\Users\Dr%20Alramahi\Downloads\LawPage.aspx%3fid=569&amp;language=en" TargetMode="External"/><Relationship Id="rId30" Type="http://schemas.openxmlformats.org/officeDocument/2006/relationships/hyperlink" Target="file:///C:\Users\Dr%20Alramahi\Downloads\LawArticles.aspx%3fLawArticleID=42218&amp;lawId=2716&amp;language=en" TargetMode="External"/><Relationship Id="rId35" Type="http://schemas.openxmlformats.org/officeDocument/2006/relationships/hyperlink" Target="file:///C:\Users\Dr%20Alramahi\Downloads\LawPage.aspx%3fid=569&amp;language=e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1473</Words>
  <Characters>10152</Characters>
  <Application>Microsoft Office Word</Application>
  <DocSecurity>0</DocSecurity>
  <Lines>84</Lines>
  <Paragraphs>23</Paragraphs>
  <ScaleCrop>false</ScaleCrop>
  <Company/>
  <LinksUpToDate>false</LinksUpToDate>
  <CharactersWithSpaces>11602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Decree Law No. 4 of 1977 on Preserving Petroleum Resources</dc:title>
  <dc:creator>Dr Alramahi</dc:creator>
  <cp:lastModifiedBy>Dr Alramahi</cp:lastModifiedBy>
  <cp:revision>2</cp:revision>
  <dcterms:created xsi:type="dcterms:W3CDTF">2016-03-20T21:47:00Z</dcterms:created>
  <dcterms:modified xsi:type="dcterms:W3CDTF">2016-03-20T21:47:00Z</dcterms:modified>
</cp:coreProperties>
</file>