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6D1" w:rsidRPr="002A56D1" w:rsidRDefault="002A56D1" w:rsidP="002A56D1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2A56D1">
        <w:rPr>
          <w:rFonts w:ascii="Arial" w:eastAsia="Times New Roman" w:hAnsi="Arial" w:cs="Arial"/>
          <w:color w:val="061C37"/>
          <w:sz w:val="20"/>
          <w:szCs w:val="20"/>
          <w:lang w:eastAsia="en-GB"/>
        </w:rPr>
        <w:fldChar w:fldCharType="begin"/>
      </w:r>
      <w:r w:rsidRPr="002A56D1">
        <w:rPr>
          <w:rFonts w:ascii="Arial" w:eastAsia="Times New Roman" w:hAnsi="Arial" w:cs="Arial"/>
          <w:color w:val="061C37"/>
          <w:sz w:val="20"/>
          <w:szCs w:val="20"/>
          <w:lang w:eastAsia="en-GB"/>
        </w:rPr>
        <w:instrText xml:space="preserve"> HYPERLINK "http://www.moo.oil.gov.iq/PCLD/PCLD/contact%20us.html" </w:instrText>
      </w:r>
      <w:r w:rsidRPr="002A56D1">
        <w:rPr>
          <w:rFonts w:ascii="Arial" w:eastAsia="Times New Roman" w:hAnsi="Arial" w:cs="Arial"/>
          <w:color w:val="061C37"/>
          <w:sz w:val="20"/>
          <w:szCs w:val="20"/>
          <w:lang w:eastAsia="en-GB"/>
        </w:rPr>
        <w:fldChar w:fldCharType="separate"/>
      </w:r>
      <w:r w:rsidRPr="002A56D1">
        <w:rPr>
          <w:rFonts w:ascii="Arial" w:eastAsia="Times New Roman" w:hAnsi="Arial" w:cs="Arial"/>
          <w:b/>
          <w:bCs/>
          <w:color w:val="FFFFFF"/>
          <w:sz w:val="23"/>
          <w:szCs w:val="23"/>
          <w:lang w:eastAsia="en-GB"/>
        </w:rPr>
        <w:br/>
      </w:r>
      <w:r w:rsidRPr="002A56D1">
        <w:rPr>
          <w:rFonts w:ascii="Arial" w:eastAsia="Times New Roman" w:hAnsi="Arial" w:cs="Arial"/>
          <w:b/>
          <w:bCs/>
          <w:color w:val="FFFFFF"/>
          <w:sz w:val="23"/>
          <w:szCs w:val="23"/>
          <w:rtl/>
          <w:lang w:eastAsia="en-GB"/>
        </w:rPr>
        <w:t>اتصل بنا</w:t>
      </w:r>
      <w:r w:rsidRPr="002A56D1">
        <w:rPr>
          <w:rFonts w:ascii="Arial" w:eastAsia="Times New Roman" w:hAnsi="Arial" w:cs="Arial"/>
          <w:color w:val="061C37"/>
          <w:sz w:val="20"/>
          <w:szCs w:val="20"/>
          <w:lang w:eastAsia="en-GB"/>
        </w:rPr>
        <w:fldChar w:fldCharType="end"/>
      </w:r>
    </w:p>
    <w:p w:rsidR="002A56D1" w:rsidRPr="002A56D1" w:rsidRDefault="002A56D1" w:rsidP="002A56D1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hyperlink r:id="rId5" w:history="1">
        <w:r w:rsidRPr="002A56D1">
          <w:rPr>
            <w:rFonts w:ascii="Arial" w:eastAsia="Times New Roman" w:hAnsi="Arial" w:cs="Arial"/>
            <w:b/>
            <w:bCs/>
            <w:color w:val="BEE399"/>
            <w:sz w:val="23"/>
            <w:szCs w:val="23"/>
            <w:rtl/>
            <w:lang w:eastAsia="en-GB"/>
          </w:rPr>
          <w:t>الحقول النفطية التي تم استثمارها</w:t>
        </w:r>
      </w:hyperlink>
    </w:p>
    <w:p w:rsidR="002A56D1" w:rsidRPr="002A56D1" w:rsidRDefault="002A56D1" w:rsidP="002A56D1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hyperlink r:id="rId6" w:history="1">
        <w:r w:rsidRPr="002A56D1">
          <w:rPr>
            <w:rFonts w:ascii="Arial" w:eastAsia="Times New Roman" w:hAnsi="Arial" w:cs="Arial"/>
            <w:b/>
            <w:bCs/>
            <w:color w:val="FFFFFF"/>
            <w:sz w:val="23"/>
            <w:szCs w:val="23"/>
            <w:rtl/>
            <w:lang w:eastAsia="en-GB"/>
          </w:rPr>
          <w:t>ملامح عقود الخدمة والشركات المؤهلة</w:t>
        </w:r>
      </w:hyperlink>
    </w:p>
    <w:p w:rsidR="002A56D1" w:rsidRPr="002A56D1" w:rsidRDefault="002A56D1" w:rsidP="002A56D1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hyperlink r:id="rId7" w:history="1">
        <w:r w:rsidRPr="002A56D1">
          <w:rPr>
            <w:rFonts w:ascii="Arial" w:eastAsia="Times New Roman" w:hAnsi="Arial" w:cs="Arial"/>
            <w:b/>
            <w:bCs/>
            <w:color w:val="FFFFFF"/>
            <w:sz w:val="23"/>
            <w:szCs w:val="23"/>
            <w:rtl/>
            <w:lang w:eastAsia="en-GB"/>
          </w:rPr>
          <w:t>واجبات الاقسام والدورات</w:t>
        </w:r>
      </w:hyperlink>
    </w:p>
    <w:p w:rsidR="002A56D1" w:rsidRPr="002A56D1" w:rsidRDefault="002A56D1" w:rsidP="002A56D1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hyperlink r:id="rId8" w:history="1">
        <w:r w:rsidRPr="002A56D1">
          <w:rPr>
            <w:rFonts w:ascii="Arial" w:eastAsia="Times New Roman" w:hAnsi="Arial" w:cs="Arial"/>
            <w:b/>
            <w:bCs/>
            <w:color w:val="FFFFFF"/>
            <w:sz w:val="23"/>
            <w:szCs w:val="23"/>
            <w:rtl/>
            <w:lang w:eastAsia="en-GB"/>
          </w:rPr>
          <w:t>الهيكل التنظيمي</w:t>
        </w:r>
      </w:hyperlink>
    </w:p>
    <w:p w:rsidR="002A56D1" w:rsidRPr="002A56D1" w:rsidRDefault="002A56D1" w:rsidP="002A56D1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hyperlink r:id="rId9" w:history="1">
        <w:r w:rsidRPr="002A56D1">
          <w:rPr>
            <w:rFonts w:ascii="Arial" w:eastAsia="Times New Roman" w:hAnsi="Arial" w:cs="Arial"/>
            <w:b/>
            <w:bCs/>
            <w:color w:val="FFFFFF"/>
            <w:sz w:val="23"/>
            <w:szCs w:val="23"/>
            <w:rtl/>
            <w:lang w:eastAsia="en-GB"/>
          </w:rPr>
          <w:t>الصفحة الرئيسية</w:t>
        </w:r>
      </w:hyperlink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2A56D1">
        <w:rPr>
          <w:rFonts w:ascii="Arial" w:eastAsia="Times New Roman" w:hAnsi="Arial" w:cs="Arial"/>
          <w:color w:val="061C37"/>
          <w:sz w:val="20"/>
          <w:szCs w:val="20"/>
          <w:lang w:eastAsia="en-GB"/>
        </w:rPr>
        <w:t> 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2A56D1">
        <w:rPr>
          <w:rFonts w:ascii="Arial" w:eastAsia="Times New Roman" w:hAnsi="Arial" w:cs="Arial"/>
          <w:color w:val="FF0000"/>
          <w:sz w:val="27"/>
          <w:szCs w:val="27"/>
          <w:rtl/>
          <w:lang w:eastAsia="en-GB"/>
        </w:rPr>
        <w:t>ملامح عقود الخدمة لجولات التراخيص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2A56D1">
        <w:rPr>
          <w:rFonts w:ascii="Arial" w:eastAsia="Times New Roman" w:hAnsi="Arial" w:cs="Arial"/>
          <w:color w:val="061C37"/>
          <w:sz w:val="20"/>
          <w:szCs w:val="20"/>
          <w:lang w:eastAsia="en-GB"/>
        </w:rPr>
        <w:t> 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</w:pPr>
      <w:hyperlink r:id="rId10" w:history="1">
        <w:r w:rsidRPr="002A56D1">
          <w:rPr>
            <w:rFonts w:ascii="Times New Roman" w:eastAsia="Times New Roman" w:hAnsi="Times New Roman" w:cs="Times New Roman" w:hint="cs"/>
            <w:b/>
            <w:bCs/>
            <w:color w:val="0000FF"/>
            <w:sz w:val="24"/>
            <w:szCs w:val="24"/>
            <w:u w:val="single"/>
            <w:rtl/>
            <w:lang w:eastAsia="en-GB" w:bidi="ar-IQ"/>
          </w:rPr>
          <w:t>ملامح عقد الجولة الاولى</w:t>
        </w:r>
      </w:hyperlink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</w:pPr>
      <w:r w:rsidRPr="002A56D1"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  <w:t> 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</w:pPr>
      <w:hyperlink r:id="rId11" w:history="1">
        <w:r w:rsidRPr="002A56D1">
          <w:rPr>
            <w:rFonts w:ascii="Times New Roman" w:eastAsia="Times New Roman" w:hAnsi="Times New Roman" w:cs="Times New Roman" w:hint="cs"/>
            <w:b/>
            <w:bCs/>
            <w:color w:val="0000FF"/>
            <w:sz w:val="24"/>
            <w:szCs w:val="24"/>
            <w:u w:val="single"/>
            <w:rtl/>
            <w:lang w:eastAsia="en-GB" w:bidi="ar-IQ"/>
          </w:rPr>
          <w:t>ملامح عقد الجولة الثانية</w:t>
        </w:r>
      </w:hyperlink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</w:pPr>
      <w:r w:rsidRPr="002A56D1"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  <w:t> 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</w:pPr>
      <w:hyperlink r:id="rId12" w:history="1">
        <w:r w:rsidRPr="002A56D1">
          <w:rPr>
            <w:rFonts w:ascii="Times New Roman" w:eastAsia="Times New Roman" w:hAnsi="Times New Roman" w:cs="Times New Roman" w:hint="cs"/>
            <w:b/>
            <w:bCs/>
            <w:color w:val="0000FF"/>
            <w:sz w:val="24"/>
            <w:szCs w:val="24"/>
            <w:u w:val="single"/>
            <w:rtl/>
            <w:lang w:eastAsia="en-GB"/>
          </w:rPr>
          <w:t>ملامح عقد الجولة الثالثة</w:t>
        </w:r>
      </w:hyperlink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</w:pPr>
      <w:r w:rsidRPr="002A56D1"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  <w:t> 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</w:pPr>
      <w:r w:rsidRPr="002A56D1">
        <w:rPr>
          <w:rFonts w:ascii="Times New Roman" w:eastAsia="Times New Roman" w:hAnsi="Times New Roman" w:cs="Times New Roman"/>
          <w:b/>
          <w:bCs/>
          <w:color w:val="061C37"/>
          <w:sz w:val="24"/>
          <w:szCs w:val="24"/>
          <w:rtl/>
          <w:lang w:eastAsia="en-GB"/>
        </w:rPr>
        <w:t>ملامح عقد الجولةالرابعة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</w:pPr>
      <w:r w:rsidRPr="002A56D1"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  <w:t> 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2A56D1">
        <w:rPr>
          <w:rFonts w:ascii="Times New Roman" w:eastAsia="Times New Roman" w:hAnsi="Times New Roman" w:cs="Times New Roman"/>
          <w:b/>
          <w:bCs/>
          <w:color w:val="061C37"/>
          <w:sz w:val="24"/>
          <w:szCs w:val="24"/>
          <w:rtl/>
          <w:lang w:eastAsia="en-GB"/>
        </w:rPr>
        <w:t>صيغة العقد ووثيقة المناقصة النهائية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2A56D1"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  <w:t> 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2A56D1">
        <w:rPr>
          <w:rFonts w:ascii="Arial" w:eastAsia="Times New Roman" w:hAnsi="Arial" w:cs="Arial"/>
          <w:color w:val="061C37"/>
          <w:sz w:val="20"/>
          <w:szCs w:val="20"/>
          <w:lang w:eastAsia="en-GB"/>
        </w:rPr>
        <w:t>                       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2A56D1">
        <w:rPr>
          <w:rFonts w:ascii="Arial" w:eastAsia="Times New Roman" w:hAnsi="Arial" w:cs="Arial"/>
          <w:color w:val="061C37"/>
          <w:sz w:val="20"/>
          <w:szCs w:val="20"/>
          <w:lang w:eastAsia="en-GB"/>
        </w:rPr>
        <w:t> 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2A56D1">
        <w:rPr>
          <w:rFonts w:ascii="Arial" w:eastAsia="Times New Roman" w:hAnsi="Arial" w:cs="Arial"/>
          <w:color w:val="FF0000"/>
          <w:sz w:val="27"/>
          <w:szCs w:val="27"/>
          <w:rtl/>
          <w:lang w:eastAsia="en-GB"/>
        </w:rPr>
        <w:t>الشركات المؤهلة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2A56D1">
        <w:rPr>
          <w:rFonts w:ascii="Arial" w:eastAsia="Times New Roman" w:hAnsi="Arial" w:cs="Arial"/>
          <w:color w:val="061C37"/>
          <w:sz w:val="20"/>
          <w:szCs w:val="20"/>
          <w:lang w:eastAsia="en-GB"/>
        </w:rPr>
        <w:t> </w:t>
      </w:r>
    </w:p>
    <w:tbl>
      <w:tblPr>
        <w:bidiVisual/>
        <w:tblW w:w="12774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7"/>
        <w:gridCol w:w="266"/>
        <w:gridCol w:w="266"/>
        <w:gridCol w:w="266"/>
        <w:gridCol w:w="266"/>
        <w:gridCol w:w="2917"/>
        <w:gridCol w:w="760"/>
        <w:gridCol w:w="2502"/>
      </w:tblGrid>
      <w:tr w:rsidR="002A56D1" w:rsidRPr="002A56D1" w:rsidTr="002A56D1">
        <w:trPr>
          <w:trHeight w:val="300"/>
          <w:jc w:val="right"/>
        </w:trPr>
        <w:tc>
          <w:tcPr>
            <w:tcW w:w="9512" w:type="dxa"/>
            <w:gridSpan w:val="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قامت الدائرة بتأهيل الشركات لكل جولة على حدة وفق معايير خاصة تشمل :-</w:t>
            </w:r>
          </w:p>
        </w:tc>
        <w:tc>
          <w:tcPr>
            <w:tcW w:w="7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50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</w:tr>
      <w:tr w:rsidR="002A56D1" w:rsidRPr="002A56D1" w:rsidTr="002A56D1">
        <w:trPr>
          <w:trHeight w:val="300"/>
          <w:jc w:val="right"/>
        </w:trPr>
        <w:tc>
          <w:tcPr>
            <w:tcW w:w="57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ind w:left="750" w:hanging="360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-</w:t>
            </w:r>
            <w:r w:rsidRPr="002A56D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rtl/>
                <w:lang w:eastAsia="en-GB"/>
              </w:rPr>
              <w:t>         </w:t>
            </w: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المعايير الفنية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9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7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5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</w:tr>
      <w:tr w:rsidR="002A56D1" w:rsidRPr="002A56D1" w:rsidTr="002A56D1">
        <w:trPr>
          <w:trHeight w:val="300"/>
          <w:jc w:val="right"/>
        </w:trPr>
        <w:tc>
          <w:tcPr>
            <w:tcW w:w="57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ind w:left="750" w:hanging="360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-</w:t>
            </w:r>
            <w:r w:rsidRPr="002A56D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rtl/>
                <w:lang w:eastAsia="en-GB"/>
              </w:rPr>
              <w:t>         </w:t>
            </w: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المعايير المالية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9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7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5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</w:tr>
      <w:tr w:rsidR="002A56D1" w:rsidRPr="002A56D1" w:rsidTr="002A56D1">
        <w:trPr>
          <w:trHeight w:val="300"/>
          <w:jc w:val="right"/>
        </w:trPr>
        <w:tc>
          <w:tcPr>
            <w:tcW w:w="57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ind w:left="750" w:hanging="360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-</w:t>
            </w:r>
            <w:r w:rsidRPr="002A56D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rtl/>
                <w:lang w:eastAsia="en-GB"/>
              </w:rPr>
              <w:t>         </w:t>
            </w: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المعاييرالقانونية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9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7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5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</w:tr>
      <w:tr w:rsidR="002A56D1" w:rsidRPr="002A56D1" w:rsidTr="002A56D1">
        <w:trPr>
          <w:trHeight w:val="300"/>
          <w:jc w:val="right"/>
        </w:trPr>
        <w:tc>
          <w:tcPr>
            <w:tcW w:w="592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ind w:left="750" w:hanging="360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-</w:t>
            </w:r>
            <w:r w:rsidRPr="002A56D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rtl/>
                <w:lang w:eastAsia="en-GB"/>
              </w:rPr>
              <w:t>         </w:t>
            </w: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الصحة والسلامة والبيئة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9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7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5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</w:tr>
      <w:tr w:rsidR="002A56D1" w:rsidRPr="002A56D1" w:rsidTr="002A56D1">
        <w:trPr>
          <w:trHeight w:val="300"/>
          <w:jc w:val="right"/>
        </w:trPr>
        <w:tc>
          <w:tcPr>
            <w:tcW w:w="592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ind w:left="750" w:hanging="360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-</w:t>
            </w:r>
            <w:r w:rsidRPr="002A56D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rtl/>
                <w:lang w:eastAsia="en-GB"/>
              </w:rPr>
              <w:t>         </w:t>
            </w: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التدريب والتطوير للكوادر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9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7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5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</w:tr>
      <w:tr w:rsidR="002A56D1" w:rsidRPr="002A56D1" w:rsidTr="002A56D1">
        <w:trPr>
          <w:trHeight w:val="300"/>
          <w:jc w:val="right"/>
        </w:trPr>
        <w:tc>
          <w:tcPr>
            <w:tcW w:w="12774" w:type="dxa"/>
            <w:gridSpan w:val="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en-GB"/>
              </w:rPr>
            </w:pP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التي يتم اعلان متطلباتها على صفحة الانترنت الخاصة بالوزارة حيث تقوم الشركات الراغبة بالتنافس ضمن جولات</w:t>
            </w:r>
          </w:p>
        </w:tc>
      </w:tr>
      <w:tr w:rsidR="002A56D1" w:rsidRPr="002A56D1" w:rsidTr="002A56D1">
        <w:trPr>
          <w:trHeight w:val="300"/>
          <w:jc w:val="right"/>
        </w:trPr>
        <w:tc>
          <w:tcPr>
            <w:tcW w:w="12774" w:type="dxa"/>
            <w:gridSpan w:val="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en-GB"/>
              </w:rPr>
            </w:pP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التراخيص بتزويد الدائرة بهذه المعلومات ليتم تأهيلها حسب متطلبات كل جولة ويتم بعد ذلك اعلان اسماء الشركات</w:t>
            </w:r>
          </w:p>
        </w:tc>
      </w:tr>
      <w:tr w:rsidR="002A56D1" w:rsidRPr="002A56D1" w:rsidTr="002A56D1">
        <w:trPr>
          <w:trHeight w:val="300"/>
          <w:jc w:val="right"/>
        </w:trPr>
        <w:tc>
          <w:tcPr>
            <w:tcW w:w="9512" w:type="dxa"/>
            <w:gridSpan w:val="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en-GB"/>
              </w:rPr>
            </w:pPr>
            <w:r w:rsidRPr="002A56D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rtl/>
                <w:lang w:eastAsia="en-GB"/>
              </w:rPr>
              <w:t>المؤهلة للمشاركة بالجولة والشركات التي تم تاهيلها خلال جولات التنافس الاربعة هي  :- </w:t>
            </w:r>
          </w:p>
        </w:tc>
        <w:tc>
          <w:tcPr>
            <w:tcW w:w="7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  <w:tc>
          <w:tcPr>
            <w:tcW w:w="250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A56D1" w:rsidRPr="002A56D1" w:rsidRDefault="002A56D1" w:rsidP="002A56D1">
            <w:pPr>
              <w:bidi/>
              <w:spacing w:after="0" w:line="253" w:lineRule="atLeast"/>
              <w:jc w:val="right"/>
              <w:rPr>
                <w:rFonts w:ascii="Calibri" w:eastAsia="Times New Roman" w:hAnsi="Calibri" w:cs="Calibri"/>
                <w:rtl/>
                <w:lang w:eastAsia="en-GB"/>
              </w:rPr>
            </w:pPr>
            <w:r w:rsidRPr="002A56D1">
              <w:rPr>
                <w:rFonts w:ascii="Calibri" w:eastAsia="Times New Roman" w:hAnsi="Calibri" w:cs="Calibri"/>
                <w:rtl/>
                <w:lang w:eastAsia="en-GB"/>
              </w:rPr>
              <w:t> </w:t>
            </w:r>
          </w:p>
        </w:tc>
      </w:tr>
    </w:tbl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61C37"/>
          <w:sz w:val="24"/>
          <w:szCs w:val="24"/>
          <w:rtl/>
          <w:lang w:eastAsia="en-GB"/>
        </w:rPr>
      </w:pPr>
      <w:r w:rsidRPr="002A56D1">
        <w:rPr>
          <w:rFonts w:ascii="Times New Roman" w:eastAsia="Times New Roman" w:hAnsi="Times New Roman" w:cs="Times New Roman" w:hint="cs"/>
          <w:color w:val="061C37"/>
          <w:sz w:val="20"/>
          <w:szCs w:val="20"/>
          <w:rtl/>
          <w:lang w:eastAsia="en-GB"/>
        </w:rPr>
        <w:t> 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</w:pPr>
      <w:r w:rsidRPr="002A56D1">
        <w:rPr>
          <w:rFonts w:ascii="Times New Roman" w:eastAsia="Times New Roman" w:hAnsi="Times New Roman" w:cs="Times New Roman" w:hint="cs"/>
          <w:color w:val="061C37"/>
          <w:sz w:val="20"/>
          <w:szCs w:val="20"/>
          <w:rtl/>
          <w:lang w:eastAsia="en-GB"/>
        </w:rPr>
        <w:t> </w:t>
      </w: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6"/>
      </w:tblGrid>
      <w:tr w:rsidR="002A56D1" w:rsidRPr="002A56D1" w:rsidTr="002A56D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3"/>
              <w:gridCol w:w="1563"/>
              <w:gridCol w:w="1550"/>
              <w:gridCol w:w="483"/>
              <w:gridCol w:w="2003"/>
              <w:gridCol w:w="1604"/>
            </w:tblGrid>
            <w:tr w:rsidR="002A56D1" w:rsidRPr="002A56D1">
              <w:trPr>
                <w:trHeight w:val="125"/>
                <w:jc w:val="center"/>
              </w:trPr>
              <w:tc>
                <w:tcPr>
                  <w:tcW w:w="125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1</w:t>
                  </w:r>
                </w:p>
              </w:tc>
              <w:tc>
                <w:tcPr>
                  <w:tcW w:w="186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ATPECO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Japan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26</w:t>
                  </w:r>
                </w:p>
              </w:tc>
              <w:tc>
                <w:tcPr>
                  <w:tcW w:w="198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Mitsui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Japan</w:t>
                  </w:r>
                </w:p>
              </w:tc>
            </w:tr>
            <w:tr w:rsidR="002A56D1" w:rsidRPr="002A56D1">
              <w:trPr>
                <w:trHeight w:val="60"/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2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Bashneft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Russia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27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Mubadala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UAE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3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BP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UK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28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Occidental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USA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4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Chevron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USA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29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 xml:space="preserve">ONGC </w:t>
                  </w: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Videsh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India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5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 xml:space="preserve">China </w:t>
                  </w: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Zhenhua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China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30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Pakistan Petroleum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Pakistan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6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CNOOC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China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31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Pertamina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Indonesia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7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CNPC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China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32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PetroChina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China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8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Dragon Oil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UAE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33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PETRONAS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Malaysia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9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Edison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Italy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34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PetroVietnam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Vietnam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10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EGPC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Egypt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35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Premier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UK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11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Eni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Italy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36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PTTEP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Thailand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ind w:hanging="360"/>
                    <w:jc w:val="right"/>
                    <w:rPr>
                      <w:rFonts w:ascii="Calibri" w:eastAsia="Times New Roman" w:hAnsi="Calibri" w:cs="Calibri"/>
                      <w:lang w:eastAsia="en-GB"/>
                    </w:rPr>
                  </w:pPr>
                  <w:r w:rsidRPr="002A56D1">
                    <w:rPr>
                      <w:rFonts w:ascii="Wingdings" w:eastAsia="Times New Roman" w:hAnsi="Wingdings" w:cs="Calibri"/>
                      <w:lang w:eastAsia="en-GB"/>
                    </w:rPr>
                    <w:t></w:t>
                  </w:r>
                  <w:r w:rsidRPr="002A56D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n-GB"/>
                    </w:rPr>
                    <w:t>  </w:t>
                  </w:r>
                  <w:r w:rsidRPr="002A56D1">
                    <w:rPr>
                      <w:rFonts w:ascii="Arial" w:eastAsia="Times New Roman" w:hAnsi="Arial" w:cs="Arial"/>
                      <w:b/>
                      <w:bCs/>
                      <w:lang w:eastAsia="en-GB"/>
                    </w:rPr>
                    <w:t>12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ExxonMobil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USA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37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Romgaz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Romania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lastRenderedPageBreak/>
                    <w:t>13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Gazprom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Russia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38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Rosneft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Russia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14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Glencore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Switzerland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ind w:hanging="360"/>
                    <w:jc w:val="right"/>
                    <w:rPr>
                      <w:rFonts w:ascii="Calibri" w:eastAsia="Times New Roman" w:hAnsi="Calibri" w:cs="Calibri"/>
                      <w:lang w:eastAsia="en-GB"/>
                    </w:rPr>
                  </w:pPr>
                  <w:r w:rsidRPr="002A56D1">
                    <w:rPr>
                      <w:rFonts w:ascii="Wingdings" w:eastAsia="Times New Roman" w:hAnsi="Wingdings" w:cs="Calibri"/>
                      <w:lang w:eastAsia="en-GB"/>
                    </w:rPr>
                    <w:t></w:t>
                  </w:r>
                  <w:r w:rsidRPr="002A56D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n-GB"/>
                    </w:rPr>
                    <w:t>  </w:t>
                  </w:r>
                  <w:r w:rsidRPr="002A56D1">
                    <w:rPr>
                      <w:rFonts w:ascii="Arial" w:eastAsia="Times New Roman" w:hAnsi="Arial" w:cs="Arial"/>
                      <w:b/>
                      <w:bCs/>
                      <w:lang w:eastAsia="en-GB"/>
                    </w:rPr>
                    <w:t>39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Repsol</w:t>
                  </w:r>
                  <w:proofErr w:type="spellEnd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 xml:space="preserve"> Exploration  SA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15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Gulfsands</w:t>
                  </w:r>
                  <w:proofErr w:type="spellEnd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 xml:space="preserve"> Petroleum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UK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ind w:hanging="360"/>
                    <w:jc w:val="right"/>
                    <w:rPr>
                      <w:rFonts w:ascii="Calibri" w:eastAsia="Times New Roman" w:hAnsi="Calibri" w:cs="Calibri"/>
                      <w:lang w:eastAsia="en-GB"/>
                    </w:rPr>
                  </w:pPr>
                  <w:r w:rsidRPr="002A56D1">
                    <w:rPr>
                      <w:rFonts w:ascii="Wingdings" w:eastAsia="Times New Roman" w:hAnsi="Wingdings" w:cs="Calibri"/>
                      <w:lang w:eastAsia="en-GB"/>
                    </w:rPr>
                    <w:t></w:t>
                  </w:r>
                  <w:r w:rsidRPr="002A56D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n-GB"/>
                    </w:rPr>
                    <w:t>  </w:t>
                  </w:r>
                  <w:r w:rsidRPr="002A56D1">
                    <w:rPr>
                      <w:rFonts w:ascii="Arial" w:eastAsia="Times New Roman" w:hAnsi="Arial" w:cs="Arial"/>
                      <w:b/>
                      <w:bCs/>
                      <w:lang w:eastAsia="en-GB"/>
                    </w:rPr>
                    <w:t>40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Sinopec International Petroleum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16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 xml:space="preserve">INA </w:t>
                  </w: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Naftaplin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Croatia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41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Shell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Netherlands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17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Inpex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Japan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42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Sonangol</w:t>
                  </w:r>
                  <w:proofErr w:type="spellEnd"/>
                </w:p>
              </w:tc>
              <w:tc>
                <w:tcPr>
                  <w:tcW w:w="16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Angola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18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Itochu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Japan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43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Statoil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Norway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19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Japex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Japan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44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Sumitomo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Japan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20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JOGMEC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Japan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45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TNK-BP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Russia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21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JX Nippon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Japan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46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Total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France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22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KOGAS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Korea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47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TPAO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Turkey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23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Kuwait Energy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Kuwait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48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Vitol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Netherlands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24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Lukoil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Russia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49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SK Innovation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</w:tr>
            <w:tr w:rsidR="002A56D1" w:rsidRPr="002A56D1">
              <w:trPr>
                <w:jc w:val="center"/>
              </w:trPr>
              <w:tc>
                <w:tcPr>
                  <w:tcW w:w="12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25</w:t>
                  </w:r>
                </w:p>
              </w:tc>
              <w:tc>
                <w:tcPr>
                  <w:tcW w:w="18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Mitsubishi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Japan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A56D1" w:rsidRPr="002A56D1" w:rsidRDefault="002A56D1" w:rsidP="002A56D1">
                  <w:pPr>
                    <w:spacing w:after="0" w:line="253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2A56D1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</w:tr>
          </w:tbl>
          <w:p w:rsidR="002A56D1" w:rsidRPr="002A56D1" w:rsidRDefault="002A56D1" w:rsidP="002A5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</w:pPr>
      <w:r w:rsidRPr="002A56D1">
        <w:rPr>
          <w:rFonts w:ascii="Times New Roman" w:eastAsia="Times New Roman" w:hAnsi="Times New Roman" w:cs="Times New Roman" w:hint="cs"/>
          <w:color w:val="061C37"/>
          <w:sz w:val="20"/>
          <w:szCs w:val="20"/>
          <w:rtl/>
          <w:lang w:eastAsia="en-GB"/>
        </w:rPr>
        <w:lastRenderedPageBreak/>
        <w:t> 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</w:pPr>
      <w:r w:rsidRPr="002A56D1">
        <w:rPr>
          <w:rFonts w:ascii="Times New Roman" w:eastAsia="Times New Roman" w:hAnsi="Times New Roman" w:cs="Times New Roman"/>
          <w:b/>
          <w:bCs/>
          <w:color w:val="061C37"/>
          <w:sz w:val="24"/>
          <w:szCs w:val="24"/>
          <w:lang w:eastAsia="en-GB"/>
        </w:rPr>
        <w:t> </w:t>
      </w:r>
    </w:p>
    <w:p w:rsidR="002A56D1" w:rsidRPr="002A56D1" w:rsidRDefault="002A56D1" w:rsidP="002A56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</w:pPr>
      <w:r w:rsidRPr="002A56D1">
        <w:rPr>
          <w:rFonts w:ascii="Times New Roman" w:eastAsia="Times New Roman" w:hAnsi="Times New Roman" w:cs="Times New Roman"/>
          <w:color w:val="061C37"/>
          <w:sz w:val="24"/>
          <w:szCs w:val="24"/>
          <w:lang w:eastAsia="en-GB"/>
        </w:rPr>
        <w:t> </w:t>
      </w:r>
    </w:p>
    <w:p w:rsidR="002A56D1" w:rsidRPr="002A56D1" w:rsidRDefault="002A56D1" w:rsidP="002A56D1">
      <w:pPr>
        <w:shd w:val="clear" w:color="auto" w:fill="FFFFFF"/>
        <w:spacing w:after="0" w:line="240" w:lineRule="auto"/>
        <w:ind w:hanging="360"/>
        <w:jc w:val="right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2A56D1">
        <w:rPr>
          <w:rFonts w:ascii="Wingdings" w:eastAsia="Times New Roman" w:hAnsi="Wingdings" w:cs="Arial"/>
          <w:color w:val="061C37"/>
          <w:sz w:val="20"/>
          <w:szCs w:val="20"/>
          <w:lang w:eastAsia="en-GB"/>
        </w:rPr>
        <w:t></w:t>
      </w:r>
      <w:proofErr w:type="gramStart"/>
      <w:r w:rsidRPr="002A56D1">
        <w:rPr>
          <w:rFonts w:ascii="Times New Roman" w:eastAsia="Times New Roman" w:hAnsi="Times New Roman" w:cs="Times New Roman"/>
          <w:color w:val="061C37"/>
          <w:sz w:val="14"/>
          <w:szCs w:val="14"/>
          <w:lang w:eastAsia="en-GB"/>
        </w:rPr>
        <w:t>  </w:t>
      </w:r>
      <w:r w:rsidRPr="002A56D1">
        <w:rPr>
          <w:rFonts w:ascii="Arial" w:eastAsia="Times New Roman" w:hAnsi="Arial" w:cs="Arial" w:hint="cs"/>
          <w:b/>
          <w:bCs/>
          <w:color w:val="061C37"/>
          <w:sz w:val="28"/>
          <w:szCs w:val="28"/>
          <w:rtl/>
          <w:lang w:eastAsia="en-GB" w:bidi="ar-IQ"/>
        </w:rPr>
        <w:t>الشركات</w:t>
      </w:r>
      <w:proofErr w:type="gramEnd"/>
      <w:r w:rsidRPr="002A56D1">
        <w:rPr>
          <w:rFonts w:ascii="Arial" w:eastAsia="Times New Roman" w:hAnsi="Arial" w:cs="Arial" w:hint="cs"/>
          <w:b/>
          <w:bCs/>
          <w:color w:val="061C37"/>
          <w:sz w:val="28"/>
          <w:szCs w:val="28"/>
          <w:rtl/>
          <w:lang w:eastAsia="en-GB" w:bidi="ar-IQ"/>
        </w:rPr>
        <w:t xml:space="preserve"> التي تم الغاء تأهيلها لتوقيعها عقود مع اقليم كردستان </w:t>
      </w:r>
      <w:r w:rsidRPr="002A56D1">
        <w:rPr>
          <w:rFonts w:ascii="Arial" w:eastAsia="Times New Roman" w:hAnsi="Arial" w:cs="Arial" w:hint="cs"/>
          <w:b/>
          <w:bCs/>
          <w:color w:val="061C37"/>
          <w:sz w:val="36"/>
          <w:szCs w:val="36"/>
          <w:lang w:eastAsia="en-GB" w:bidi="ar-IQ"/>
        </w:rPr>
        <w:t> </w:t>
      </w:r>
      <w:r w:rsidRPr="002A56D1">
        <w:rPr>
          <w:rFonts w:ascii="Arial" w:eastAsia="Times New Roman" w:hAnsi="Arial" w:cs="Arial" w:hint="cs"/>
          <w:b/>
          <w:bCs/>
          <w:color w:val="061C37"/>
          <w:sz w:val="28"/>
          <w:szCs w:val="28"/>
          <w:rtl/>
          <w:lang w:eastAsia="en-GB"/>
        </w:rPr>
        <w:t>                                                                                                     </w:t>
      </w:r>
      <w:r w:rsidRPr="002A56D1">
        <w:rPr>
          <w:rFonts w:ascii="Arial" w:eastAsia="Times New Roman" w:hAnsi="Arial" w:cs="Arial" w:hint="cs"/>
          <w:b/>
          <w:bCs/>
          <w:color w:val="061C37"/>
          <w:sz w:val="20"/>
          <w:szCs w:val="20"/>
          <w:rtl/>
          <w:lang w:eastAsia="en-GB"/>
        </w:rPr>
        <w:t>                        </w:t>
      </w:r>
    </w:p>
    <w:p w:rsidR="002A56D1" w:rsidRPr="002A56D1" w:rsidRDefault="002A56D1" w:rsidP="002A56D1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061C37"/>
          <w:sz w:val="20"/>
          <w:szCs w:val="20"/>
          <w:lang w:eastAsia="en-GB"/>
        </w:rPr>
      </w:pPr>
      <w:r w:rsidRPr="002A56D1">
        <w:rPr>
          <w:rFonts w:ascii="Arial" w:eastAsia="Times New Roman" w:hAnsi="Arial" w:cs="Arial"/>
          <w:color w:val="061C37"/>
          <w:sz w:val="20"/>
          <w:szCs w:val="20"/>
          <w:rtl/>
          <w:lang w:eastAsia="en-GB"/>
        </w:rPr>
        <w:t> </w:t>
      </w:r>
    </w:p>
    <w:p w:rsidR="002A56D1" w:rsidRPr="002A56D1" w:rsidRDefault="002A56D1" w:rsidP="002A56D1">
      <w:pPr>
        <w:bidi/>
        <w:spacing w:after="0" w:line="240" w:lineRule="auto"/>
        <w:rPr>
          <w:rFonts w:ascii="Arial" w:eastAsia="Times New Roman" w:hAnsi="Arial" w:cs="Arial"/>
          <w:color w:val="061C37"/>
          <w:sz w:val="20"/>
          <w:szCs w:val="20"/>
          <w:rtl/>
          <w:lang w:eastAsia="en-GB"/>
        </w:rPr>
      </w:pPr>
      <w:r w:rsidRPr="002A56D1">
        <w:rPr>
          <w:rFonts w:ascii="Arial" w:eastAsia="Times New Roman" w:hAnsi="Arial" w:cs="Arial"/>
          <w:color w:val="061C37"/>
          <w:sz w:val="20"/>
          <w:szCs w:val="20"/>
          <w:rtl/>
          <w:lang w:eastAsia="en-GB"/>
        </w:rPr>
        <w:t> </w:t>
      </w:r>
    </w:p>
    <w:p w:rsidR="002A56D1" w:rsidRPr="002A56D1" w:rsidRDefault="002A56D1" w:rsidP="002A56D1">
      <w:pPr>
        <w:bidi/>
        <w:spacing w:after="0" w:line="240" w:lineRule="auto"/>
        <w:rPr>
          <w:rFonts w:ascii="Arial" w:eastAsia="Times New Roman" w:hAnsi="Arial" w:cs="Arial"/>
          <w:color w:val="061C37"/>
          <w:sz w:val="20"/>
          <w:szCs w:val="20"/>
          <w:rtl/>
          <w:lang w:eastAsia="en-GB"/>
        </w:rPr>
      </w:pPr>
      <w:r w:rsidRPr="002A56D1">
        <w:rPr>
          <w:rFonts w:ascii="Arial" w:eastAsia="Times New Roman" w:hAnsi="Arial" w:cs="Arial"/>
          <w:color w:val="061C37"/>
          <w:sz w:val="20"/>
          <w:szCs w:val="20"/>
          <w:rtl/>
          <w:lang w:eastAsia="en-GB"/>
        </w:rPr>
        <w:t> </w:t>
      </w:r>
    </w:p>
    <w:p w:rsidR="002A56D1" w:rsidRPr="002A56D1" w:rsidRDefault="002A56D1" w:rsidP="002A56D1">
      <w:pPr>
        <w:bidi/>
        <w:spacing w:after="0" w:line="240" w:lineRule="auto"/>
        <w:rPr>
          <w:rFonts w:ascii="Arial" w:eastAsia="Times New Roman" w:hAnsi="Arial" w:cs="Arial"/>
          <w:color w:val="061C37"/>
          <w:sz w:val="20"/>
          <w:szCs w:val="20"/>
          <w:rtl/>
          <w:lang w:eastAsia="en-GB"/>
        </w:rPr>
      </w:pPr>
      <w:r w:rsidRPr="002A56D1">
        <w:rPr>
          <w:rFonts w:ascii="Arial" w:eastAsia="Times New Roman" w:hAnsi="Arial" w:cs="Arial"/>
          <w:color w:val="061C37"/>
          <w:sz w:val="20"/>
          <w:szCs w:val="20"/>
          <w:rtl/>
          <w:lang w:eastAsia="en-GB"/>
        </w:rPr>
        <w:t> </w:t>
      </w:r>
    </w:p>
    <w:p w:rsidR="002A56D1" w:rsidRPr="002A56D1" w:rsidRDefault="002A56D1" w:rsidP="002A56D1">
      <w:pPr>
        <w:bidi/>
        <w:spacing w:after="0" w:line="240" w:lineRule="auto"/>
        <w:rPr>
          <w:rFonts w:ascii="Arial" w:eastAsia="Times New Roman" w:hAnsi="Arial" w:cs="Arial"/>
          <w:color w:val="061C37"/>
          <w:sz w:val="20"/>
          <w:szCs w:val="20"/>
          <w:rtl/>
          <w:lang w:eastAsia="en-GB"/>
        </w:rPr>
      </w:pPr>
      <w:r w:rsidRPr="002A56D1">
        <w:rPr>
          <w:rFonts w:ascii="Arial" w:eastAsia="Times New Roman" w:hAnsi="Arial" w:cs="Arial"/>
          <w:color w:val="061C37"/>
          <w:sz w:val="20"/>
          <w:szCs w:val="20"/>
          <w:rtl/>
          <w:lang w:eastAsia="en-GB"/>
        </w:rPr>
        <w:t> </w:t>
      </w:r>
    </w:p>
    <w:p w:rsidR="00692777" w:rsidRDefault="00692777">
      <w:bookmarkStart w:id="0" w:name="_GoBack"/>
      <w:bookmarkEnd w:id="0"/>
    </w:p>
    <w:sectPr w:rsidR="006927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3C1186"/>
    <w:multiLevelType w:val="multilevel"/>
    <w:tmpl w:val="F31A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6D1"/>
    <w:rsid w:val="002A56D1"/>
    <w:rsid w:val="0069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48F72D-6E81-4F35-814D-A56453F81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3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o.oil.gov.iq/PCLD/PCLD/struc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o.oil.gov.iq/PCLD/PCLD/duties&amp;session.html" TargetMode="External"/><Relationship Id="rId12" Type="http://schemas.openxmlformats.org/officeDocument/2006/relationships/hyperlink" Target="http://www.moo.oil.gov.iq/PCLD/PCLD/PDF/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o.oil.gov.iq/PCLD/PCLD/contractus&amp;company.html" TargetMode="External"/><Relationship Id="rId11" Type="http://schemas.openxmlformats.org/officeDocument/2006/relationships/hyperlink" Target="http://www.moo.oil.gov.iq/PCLD/PCLD/PDF/2.pdf" TargetMode="External"/><Relationship Id="rId5" Type="http://schemas.openxmlformats.org/officeDocument/2006/relationships/hyperlink" Target="http://www.moo.oil.gov.iq/PCLD/PCLD/FIELD.html" TargetMode="External"/><Relationship Id="rId10" Type="http://schemas.openxmlformats.org/officeDocument/2006/relationships/hyperlink" Target="http://www.moo.oil.gov.iq/PCLD/PCLD/PDF/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o.oil.gov.iq/PCLD/PCLD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Field</dc:creator>
  <cp:keywords/>
  <dc:description/>
  <cp:lastModifiedBy>Mohammed Field</cp:lastModifiedBy>
  <cp:revision>1</cp:revision>
  <dcterms:created xsi:type="dcterms:W3CDTF">2016-11-23T16:01:00Z</dcterms:created>
  <dcterms:modified xsi:type="dcterms:W3CDTF">2016-11-23T16:03:00Z</dcterms:modified>
</cp:coreProperties>
</file>