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9E" w:rsidRDefault="002C4E71">
      <w:r>
        <w:fldChar w:fldCharType="begin"/>
      </w:r>
      <w:r>
        <w:instrText xml:space="preserve"> HYPERLINK "</w:instrText>
      </w:r>
      <w:r w:rsidRPr="002C4E71">
        <w:instrText>http://base.spinform.ru/show_doc.fwx?rgn=56414</w:instrText>
      </w:r>
      <w:r>
        <w:instrText xml:space="preserve">" </w:instrText>
      </w:r>
      <w:r>
        <w:fldChar w:fldCharType="separate"/>
      </w:r>
      <w:r w:rsidRPr="00B46953">
        <w:rPr>
          <w:rStyle w:val="Hyperlink"/>
        </w:rPr>
        <w:t>http://base.spinform.ru/show_doc.fwx?rgn=56414</w:t>
      </w:r>
      <w:r>
        <w:fldChar w:fldCharType="end"/>
      </w:r>
    </w:p>
    <w:p w:rsidR="002C4E71" w:rsidRDefault="002C4E71"/>
    <w:p w:rsidR="002C4E71" w:rsidRPr="002C4E71" w:rsidRDefault="002C4E71" w:rsidP="002C4E71">
      <w:pPr>
        <w:pStyle w:val="Heading1"/>
        <w:shd w:val="clear" w:color="auto" w:fill="FFFFFF"/>
        <w:spacing w:before="375" w:beforeAutospacing="0" w:after="0" w:afterAutospacing="0" w:line="336" w:lineRule="atLeast"/>
        <w:jc w:val="center"/>
        <w:rPr>
          <w:rFonts w:ascii="Tahoma" w:hAnsi="Tahoma" w:cs="Tahoma"/>
          <w:color w:val="003399"/>
          <w:sz w:val="34"/>
          <w:szCs w:val="34"/>
          <w:lang w:val="ru-RU"/>
        </w:rPr>
      </w:pPr>
      <w:r w:rsidRPr="002C4E71">
        <w:rPr>
          <w:rFonts w:ascii="Tahoma" w:hAnsi="Tahoma" w:cs="Tahoma"/>
          <w:color w:val="003399"/>
          <w:sz w:val="34"/>
          <w:szCs w:val="34"/>
          <w:lang w:val="ru-RU"/>
        </w:rPr>
        <w:t>ЗАКОН ТУРКМЕНИСТАНА</w:t>
      </w:r>
    </w:p>
    <w:p w:rsidR="002C4E71" w:rsidRPr="002C4E71" w:rsidRDefault="002C4E71" w:rsidP="002C4E71">
      <w:pPr>
        <w:pStyle w:val="doc-info"/>
        <w:shd w:val="clear" w:color="auto" w:fill="FFFFFF"/>
        <w:spacing w:before="105" w:beforeAutospacing="0" w:after="0" w:afterAutospacing="0" w:line="270" w:lineRule="atLeast"/>
        <w:ind w:firstLine="450"/>
        <w:jc w:val="both"/>
        <w:rPr>
          <w:rFonts w:ascii="Tahoma" w:hAnsi="Tahoma" w:cs="Tahoma"/>
          <w:b/>
          <w:bCs/>
          <w:color w:val="333399"/>
          <w:sz w:val="20"/>
          <w:szCs w:val="20"/>
          <w:lang w:val="ru-RU"/>
        </w:rPr>
      </w:pPr>
      <w:r w:rsidRPr="002C4E71">
        <w:rPr>
          <w:rFonts w:ascii="Tahoma" w:hAnsi="Tahoma" w:cs="Tahoma"/>
          <w:b/>
          <w:bCs/>
          <w:color w:val="333399"/>
          <w:sz w:val="20"/>
          <w:szCs w:val="20"/>
          <w:lang w:val="ru-RU"/>
        </w:rPr>
        <w:t>от 1 октября 2011 года №236-</w:t>
      </w:r>
      <w:r>
        <w:rPr>
          <w:rFonts w:ascii="Tahoma" w:hAnsi="Tahoma" w:cs="Tahoma"/>
          <w:b/>
          <w:bCs/>
          <w:color w:val="333399"/>
          <w:sz w:val="20"/>
          <w:szCs w:val="20"/>
        </w:rPr>
        <w:t>IV</w:t>
      </w:r>
    </w:p>
    <w:p w:rsidR="002C4E71" w:rsidRPr="002C4E71" w:rsidRDefault="002C4E71" w:rsidP="002C4E71">
      <w:pPr>
        <w:pStyle w:val="dname"/>
        <w:shd w:val="clear" w:color="auto" w:fill="FFFFFF"/>
        <w:spacing w:before="375" w:beforeAutospacing="0" w:after="0" w:afterAutospacing="0" w:line="270" w:lineRule="atLeast"/>
        <w:jc w:val="center"/>
        <w:rPr>
          <w:rFonts w:ascii="Tahoma" w:hAnsi="Tahoma" w:cs="Tahoma"/>
          <w:b/>
          <w:bCs/>
          <w:color w:val="003399"/>
          <w:sz w:val="31"/>
          <w:szCs w:val="31"/>
          <w:lang w:val="ru-RU"/>
        </w:rPr>
      </w:pPr>
      <w:r w:rsidRPr="002C4E71">
        <w:rPr>
          <w:rFonts w:ascii="Tahoma" w:hAnsi="Tahoma" w:cs="Tahoma"/>
          <w:b/>
          <w:bCs/>
          <w:color w:val="003399"/>
          <w:sz w:val="31"/>
          <w:szCs w:val="31"/>
          <w:lang w:val="ru-RU"/>
        </w:rPr>
        <w:t>О внесении изменения в Закон Туркменистана "О таможенной службе"</w:t>
      </w:r>
    </w:p>
    <w:p w:rsidR="002C4E71" w:rsidRPr="002C4E71" w:rsidRDefault="002C4E71" w:rsidP="002C4E71">
      <w:pPr>
        <w:pStyle w:val="NormalWeb"/>
        <w:shd w:val="clear" w:color="auto" w:fill="FFFFFF"/>
        <w:spacing w:before="105" w:beforeAutospacing="0" w:after="0" w:afterAutospacing="0" w:line="270" w:lineRule="atLeast"/>
        <w:ind w:firstLine="450"/>
        <w:jc w:val="both"/>
        <w:rPr>
          <w:rFonts w:ascii="Tahoma" w:hAnsi="Tahoma" w:cs="Tahoma"/>
          <w:color w:val="333333"/>
          <w:sz w:val="20"/>
          <w:szCs w:val="20"/>
          <w:lang w:val="ru-RU"/>
        </w:rPr>
      </w:pPr>
      <w:r>
        <w:rPr>
          <w:rFonts w:ascii="Tahoma" w:hAnsi="Tahoma" w:cs="Tahoma"/>
          <w:color w:val="333333"/>
          <w:sz w:val="20"/>
          <w:szCs w:val="20"/>
        </w:rPr>
        <w:t>I</w:t>
      </w:r>
      <w:r w:rsidRPr="002C4E71">
        <w:rPr>
          <w:rFonts w:ascii="Tahoma" w:hAnsi="Tahoma" w:cs="Tahoma"/>
          <w:color w:val="333333"/>
          <w:sz w:val="20"/>
          <w:szCs w:val="20"/>
          <w:lang w:val="ru-RU"/>
        </w:rPr>
        <w:t>.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fldChar w:fldCharType="begin"/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 xml:space="preserve"> 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HYPERLINK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 xml:space="preserve"> "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http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://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base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.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spinform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.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ru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/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show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_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doc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.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fwx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?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rgn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=30941" \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l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 xml:space="preserve"> "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B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3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O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80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J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1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IWI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>" \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instrText>o</w:instrText>
      </w:r>
      <w:proofErr w:type="spellEnd"/>
      <w:r w:rsidRPr="002C4E71">
        <w:rPr>
          <w:rFonts w:ascii="Tahoma" w:hAnsi="Tahoma" w:cs="Tahoma"/>
          <w:color w:val="333333"/>
          <w:sz w:val="20"/>
          <w:szCs w:val="20"/>
          <w:lang w:val="ru-RU"/>
        </w:rPr>
        <w:instrText xml:space="preserve"> "Ссылка на Закон Туркменистана О таможенной службе :: 9) ведение таможенной статистики о внешней торговле Туркменистана и базы данных, связанных с таможен" </w:instrText>
      </w:r>
      <w:proofErr w:type="spellStart"/>
      <w:r>
        <w:rPr>
          <w:rFonts w:ascii="Tahoma" w:hAnsi="Tahoma" w:cs="Tahoma"/>
          <w:color w:val="333333"/>
          <w:sz w:val="20"/>
          <w:szCs w:val="20"/>
        </w:rPr>
        <w:fldChar w:fldCharType="separate"/>
      </w:r>
      <w:proofErr w:type="spellEnd"/>
      <w:r w:rsidRPr="002C4E71">
        <w:rPr>
          <w:rStyle w:val="Hyperlink"/>
          <w:rFonts w:ascii="Tahoma" w:hAnsi="Tahoma" w:cs="Tahoma"/>
          <w:color w:val="330066"/>
          <w:sz w:val="20"/>
          <w:szCs w:val="20"/>
          <w:lang w:val="ru-RU"/>
        </w:rPr>
        <w:t>Пункт 9 статьи 6</w:t>
      </w:r>
      <w:r>
        <w:rPr>
          <w:rFonts w:ascii="Tahoma" w:hAnsi="Tahoma" w:cs="Tahoma"/>
          <w:color w:val="333333"/>
          <w:sz w:val="20"/>
          <w:szCs w:val="20"/>
        </w:rPr>
        <w:fldChar w:fldCharType="end"/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 w:rsidRPr="002C4E71">
        <w:rPr>
          <w:rFonts w:ascii="Tahoma" w:hAnsi="Tahoma" w:cs="Tahoma"/>
          <w:color w:val="333333"/>
          <w:sz w:val="20"/>
          <w:szCs w:val="20"/>
          <w:lang w:val="ru-RU"/>
        </w:rPr>
        <w:t>Закона Туркменистана "О таможенной службе", принятого Меджлисом Туркменистана 12 марта 2010 года (Ведомости Меджлиса Туркменистана, 2010 г., № 1, ст. 15), изложить в следующей редакции:</w:t>
      </w:r>
    </w:p>
    <w:p w:rsidR="002C4E71" w:rsidRPr="002C4E71" w:rsidRDefault="002C4E71" w:rsidP="002C4E71">
      <w:pPr>
        <w:pStyle w:val="NormalWeb"/>
        <w:shd w:val="clear" w:color="auto" w:fill="FFFFFF"/>
        <w:spacing w:before="105" w:beforeAutospacing="0" w:after="0" w:afterAutospacing="0" w:line="270" w:lineRule="atLeast"/>
        <w:ind w:firstLine="450"/>
        <w:jc w:val="both"/>
        <w:rPr>
          <w:rFonts w:ascii="Tahoma" w:hAnsi="Tahoma" w:cs="Tahoma"/>
          <w:color w:val="333333"/>
          <w:sz w:val="20"/>
          <w:szCs w:val="20"/>
          <w:lang w:val="ru-RU"/>
        </w:rPr>
      </w:pPr>
      <w:r w:rsidRPr="002C4E71">
        <w:rPr>
          <w:rFonts w:ascii="Tahoma" w:hAnsi="Tahoma" w:cs="Tahoma"/>
          <w:color w:val="333333"/>
          <w:sz w:val="20"/>
          <w:szCs w:val="20"/>
          <w:lang w:val="ru-RU"/>
        </w:rPr>
        <w:t>"9) ведение таможенной статистики о внешней торговле Туркменистана и базы данных, связанных с таможенным делом, подготовка отчётов о таможенной деятельности и предоставление информации заинтересованным сторонам в соответствии с порядком, установленным законодательством Туркменистана;".</w:t>
      </w:r>
    </w:p>
    <w:p w:rsidR="002C4E71" w:rsidRPr="002C4E71" w:rsidRDefault="002C4E71" w:rsidP="002C4E71">
      <w:pPr>
        <w:pStyle w:val="NormalWeb"/>
        <w:shd w:val="clear" w:color="auto" w:fill="FFFFFF"/>
        <w:spacing w:before="105" w:beforeAutospacing="0" w:after="0" w:afterAutospacing="0" w:line="270" w:lineRule="atLeast"/>
        <w:ind w:firstLine="450"/>
        <w:jc w:val="both"/>
        <w:rPr>
          <w:rFonts w:ascii="Tahoma" w:hAnsi="Tahoma" w:cs="Tahoma"/>
          <w:color w:val="333333"/>
          <w:sz w:val="20"/>
          <w:szCs w:val="20"/>
          <w:lang w:val="ru-RU"/>
        </w:rPr>
      </w:pPr>
      <w:r>
        <w:rPr>
          <w:rFonts w:ascii="Tahoma" w:hAnsi="Tahoma" w:cs="Tahoma"/>
          <w:color w:val="333333"/>
          <w:sz w:val="20"/>
          <w:szCs w:val="20"/>
        </w:rPr>
        <w:t>II</w:t>
      </w:r>
      <w:r w:rsidRPr="002C4E71">
        <w:rPr>
          <w:rFonts w:ascii="Tahoma" w:hAnsi="Tahoma" w:cs="Tahoma"/>
          <w:color w:val="333333"/>
          <w:sz w:val="20"/>
          <w:szCs w:val="20"/>
          <w:lang w:val="ru-RU"/>
        </w:rPr>
        <w:t>. Настоящий Закон вступает в силу со дня его официального опубликования.</w:t>
      </w:r>
    </w:p>
    <w:p w:rsidR="002C4E71" w:rsidRPr="002C4E71" w:rsidRDefault="002C4E71" w:rsidP="002C4E71">
      <w:pPr>
        <w:pStyle w:val="NormalWeb"/>
        <w:shd w:val="clear" w:color="auto" w:fill="FFFFFF"/>
        <w:spacing w:before="105" w:beforeAutospacing="0" w:after="0" w:afterAutospacing="0" w:line="270" w:lineRule="atLeast"/>
        <w:ind w:firstLine="450"/>
        <w:jc w:val="both"/>
        <w:rPr>
          <w:rFonts w:ascii="Tahoma" w:hAnsi="Tahoma" w:cs="Tahoma"/>
          <w:color w:val="333333"/>
          <w:sz w:val="20"/>
          <w:szCs w:val="20"/>
          <w:lang w:val="ru-RU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2C4E71" w:rsidRDefault="002C4E71" w:rsidP="002C4E71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b/>
          <w:bCs/>
          <w:color w:val="333399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333399"/>
          <w:sz w:val="20"/>
          <w:szCs w:val="20"/>
        </w:rPr>
        <w:t>Президент</w:t>
      </w:r>
      <w:proofErr w:type="spellEnd"/>
      <w:r>
        <w:rPr>
          <w:rFonts w:ascii="Tahoma" w:hAnsi="Tahoma" w:cs="Tahoma"/>
          <w:b/>
          <w:bCs/>
          <w:color w:val="33339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333399"/>
          <w:sz w:val="20"/>
          <w:szCs w:val="20"/>
        </w:rPr>
        <w:t>Туркменистана</w:t>
      </w:r>
      <w:proofErr w:type="spellEnd"/>
      <w:r>
        <w:rPr>
          <w:rFonts w:ascii="Tahoma" w:hAnsi="Tahoma" w:cs="Tahoma"/>
          <w:b/>
          <w:bCs/>
          <w:color w:val="33339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333399"/>
          <w:sz w:val="20"/>
          <w:szCs w:val="20"/>
        </w:rPr>
        <w:t>Гурбангулы</w:t>
      </w:r>
      <w:proofErr w:type="spellEnd"/>
      <w:r>
        <w:rPr>
          <w:rFonts w:ascii="Tahoma" w:hAnsi="Tahoma" w:cs="Tahoma"/>
          <w:b/>
          <w:bCs/>
          <w:color w:val="33339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333399"/>
          <w:sz w:val="20"/>
          <w:szCs w:val="20"/>
        </w:rPr>
        <w:t>Бердымухамедов</w:t>
      </w:r>
      <w:proofErr w:type="spellEnd"/>
    </w:p>
    <w:p w:rsidR="002C4E71" w:rsidRDefault="002C4E71">
      <w:bookmarkStart w:id="0" w:name="_GoBack"/>
      <w:bookmarkEnd w:id="0"/>
    </w:p>
    <w:sectPr w:rsidR="002C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71"/>
    <w:rsid w:val="002C4E71"/>
    <w:rsid w:val="0094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96521-7910-49F2-B7B8-94C9286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4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E7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4E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-info">
    <w:name w:val="doc-info"/>
    <w:basedOn w:val="Normal"/>
    <w:rsid w:val="002C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name">
    <w:name w:val="dname"/>
    <w:basedOn w:val="Normal"/>
    <w:rsid w:val="002C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C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Watters</dc:creator>
  <cp:keywords/>
  <dc:description/>
  <cp:lastModifiedBy>Kate Watters</cp:lastModifiedBy>
  <cp:revision>1</cp:revision>
  <dcterms:created xsi:type="dcterms:W3CDTF">2016-06-12T14:08:00Z</dcterms:created>
  <dcterms:modified xsi:type="dcterms:W3CDTF">2016-06-12T14:09:00Z</dcterms:modified>
</cp:coreProperties>
</file>