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5CEF" w:rsidRPr="00765CEF" w:rsidRDefault="00765CEF" w:rsidP="00765CEF">
      <w:pPr>
        <w:rPr>
          <w:vanish/>
        </w:rPr>
      </w:pPr>
      <w:bookmarkStart w:id="0" w:name="_GoBack"/>
      <w:bookmarkEnd w:id="0"/>
      <w:r w:rsidRPr="00765CEF">
        <w:rPr>
          <w:vanish/>
        </w:rPr>
        <w:t>Bottom of Form</w:t>
      </w:r>
    </w:p>
    <w:p w:rsidR="00765CEF" w:rsidRPr="00765CEF" w:rsidRDefault="00765CEF" w:rsidP="00765CEF">
      <w:pPr>
        <w:rPr>
          <w:b/>
          <w:bCs/>
        </w:rPr>
      </w:pPr>
      <w:r w:rsidRPr="00765CEF">
        <w:rPr>
          <w:b/>
          <w:bCs/>
        </w:rPr>
        <w:t>Mining taxes for Ghana</w:t>
      </w:r>
    </w:p>
    <w:p w:rsidR="00765CEF" w:rsidRPr="00765CEF" w:rsidRDefault="00765CEF" w:rsidP="00765CEF">
      <w:r w:rsidRPr="00765CEF">
        <w:t xml:space="preserve">Ghana's mining sector has a tax system which is quite different from that of other industries in Ghana. These differences include higher tax rates, special classes of tax pools for granting of capital allowances, special </w:t>
      </w:r>
      <w:proofErr w:type="spellStart"/>
      <w:r w:rsidRPr="00765CEF">
        <w:t>consessions</w:t>
      </w:r>
      <w:proofErr w:type="spellEnd"/>
      <w:r w:rsidRPr="00765CEF">
        <w:t xml:space="preserve"> on import duty rates, and additional statutory requirements. In addition, mining companies in Ghana are subject to a wide range of laws including transfer pricing, local content, mining and tax laws and regulations. Mining and mining support companies are often selected for tax audits by the Ghana Revenue Authority, and can suffer huge penalties if found to be </w:t>
      </w:r>
      <w:proofErr w:type="spellStart"/>
      <w:r w:rsidRPr="00765CEF">
        <w:t>non compliant</w:t>
      </w:r>
      <w:proofErr w:type="spellEnd"/>
      <w:r w:rsidRPr="00765CEF">
        <w:t>.</w:t>
      </w:r>
    </w:p>
    <w:p w:rsidR="00765CEF" w:rsidRPr="00765CEF" w:rsidRDefault="00765CEF" w:rsidP="00765CEF">
      <w:r w:rsidRPr="00765CEF">
        <w:t>Losses incurred with respect to one mining area are not available to be offset against profits from another contract area or site belonging to the same company in determining income subject to corporate income tax. In 2012, corporate income tax rate for mining companies was increased from 25% to 35% and there have been discussions about imposing windfall tax in the mining industry although this has presently been forestalled.</w:t>
      </w:r>
    </w:p>
    <w:p w:rsidR="00765CEF" w:rsidRPr="00765CEF" w:rsidRDefault="00765CEF" w:rsidP="00765CEF">
      <w:r w:rsidRPr="00765CEF">
        <w:t>Mining companies are able to contract stability agreements with the government which are subject to Parliamentary ratification for effective implementation. These agreements protect mining companies from future changes in law and sometimes give them additional tax breaks and incentives for a fixed time period. The government of Ghana however owns 10% free carried interest in all mining companies although government is considering reviewing the terms of existing agreements.</w:t>
      </w:r>
    </w:p>
    <w:p w:rsidR="00765CEF" w:rsidRPr="00765CEF" w:rsidRDefault="00765CEF" w:rsidP="00765CEF">
      <w:r w:rsidRPr="00765CEF">
        <w:t>In Ghana, PwC has emerged as the leading tax practice providing tax services to companies in the mining industry. PwC provides tax and company administration services to entities in the mining industry. These services include corporate tax compliance, value added tax compliance, withholding tax compliance, payroll services, transfer pricing regulation compliance, company secretarial services, tax health checks and tax due diligence services and immigration services.</w:t>
      </w:r>
    </w:p>
    <w:p w:rsidR="00765CEF" w:rsidRPr="00765CEF" w:rsidRDefault="00765CEF" w:rsidP="00765CEF">
      <w:hyperlink r:id="rId6" w:history="1">
        <w:r w:rsidRPr="00765CEF">
          <w:rPr>
            <w:rStyle w:val="Hyperlink"/>
            <w:b/>
            <w:bCs/>
          </w:rPr>
          <w:t xml:space="preserve">George </w:t>
        </w:r>
        <w:proofErr w:type="spellStart"/>
        <w:r w:rsidRPr="00765CEF">
          <w:rPr>
            <w:rStyle w:val="Hyperlink"/>
            <w:b/>
            <w:bCs/>
          </w:rPr>
          <w:t>Kwatia</w:t>
        </w:r>
        <w:proofErr w:type="spellEnd"/>
      </w:hyperlink>
      <w:r w:rsidRPr="00765CEF">
        <w:t xml:space="preserve"> - Partner</w:t>
      </w:r>
      <w:r w:rsidRPr="00765CEF">
        <w:br/>
        <w:t>+233 302 761 459</w:t>
      </w:r>
    </w:p>
    <w:p w:rsidR="00765CEF" w:rsidRPr="00765CEF" w:rsidRDefault="00765CEF" w:rsidP="00765CEF">
      <w:pPr>
        <w:rPr>
          <w:b/>
          <w:bCs/>
        </w:rPr>
      </w:pPr>
      <w:r w:rsidRPr="00765CEF">
        <w:rPr>
          <w:b/>
          <w:bCs/>
        </w:rPr>
        <w:t>Corporate Income Tax (CIT)</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48"/>
        <w:gridCol w:w="1474"/>
      </w:tblGrid>
      <w:tr w:rsidR="00765CEF" w:rsidRPr="00765CEF" w:rsidTr="00765CEF">
        <w:trPr>
          <w:tblCellSpacing w:w="15" w:type="dxa"/>
        </w:trPr>
        <w:tc>
          <w:tcPr>
            <w:tcW w:w="0" w:type="auto"/>
            <w:vAlign w:val="center"/>
            <w:hideMark/>
          </w:tcPr>
          <w:p w:rsidR="00765CEF" w:rsidRPr="00765CEF" w:rsidRDefault="00765CEF" w:rsidP="00765CEF">
            <w:r w:rsidRPr="00765CEF">
              <w:t>Top rate of CIT</w:t>
            </w:r>
          </w:p>
        </w:tc>
        <w:tc>
          <w:tcPr>
            <w:tcW w:w="0" w:type="auto"/>
            <w:vAlign w:val="center"/>
            <w:hideMark/>
          </w:tcPr>
          <w:p w:rsidR="00765CEF" w:rsidRPr="00765CEF" w:rsidRDefault="00765CEF" w:rsidP="00765CEF">
            <w:r w:rsidRPr="00765CEF">
              <w:t>1: 35.00% [</w:t>
            </w:r>
            <w:hyperlink r:id="rId7" w:anchor="footnote-150" w:history="1">
              <w:r w:rsidRPr="00765CEF">
                <w:rPr>
                  <w:rStyle w:val="Hyperlink"/>
                </w:rPr>
                <w:t>150</w:t>
              </w:r>
            </w:hyperlink>
            <w:r w:rsidRPr="00765CEF">
              <w:t>]</w:t>
            </w:r>
            <w:r w:rsidRPr="00765CEF">
              <w:br/>
              <w:t>2: 0.00%</w:t>
            </w:r>
            <w:r w:rsidRPr="00765CEF">
              <w:br/>
              <w:t>3: 0.00%</w:t>
            </w:r>
          </w:p>
        </w:tc>
      </w:tr>
      <w:tr w:rsidR="00765CEF" w:rsidRPr="00765CEF" w:rsidTr="00765CEF">
        <w:trPr>
          <w:tblCellSpacing w:w="15" w:type="dxa"/>
        </w:trPr>
        <w:tc>
          <w:tcPr>
            <w:tcW w:w="0" w:type="auto"/>
            <w:vAlign w:val="center"/>
            <w:hideMark/>
          </w:tcPr>
          <w:p w:rsidR="00765CEF" w:rsidRPr="00765CEF" w:rsidRDefault="00765CEF" w:rsidP="00765CEF">
            <w:r w:rsidRPr="00765CEF">
              <w:t>Level at which applied</w:t>
            </w:r>
          </w:p>
        </w:tc>
        <w:tc>
          <w:tcPr>
            <w:tcW w:w="0" w:type="auto"/>
            <w:vAlign w:val="center"/>
            <w:hideMark/>
          </w:tcPr>
          <w:p w:rsidR="00765CEF" w:rsidRPr="00765CEF" w:rsidRDefault="00765CEF" w:rsidP="00765CEF">
            <w:r w:rsidRPr="00765CEF">
              <w:t>1: Federal</w:t>
            </w:r>
            <w:r w:rsidRPr="00765CEF">
              <w:br/>
              <w:t>2: Provincial</w:t>
            </w:r>
            <w:r w:rsidRPr="00765CEF">
              <w:br/>
              <w:t>3: Local</w:t>
            </w:r>
          </w:p>
        </w:tc>
      </w:tr>
      <w:tr w:rsidR="00765CEF" w:rsidRPr="00765CEF" w:rsidTr="00765CEF">
        <w:trPr>
          <w:tblCellSpacing w:w="15" w:type="dxa"/>
        </w:trPr>
        <w:tc>
          <w:tcPr>
            <w:tcW w:w="0" w:type="auto"/>
            <w:vAlign w:val="center"/>
            <w:hideMark/>
          </w:tcPr>
          <w:p w:rsidR="00765CEF" w:rsidRPr="00765CEF" w:rsidRDefault="00765CEF" w:rsidP="00765CEF">
            <w:r w:rsidRPr="00765CEF">
              <w:t>Tax imposed on excess profits</w:t>
            </w:r>
          </w:p>
        </w:tc>
        <w:tc>
          <w:tcPr>
            <w:tcW w:w="0" w:type="auto"/>
            <w:vAlign w:val="center"/>
            <w:hideMark/>
          </w:tcPr>
          <w:p w:rsidR="00765CEF" w:rsidRPr="00765CEF" w:rsidRDefault="00765CEF" w:rsidP="00765CEF">
            <w:r w:rsidRPr="00765CEF">
              <w:t>No [</w:t>
            </w:r>
            <w:hyperlink r:id="rId8" w:anchor="footnote-151" w:history="1">
              <w:r w:rsidRPr="00765CEF">
                <w:rPr>
                  <w:rStyle w:val="Hyperlink"/>
                </w:rPr>
                <w:t>151</w:t>
              </w:r>
            </w:hyperlink>
            <w:r w:rsidRPr="00765CEF">
              <w:t>]</w:t>
            </w:r>
          </w:p>
        </w:tc>
      </w:tr>
    </w:tbl>
    <w:p w:rsidR="00765CEF" w:rsidRPr="00765CEF" w:rsidRDefault="00765CEF" w:rsidP="00765CEF">
      <w:pPr>
        <w:rPr>
          <w:b/>
          <w:bCs/>
        </w:rPr>
      </w:pPr>
      <w:r w:rsidRPr="00765CEF">
        <w:rPr>
          <w:b/>
          <w:bCs/>
        </w:rPr>
        <w:t>Rates of tax amortization</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275"/>
        <w:gridCol w:w="1253"/>
      </w:tblGrid>
      <w:tr w:rsidR="00765CEF" w:rsidRPr="00765CEF" w:rsidTr="00765CEF">
        <w:trPr>
          <w:tblCellSpacing w:w="15" w:type="dxa"/>
        </w:trPr>
        <w:tc>
          <w:tcPr>
            <w:tcW w:w="0" w:type="auto"/>
            <w:vAlign w:val="center"/>
            <w:hideMark/>
          </w:tcPr>
          <w:p w:rsidR="00765CEF" w:rsidRPr="00765CEF" w:rsidRDefault="00765CEF" w:rsidP="00765CEF">
            <w:r w:rsidRPr="00765CEF">
              <w:lastRenderedPageBreak/>
              <w:t>Ore assets amortization</w:t>
            </w:r>
          </w:p>
        </w:tc>
        <w:tc>
          <w:tcPr>
            <w:tcW w:w="0" w:type="auto"/>
            <w:vAlign w:val="center"/>
            <w:hideMark/>
          </w:tcPr>
          <w:p w:rsidR="00765CEF" w:rsidRPr="00765CEF" w:rsidRDefault="00765CEF" w:rsidP="00765CEF">
            <w:r w:rsidRPr="00765CEF">
              <w:t>20.00% [</w:t>
            </w:r>
            <w:hyperlink r:id="rId9" w:anchor="footnote-152" w:history="1">
              <w:r w:rsidRPr="00765CEF">
                <w:rPr>
                  <w:rStyle w:val="Hyperlink"/>
                </w:rPr>
                <w:t>152</w:t>
              </w:r>
            </w:hyperlink>
            <w:r w:rsidRPr="00765CEF">
              <w:t>]</w:t>
            </w:r>
          </w:p>
        </w:tc>
      </w:tr>
      <w:tr w:rsidR="00765CEF" w:rsidRPr="00765CEF" w:rsidTr="00765CEF">
        <w:trPr>
          <w:tblCellSpacing w:w="15" w:type="dxa"/>
        </w:trPr>
        <w:tc>
          <w:tcPr>
            <w:tcW w:w="0" w:type="auto"/>
            <w:vAlign w:val="center"/>
            <w:hideMark/>
          </w:tcPr>
          <w:p w:rsidR="00765CEF" w:rsidRPr="00765CEF" w:rsidRDefault="00765CEF" w:rsidP="00765CEF">
            <w:r w:rsidRPr="00765CEF">
              <w:t>Lands/Improvements amortization</w:t>
            </w:r>
          </w:p>
        </w:tc>
        <w:tc>
          <w:tcPr>
            <w:tcW w:w="0" w:type="auto"/>
            <w:vAlign w:val="center"/>
            <w:hideMark/>
          </w:tcPr>
          <w:p w:rsidR="00765CEF" w:rsidRPr="00765CEF" w:rsidRDefault="00765CEF" w:rsidP="00765CEF">
            <w:r w:rsidRPr="00765CEF">
              <w:t>20.00% [</w:t>
            </w:r>
            <w:hyperlink r:id="rId10" w:anchor="footnote-153" w:history="1">
              <w:r w:rsidRPr="00765CEF">
                <w:rPr>
                  <w:rStyle w:val="Hyperlink"/>
                </w:rPr>
                <w:t>153</w:t>
              </w:r>
            </w:hyperlink>
            <w:r w:rsidRPr="00765CEF">
              <w:t>]</w:t>
            </w:r>
          </w:p>
        </w:tc>
      </w:tr>
      <w:tr w:rsidR="00765CEF" w:rsidRPr="00765CEF" w:rsidTr="00765CEF">
        <w:trPr>
          <w:tblCellSpacing w:w="15" w:type="dxa"/>
        </w:trPr>
        <w:tc>
          <w:tcPr>
            <w:tcW w:w="0" w:type="auto"/>
            <w:vAlign w:val="center"/>
            <w:hideMark/>
          </w:tcPr>
          <w:p w:rsidR="00765CEF" w:rsidRPr="00765CEF" w:rsidRDefault="00765CEF" w:rsidP="00765CEF">
            <w:r w:rsidRPr="00765CEF">
              <w:t>Buildings amortization</w:t>
            </w:r>
          </w:p>
        </w:tc>
        <w:tc>
          <w:tcPr>
            <w:tcW w:w="0" w:type="auto"/>
            <w:vAlign w:val="center"/>
            <w:hideMark/>
          </w:tcPr>
          <w:p w:rsidR="00765CEF" w:rsidRPr="00765CEF" w:rsidRDefault="00765CEF" w:rsidP="00765CEF">
            <w:r w:rsidRPr="00765CEF">
              <w:t>20.00% [</w:t>
            </w:r>
            <w:hyperlink r:id="rId11" w:anchor="footnote-154" w:history="1">
              <w:r w:rsidRPr="00765CEF">
                <w:rPr>
                  <w:rStyle w:val="Hyperlink"/>
                </w:rPr>
                <w:t>154</w:t>
              </w:r>
            </w:hyperlink>
            <w:r w:rsidRPr="00765CEF">
              <w:t>]</w:t>
            </w:r>
          </w:p>
        </w:tc>
      </w:tr>
      <w:tr w:rsidR="00765CEF" w:rsidRPr="00765CEF" w:rsidTr="00765CEF">
        <w:trPr>
          <w:tblCellSpacing w:w="15" w:type="dxa"/>
        </w:trPr>
        <w:tc>
          <w:tcPr>
            <w:tcW w:w="0" w:type="auto"/>
            <w:vAlign w:val="center"/>
            <w:hideMark/>
          </w:tcPr>
          <w:p w:rsidR="00765CEF" w:rsidRPr="00765CEF" w:rsidRDefault="00765CEF" w:rsidP="00765CEF">
            <w:r w:rsidRPr="00765CEF">
              <w:t>Plant and Machinery amortization</w:t>
            </w:r>
          </w:p>
        </w:tc>
        <w:tc>
          <w:tcPr>
            <w:tcW w:w="0" w:type="auto"/>
            <w:vAlign w:val="center"/>
            <w:hideMark/>
          </w:tcPr>
          <w:p w:rsidR="00765CEF" w:rsidRPr="00765CEF" w:rsidRDefault="00765CEF" w:rsidP="00765CEF">
            <w:r w:rsidRPr="00765CEF">
              <w:t>20.00% [</w:t>
            </w:r>
            <w:hyperlink r:id="rId12" w:anchor="footnote-155" w:history="1">
              <w:r w:rsidRPr="00765CEF">
                <w:rPr>
                  <w:rStyle w:val="Hyperlink"/>
                </w:rPr>
                <w:t>155</w:t>
              </w:r>
            </w:hyperlink>
            <w:r w:rsidRPr="00765CEF">
              <w:t>]</w:t>
            </w:r>
          </w:p>
        </w:tc>
      </w:tr>
      <w:tr w:rsidR="00765CEF" w:rsidRPr="00765CEF" w:rsidTr="00765CEF">
        <w:trPr>
          <w:tblCellSpacing w:w="15" w:type="dxa"/>
        </w:trPr>
        <w:tc>
          <w:tcPr>
            <w:tcW w:w="0" w:type="auto"/>
            <w:vAlign w:val="center"/>
            <w:hideMark/>
          </w:tcPr>
          <w:p w:rsidR="00765CEF" w:rsidRPr="00765CEF" w:rsidRDefault="00765CEF" w:rsidP="00765CEF">
            <w:r w:rsidRPr="00765CEF">
              <w:t>Tailing liners amortization</w:t>
            </w:r>
          </w:p>
        </w:tc>
        <w:tc>
          <w:tcPr>
            <w:tcW w:w="0" w:type="auto"/>
            <w:vAlign w:val="center"/>
            <w:hideMark/>
          </w:tcPr>
          <w:p w:rsidR="00765CEF" w:rsidRPr="00765CEF" w:rsidRDefault="00765CEF" w:rsidP="00765CEF">
            <w:r w:rsidRPr="00765CEF">
              <w:t>20.00% [</w:t>
            </w:r>
            <w:hyperlink r:id="rId13" w:anchor="footnote-156" w:history="1">
              <w:r w:rsidRPr="00765CEF">
                <w:rPr>
                  <w:rStyle w:val="Hyperlink"/>
                </w:rPr>
                <w:t>156</w:t>
              </w:r>
            </w:hyperlink>
            <w:r w:rsidRPr="00765CEF">
              <w:t>]</w:t>
            </w:r>
          </w:p>
        </w:tc>
      </w:tr>
      <w:tr w:rsidR="00765CEF" w:rsidRPr="00765CEF" w:rsidTr="00765CEF">
        <w:trPr>
          <w:tblCellSpacing w:w="15" w:type="dxa"/>
        </w:trPr>
        <w:tc>
          <w:tcPr>
            <w:tcW w:w="0" w:type="auto"/>
            <w:vAlign w:val="center"/>
            <w:hideMark/>
          </w:tcPr>
          <w:p w:rsidR="00765CEF" w:rsidRPr="00765CEF" w:rsidRDefault="00765CEF" w:rsidP="00765CEF">
            <w:r w:rsidRPr="00765CEF">
              <w:t>Working/construction in progress amortization</w:t>
            </w:r>
          </w:p>
        </w:tc>
        <w:tc>
          <w:tcPr>
            <w:tcW w:w="0" w:type="auto"/>
            <w:vAlign w:val="center"/>
            <w:hideMark/>
          </w:tcPr>
          <w:p w:rsidR="00765CEF" w:rsidRPr="00765CEF" w:rsidRDefault="00765CEF" w:rsidP="00765CEF">
            <w:r w:rsidRPr="00765CEF">
              <w:t>0.00% [</w:t>
            </w:r>
            <w:hyperlink r:id="rId14" w:anchor="footnote-157" w:history="1">
              <w:r w:rsidRPr="00765CEF">
                <w:rPr>
                  <w:rStyle w:val="Hyperlink"/>
                </w:rPr>
                <w:t>157</w:t>
              </w:r>
            </w:hyperlink>
            <w:r w:rsidRPr="00765CEF">
              <w:t>]</w:t>
            </w:r>
          </w:p>
        </w:tc>
      </w:tr>
      <w:tr w:rsidR="00765CEF" w:rsidRPr="00765CEF" w:rsidTr="00765CEF">
        <w:trPr>
          <w:tblCellSpacing w:w="15" w:type="dxa"/>
        </w:trPr>
        <w:tc>
          <w:tcPr>
            <w:tcW w:w="0" w:type="auto"/>
            <w:vAlign w:val="center"/>
            <w:hideMark/>
          </w:tcPr>
          <w:p w:rsidR="00765CEF" w:rsidRPr="00765CEF" w:rsidRDefault="00765CEF" w:rsidP="00765CEF">
            <w:r w:rsidRPr="00765CEF">
              <w:t>Restriction on use of tax losses</w:t>
            </w:r>
          </w:p>
        </w:tc>
        <w:tc>
          <w:tcPr>
            <w:tcW w:w="0" w:type="auto"/>
            <w:vAlign w:val="center"/>
            <w:hideMark/>
          </w:tcPr>
          <w:p w:rsidR="00765CEF" w:rsidRPr="00765CEF" w:rsidRDefault="00765CEF" w:rsidP="00765CEF">
            <w:r w:rsidRPr="00765CEF">
              <w:t>5 years</w:t>
            </w:r>
          </w:p>
        </w:tc>
      </w:tr>
      <w:tr w:rsidR="00765CEF" w:rsidRPr="00765CEF" w:rsidTr="00765CEF">
        <w:trPr>
          <w:tblCellSpacing w:w="15" w:type="dxa"/>
        </w:trPr>
        <w:tc>
          <w:tcPr>
            <w:tcW w:w="0" w:type="auto"/>
            <w:vAlign w:val="center"/>
            <w:hideMark/>
          </w:tcPr>
          <w:p w:rsidR="00765CEF" w:rsidRPr="00765CEF" w:rsidRDefault="00765CEF" w:rsidP="00765CEF">
            <w:r w:rsidRPr="00765CEF">
              <w:t>Special allowances/contracts</w:t>
            </w:r>
          </w:p>
        </w:tc>
        <w:tc>
          <w:tcPr>
            <w:tcW w:w="0" w:type="auto"/>
            <w:vAlign w:val="center"/>
            <w:hideMark/>
          </w:tcPr>
          <w:p w:rsidR="00765CEF" w:rsidRPr="00765CEF" w:rsidRDefault="00765CEF" w:rsidP="00765CEF">
            <w:r w:rsidRPr="00765CEF">
              <w:t>No [</w:t>
            </w:r>
            <w:hyperlink r:id="rId15" w:anchor="footnote-158" w:history="1">
              <w:r w:rsidRPr="00765CEF">
                <w:rPr>
                  <w:rStyle w:val="Hyperlink"/>
                </w:rPr>
                <w:t>158</w:t>
              </w:r>
            </w:hyperlink>
            <w:r w:rsidRPr="00765CEF">
              <w:t>]</w:t>
            </w:r>
          </w:p>
        </w:tc>
      </w:tr>
    </w:tbl>
    <w:p w:rsidR="00765CEF" w:rsidRPr="00765CEF" w:rsidRDefault="00765CEF" w:rsidP="00765CEF">
      <w:pPr>
        <w:rPr>
          <w:b/>
          <w:bCs/>
        </w:rPr>
      </w:pPr>
      <w:r w:rsidRPr="00765CEF">
        <w:rPr>
          <w:b/>
          <w:bCs/>
        </w:rPr>
        <w:t>Mineral taxes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609"/>
        <w:gridCol w:w="1632"/>
      </w:tblGrid>
      <w:tr w:rsidR="00765CEF" w:rsidRPr="00765CEF" w:rsidTr="00765CEF">
        <w:trPr>
          <w:tblCellSpacing w:w="15" w:type="dxa"/>
        </w:trPr>
        <w:tc>
          <w:tcPr>
            <w:tcW w:w="0" w:type="auto"/>
            <w:vAlign w:val="center"/>
            <w:hideMark/>
          </w:tcPr>
          <w:p w:rsidR="00765CEF" w:rsidRPr="00765CEF" w:rsidRDefault="00765CEF" w:rsidP="00765CEF">
            <w:r w:rsidRPr="00765CEF">
              <w:t>Mineral tax name</w:t>
            </w:r>
          </w:p>
        </w:tc>
        <w:tc>
          <w:tcPr>
            <w:tcW w:w="0" w:type="auto"/>
            <w:vAlign w:val="center"/>
            <w:hideMark/>
          </w:tcPr>
          <w:p w:rsidR="00765CEF" w:rsidRPr="00765CEF" w:rsidRDefault="00765CEF" w:rsidP="00765CEF">
            <w:r w:rsidRPr="00765CEF">
              <w:t>Mineral Royalties</w:t>
            </w:r>
          </w:p>
        </w:tc>
      </w:tr>
      <w:tr w:rsidR="00765CEF" w:rsidRPr="00765CEF" w:rsidTr="00765CEF">
        <w:trPr>
          <w:tblCellSpacing w:w="15" w:type="dxa"/>
        </w:trPr>
        <w:tc>
          <w:tcPr>
            <w:tcW w:w="0" w:type="auto"/>
            <w:vAlign w:val="center"/>
            <w:hideMark/>
          </w:tcPr>
          <w:p w:rsidR="00765CEF" w:rsidRPr="00765CEF" w:rsidRDefault="00765CEF" w:rsidP="00765CEF">
            <w:r w:rsidRPr="00765CEF">
              <w:t>Level</w:t>
            </w:r>
          </w:p>
        </w:tc>
        <w:tc>
          <w:tcPr>
            <w:tcW w:w="0" w:type="auto"/>
            <w:vAlign w:val="center"/>
            <w:hideMark/>
          </w:tcPr>
          <w:p w:rsidR="00765CEF" w:rsidRPr="00765CEF" w:rsidRDefault="00765CEF" w:rsidP="00765CEF">
            <w:r w:rsidRPr="00765CEF">
              <w:t>Federal</w:t>
            </w:r>
          </w:p>
        </w:tc>
      </w:tr>
      <w:tr w:rsidR="00765CEF" w:rsidRPr="00765CEF" w:rsidTr="00765CEF">
        <w:trPr>
          <w:tblCellSpacing w:w="15" w:type="dxa"/>
        </w:trPr>
        <w:tc>
          <w:tcPr>
            <w:tcW w:w="0" w:type="auto"/>
            <w:vAlign w:val="center"/>
            <w:hideMark/>
          </w:tcPr>
          <w:p w:rsidR="00765CEF" w:rsidRPr="00765CEF" w:rsidRDefault="00765CEF" w:rsidP="00765CEF">
            <w:r w:rsidRPr="00765CEF">
              <w:t>Basis</w:t>
            </w:r>
          </w:p>
        </w:tc>
        <w:tc>
          <w:tcPr>
            <w:tcW w:w="0" w:type="auto"/>
            <w:vAlign w:val="center"/>
            <w:hideMark/>
          </w:tcPr>
          <w:p w:rsidR="00765CEF" w:rsidRPr="00765CEF" w:rsidRDefault="00765CEF" w:rsidP="00765CEF">
            <w:r w:rsidRPr="00765CEF">
              <w:t>Revenue</w:t>
            </w:r>
          </w:p>
        </w:tc>
      </w:tr>
      <w:tr w:rsidR="00765CEF" w:rsidRPr="00765CEF" w:rsidTr="00765CEF">
        <w:trPr>
          <w:tblCellSpacing w:w="15" w:type="dxa"/>
        </w:trPr>
        <w:tc>
          <w:tcPr>
            <w:tcW w:w="0" w:type="auto"/>
            <w:vAlign w:val="center"/>
            <w:hideMark/>
          </w:tcPr>
          <w:p w:rsidR="00765CEF" w:rsidRPr="00765CEF" w:rsidRDefault="00765CEF" w:rsidP="00765CEF">
            <w:r w:rsidRPr="00765CEF">
              <w:t>Copper</w:t>
            </w:r>
          </w:p>
        </w:tc>
        <w:tc>
          <w:tcPr>
            <w:tcW w:w="0" w:type="auto"/>
            <w:vAlign w:val="center"/>
            <w:hideMark/>
          </w:tcPr>
          <w:p w:rsidR="00765CEF" w:rsidRPr="00765CEF" w:rsidRDefault="00765CEF" w:rsidP="00765CEF">
            <w:r w:rsidRPr="00765CEF">
              <w:t>5.00%</w:t>
            </w:r>
          </w:p>
        </w:tc>
      </w:tr>
      <w:tr w:rsidR="00765CEF" w:rsidRPr="00765CEF" w:rsidTr="00765CEF">
        <w:trPr>
          <w:tblCellSpacing w:w="15" w:type="dxa"/>
        </w:trPr>
        <w:tc>
          <w:tcPr>
            <w:tcW w:w="0" w:type="auto"/>
            <w:vAlign w:val="center"/>
            <w:hideMark/>
          </w:tcPr>
          <w:p w:rsidR="00765CEF" w:rsidRPr="00765CEF" w:rsidRDefault="00765CEF" w:rsidP="00765CEF">
            <w:r w:rsidRPr="00765CEF">
              <w:t>Gold</w:t>
            </w:r>
          </w:p>
        </w:tc>
        <w:tc>
          <w:tcPr>
            <w:tcW w:w="0" w:type="auto"/>
            <w:vAlign w:val="center"/>
            <w:hideMark/>
          </w:tcPr>
          <w:p w:rsidR="00765CEF" w:rsidRPr="00765CEF" w:rsidRDefault="00765CEF" w:rsidP="00765CEF">
            <w:r w:rsidRPr="00765CEF">
              <w:t>5.00%</w:t>
            </w:r>
          </w:p>
        </w:tc>
      </w:tr>
      <w:tr w:rsidR="00765CEF" w:rsidRPr="00765CEF" w:rsidTr="00765CEF">
        <w:trPr>
          <w:tblCellSpacing w:w="15" w:type="dxa"/>
        </w:trPr>
        <w:tc>
          <w:tcPr>
            <w:tcW w:w="0" w:type="auto"/>
            <w:vAlign w:val="center"/>
            <w:hideMark/>
          </w:tcPr>
          <w:p w:rsidR="00765CEF" w:rsidRPr="00765CEF" w:rsidRDefault="00765CEF" w:rsidP="00765CEF">
            <w:r w:rsidRPr="00765CEF">
              <w:t>Iron ore</w:t>
            </w:r>
          </w:p>
        </w:tc>
        <w:tc>
          <w:tcPr>
            <w:tcW w:w="0" w:type="auto"/>
            <w:vAlign w:val="center"/>
            <w:hideMark/>
          </w:tcPr>
          <w:p w:rsidR="00765CEF" w:rsidRPr="00765CEF" w:rsidRDefault="00765CEF" w:rsidP="00765CEF">
            <w:r w:rsidRPr="00765CEF">
              <w:t>5.00%</w:t>
            </w:r>
          </w:p>
        </w:tc>
      </w:tr>
      <w:tr w:rsidR="00765CEF" w:rsidRPr="00765CEF" w:rsidTr="00765CEF">
        <w:trPr>
          <w:tblCellSpacing w:w="15" w:type="dxa"/>
        </w:trPr>
        <w:tc>
          <w:tcPr>
            <w:tcW w:w="0" w:type="auto"/>
            <w:vAlign w:val="center"/>
            <w:hideMark/>
          </w:tcPr>
          <w:p w:rsidR="00765CEF" w:rsidRPr="00765CEF" w:rsidRDefault="00765CEF" w:rsidP="00765CEF">
            <w:r w:rsidRPr="00765CEF">
              <w:t>Coal</w:t>
            </w:r>
          </w:p>
        </w:tc>
        <w:tc>
          <w:tcPr>
            <w:tcW w:w="0" w:type="auto"/>
            <w:vAlign w:val="center"/>
            <w:hideMark/>
          </w:tcPr>
          <w:p w:rsidR="00765CEF" w:rsidRPr="00765CEF" w:rsidRDefault="00765CEF" w:rsidP="00765CEF">
            <w:r w:rsidRPr="00765CEF">
              <w:t>5.00%</w:t>
            </w:r>
          </w:p>
        </w:tc>
      </w:tr>
      <w:tr w:rsidR="00765CEF" w:rsidRPr="00765CEF" w:rsidTr="00765CEF">
        <w:trPr>
          <w:tblCellSpacing w:w="15" w:type="dxa"/>
        </w:trPr>
        <w:tc>
          <w:tcPr>
            <w:tcW w:w="0" w:type="auto"/>
            <w:vAlign w:val="center"/>
            <w:hideMark/>
          </w:tcPr>
          <w:p w:rsidR="00765CEF" w:rsidRPr="00765CEF" w:rsidRDefault="00765CEF" w:rsidP="00765CEF">
            <w:r w:rsidRPr="00765CEF">
              <w:t>Deductible in CIT calculation</w:t>
            </w:r>
          </w:p>
        </w:tc>
        <w:tc>
          <w:tcPr>
            <w:tcW w:w="0" w:type="auto"/>
            <w:vAlign w:val="center"/>
            <w:hideMark/>
          </w:tcPr>
          <w:p w:rsidR="00765CEF" w:rsidRPr="00765CEF" w:rsidRDefault="00765CEF" w:rsidP="00765CEF">
            <w:r w:rsidRPr="00765CEF">
              <w:t>Yes</w:t>
            </w:r>
          </w:p>
        </w:tc>
      </w:tr>
      <w:tr w:rsidR="00765CEF" w:rsidRPr="00765CEF" w:rsidTr="00765CEF">
        <w:trPr>
          <w:tblCellSpacing w:w="15" w:type="dxa"/>
        </w:trPr>
        <w:tc>
          <w:tcPr>
            <w:tcW w:w="0" w:type="auto"/>
            <w:vAlign w:val="center"/>
            <w:hideMark/>
          </w:tcPr>
          <w:p w:rsidR="00765CEF" w:rsidRPr="00765CEF" w:rsidRDefault="00765CEF" w:rsidP="00765CEF">
            <w:r w:rsidRPr="00765CEF">
              <w:t>Other mineral taxes</w:t>
            </w:r>
          </w:p>
        </w:tc>
        <w:tc>
          <w:tcPr>
            <w:tcW w:w="0" w:type="auto"/>
            <w:vAlign w:val="center"/>
            <w:hideMark/>
          </w:tcPr>
          <w:p w:rsidR="00765CEF" w:rsidRPr="00765CEF" w:rsidRDefault="00765CEF" w:rsidP="00765CEF">
            <w:r w:rsidRPr="00765CEF">
              <w:t> </w:t>
            </w:r>
          </w:p>
        </w:tc>
      </w:tr>
      <w:tr w:rsidR="00765CEF" w:rsidRPr="00765CEF" w:rsidTr="00765CEF">
        <w:trPr>
          <w:tblCellSpacing w:w="15" w:type="dxa"/>
        </w:trPr>
        <w:tc>
          <w:tcPr>
            <w:tcW w:w="0" w:type="auto"/>
            <w:vAlign w:val="center"/>
            <w:hideMark/>
          </w:tcPr>
          <w:p w:rsidR="00765CEF" w:rsidRPr="00765CEF" w:rsidRDefault="00765CEF" w:rsidP="00765CEF">
            <w:r w:rsidRPr="00765CEF">
              <w:t>Notable changes</w:t>
            </w:r>
          </w:p>
        </w:tc>
        <w:tc>
          <w:tcPr>
            <w:tcW w:w="0" w:type="auto"/>
            <w:vAlign w:val="center"/>
            <w:hideMark/>
          </w:tcPr>
          <w:p w:rsidR="00765CEF" w:rsidRPr="00765CEF" w:rsidRDefault="00765CEF" w:rsidP="00765CEF">
            <w:r w:rsidRPr="00765CEF">
              <w:t> </w:t>
            </w:r>
          </w:p>
        </w:tc>
      </w:tr>
    </w:tbl>
    <w:p w:rsidR="00765CEF" w:rsidRPr="00765CEF" w:rsidRDefault="00765CEF" w:rsidP="00765CEF">
      <w:pPr>
        <w:rPr>
          <w:b/>
          <w:bCs/>
        </w:rPr>
      </w:pPr>
      <w:r w:rsidRPr="00765CEF">
        <w:rPr>
          <w:b/>
          <w:bCs/>
        </w:rPr>
        <w:t>Other taxes and payments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634"/>
        <w:gridCol w:w="3516"/>
      </w:tblGrid>
      <w:tr w:rsidR="00765CEF" w:rsidRPr="00765CEF" w:rsidTr="00765CEF">
        <w:trPr>
          <w:tblCellSpacing w:w="15" w:type="dxa"/>
        </w:trPr>
        <w:tc>
          <w:tcPr>
            <w:tcW w:w="0" w:type="auto"/>
            <w:vAlign w:val="center"/>
            <w:hideMark/>
          </w:tcPr>
          <w:p w:rsidR="00765CEF" w:rsidRPr="00765CEF" w:rsidRDefault="00765CEF" w:rsidP="00765CEF">
            <w:r w:rsidRPr="00765CEF">
              <w:t>Name of other taxes</w:t>
            </w:r>
          </w:p>
        </w:tc>
        <w:tc>
          <w:tcPr>
            <w:tcW w:w="0" w:type="auto"/>
            <w:vAlign w:val="center"/>
            <w:hideMark/>
          </w:tcPr>
          <w:p w:rsidR="00765CEF" w:rsidRPr="00765CEF" w:rsidRDefault="00765CEF" w:rsidP="00765CEF">
            <w:r w:rsidRPr="00765CEF">
              <w:t> </w:t>
            </w:r>
          </w:p>
        </w:tc>
      </w:tr>
      <w:tr w:rsidR="00765CEF" w:rsidRPr="00765CEF" w:rsidTr="00765CEF">
        <w:trPr>
          <w:tblCellSpacing w:w="15" w:type="dxa"/>
        </w:trPr>
        <w:tc>
          <w:tcPr>
            <w:tcW w:w="0" w:type="auto"/>
            <w:vAlign w:val="center"/>
            <w:hideMark/>
          </w:tcPr>
          <w:p w:rsidR="00765CEF" w:rsidRPr="00765CEF" w:rsidRDefault="00765CEF" w:rsidP="00765CEF">
            <w:r w:rsidRPr="00765CEF">
              <w:t>Basic</w:t>
            </w:r>
          </w:p>
        </w:tc>
        <w:tc>
          <w:tcPr>
            <w:tcW w:w="0" w:type="auto"/>
            <w:vAlign w:val="center"/>
            <w:hideMark/>
          </w:tcPr>
          <w:p w:rsidR="00765CEF" w:rsidRPr="00765CEF" w:rsidRDefault="00765CEF" w:rsidP="00765CEF">
            <w:r w:rsidRPr="00765CEF">
              <w:t> </w:t>
            </w:r>
          </w:p>
        </w:tc>
      </w:tr>
      <w:tr w:rsidR="00765CEF" w:rsidRPr="00765CEF" w:rsidTr="00765CEF">
        <w:trPr>
          <w:tblCellSpacing w:w="15" w:type="dxa"/>
        </w:trPr>
        <w:tc>
          <w:tcPr>
            <w:tcW w:w="0" w:type="auto"/>
            <w:vAlign w:val="center"/>
            <w:hideMark/>
          </w:tcPr>
          <w:p w:rsidR="00765CEF" w:rsidRPr="00765CEF" w:rsidRDefault="00765CEF" w:rsidP="00765CEF">
            <w:r w:rsidRPr="00765CEF">
              <w:lastRenderedPageBreak/>
              <w:t>Rate</w:t>
            </w:r>
          </w:p>
        </w:tc>
        <w:tc>
          <w:tcPr>
            <w:tcW w:w="0" w:type="auto"/>
            <w:vAlign w:val="center"/>
            <w:hideMark/>
          </w:tcPr>
          <w:p w:rsidR="00765CEF" w:rsidRPr="00765CEF" w:rsidRDefault="00765CEF" w:rsidP="00765CEF">
            <w:r w:rsidRPr="00765CEF">
              <w:t> </w:t>
            </w:r>
          </w:p>
        </w:tc>
      </w:tr>
      <w:tr w:rsidR="00765CEF" w:rsidRPr="00765CEF" w:rsidTr="00765CEF">
        <w:trPr>
          <w:tblCellSpacing w:w="15" w:type="dxa"/>
        </w:trPr>
        <w:tc>
          <w:tcPr>
            <w:tcW w:w="0" w:type="auto"/>
            <w:vAlign w:val="center"/>
            <w:hideMark/>
          </w:tcPr>
          <w:p w:rsidR="00765CEF" w:rsidRPr="00765CEF" w:rsidRDefault="00765CEF" w:rsidP="00765CEF">
            <w:r w:rsidRPr="00765CEF">
              <w:t>VAT charged on exports</w:t>
            </w:r>
          </w:p>
        </w:tc>
        <w:tc>
          <w:tcPr>
            <w:tcW w:w="0" w:type="auto"/>
            <w:vAlign w:val="center"/>
            <w:hideMark/>
          </w:tcPr>
          <w:p w:rsidR="00765CEF" w:rsidRPr="00765CEF" w:rsidRDefault="00765CEF" w:rsidP="00765CEF">
            <w:r w:rsidRPr="00765CEF">
              <w:t>No [</w:t>
            </w:r>
            <w:hyperlink r:id="rId16" w:anchor="footnote-159" w:history="1">
              <w:r w:rsidRPr="00765CEF">
                <w:rPr>
                  <w:rStyle w:val="Hyperlink"/>
                </w:rPr>
                <w:t>159</w:t>
              </w:r>
            </w:hyperlink>
            <w:r w:rsidRPr="00765CEF">
              <w:t>]</w:t>
            </w:r>
          </w:p>
        </w:tc>
      </w:tr>
      <w:tr w:rsidR="00765CEF" w:rsidRPr="00765CEF" w:rsidTr="00765CEF">
        <w:trPr>
          <w:tblCellSpacing w:w="15" w:type="dxa"/>
        </w:trPr>
        <w:tc>
          <w:tcPr>
            <w:tcW w:w="0" w:type="auto"/>
            <w:vAlign w:val="center"/>
            <w:hideMark/>
          </w:tcPr>
          <w:p w:rsidR="00765CEF" w:rsidRPr="00765CEF" w:rsidRDefault="00765CEF" w:rsidP="00765CEF">
            <w:r w:rsidRPr="00765CEF">
              <w:t>Average time for VAT refund</w:t>
            </w:r>
          </w:p>
        </w:tc>
        <w:tc>
          <w:tcPr>
            <w:tcW w:w="0" w:type="auto"/>
            <w:vAlign w:val="center"/>
            <w:hideMark/>
          </w:tcPr>
          <w:p w:rsidR="00765CEF" w:rsidRPr="00765CEF" w:rsidRDefault="00765CEF" w:rsidP="00765CEF">
            <w:r w:rsidRPr="00765CEF">
              <w:t>Within 1 year</w:t>
            </w:r>
          </w:p>
        </w:tc>
      </w:tr>
      <w:tr w:rsidR="00765CEF" w:rsidRPr="00765CEF" w:rsidTr="00765CEF">
        <w:trPr>
          <w:tblCellSpacing w:w="15" w:type="dxa"/>
        </w:trPr>
        <w:tc>
          <w:tcPr>
            <w:tcW w:w="0" w:type="auto"/>
            <w:vAlign w:val="center"/>
            <w:hideMark/>
          </w:tcPr>
          <w:p w:rsidR="00765CEF" w:rsidRPr="00765CEF" w:rsidRDefault="00765CEF" w:rsidP="00765CEF">
            <w:r w:rsidRPr="00765CEF">
              <w:t>Any other payments</w:t>
            </w:r>
          </w:p>
        </w:tc>
        <w:tc>
          <w:tcPr>
            <w:tcW w:w="0" w:type="auto"/>
            <w:vAlign w:val="center"/>
            <w:hideMark/>
          </w:tcPr>
          <w:p w:rsidR="00765CEF" w:rsidRPr="00765CEF" w:rsidRDefault="00765CEF" w:rsidP="00765CEF">
            <w:r w:rsidRPr="00765CEF">
              <w:t xml:space="preserve">1: </w:t>
            </w:r>
            <w:proofErr w:type="spellStart"/>
            <w:r w:rsidRPr="00765CEF">
              <w:t>Licence</w:t>
            </w:r>
            <w:proofErr w:type="spellEnd"/>
            <w:r w:rsidRPr="00765CEF">
              <w:t xml:space="preserve"> fees [</w:t>
            </w:r>
            <w:hyperlink r:id="rId17" w:anchor="footnote-160" w:history="1">
              <w:r w:rsidRPr="00765CEF">
                <w:rPr>
                  <w:rStyle w:val="Hyperlink"/>
                </w:rPr>
                <w:t>160</w:t>
              </w:r>
            </w:hyperlink>
            <w:r w:rsidRPr="00765CEF">
              <w:t xml:space="preserve">, </w:t>
            </w:r>
            <w:hyperlink r:id="rId18" w:anchor="footnote-161" w:history="1">
              <w:r w:rsidRPr="00765CEF">
                <w:rPr>
                  <w:rStyle w:val="Hyperlink"/>
                </w:rPr>
                <w:t>161</w:t>
              </w:r>
            </w:hyperlink>
            <w:r w:rsidRPr="00765CEF">
              <w:t xml:space="preserve">, </w:t>
            </w:r>
            <w:hyperlink r:id="rId19" w:anchor="footnote-162" w:history="1">
              <w:r w:rsidRPr="00765CEF">
                <w:rPr>
                  <w:rStyle w:val="Hyperlink"/>
                </w:rPr>
                <w:t>162</w:t>
              </w:r>
            </w:hyperlink>
            <w:r w:rsidRPr="00765CEF">
              <w:t>]</w:t>
            </w:r>
            <w:r w:rsidRPr="00765CEF">
              <w:br/>
              <w:t xml:space="preserve">2: </w:t>
            </w:r>
            <w:proofErr w:type="spellStart"/>
            <w:r w:rsidRPr="00765CEF">
              <w:t>Deadrent</w:t>
            </w:r>
            <w:proofErr w:type="spellEnd"/>
            <w:r w:rsidRPr="00765CEF">
              <w:t xml:space="preserve"> [</w:t>
            </w:r>
            <w:hyperlink r:id="rId20" w:anchor="footnote-160" w:history="1">
              <w:r w:rsidRPr="00765CEF">
                <w:rPr>
                  <w:rStyle w:val="Hyperlink"/>
                </w:rPr>
                <w:t>160</w:t>
              </w:r>
            </w:hyperlink>
            <w:r w:rsidRPr="00765CEF">
              <w:t xml:space="preserve">, </w:t>
            </w:r>
            <w:hyperlink r:id="rId21" w:anchor="footnote-161" w:history="1">
              <w:r w:rsidRPr="00765CEF">
                <w:rPr>
                  <w:rStyle w:val="Hyperlink"/>
                </w:rPr>
                <w:t>161</w:t>
              </w:r>
            </w:hyperlink>
            <w:r w:rsidRPr="00765CEF">
              <w:t xml:space="preserve">, </w:t>
            </w:r>
            <w:hyperlink r:id="rId22" w:anchor="footnote-162" w:history="1">
              <w:r w:rsidRPr="00765CEF">
                <w:rPr>
                  <w:rStyle w:val="Hyperlink"/>
                </w:rPr>
                <w:t>162</w:t>
              </w:r>
            </w:hyperlink>
            <w:r w:rsidRPr="00765CEF">
              <w:t>]</w:t>
            </w:r>
            <w:r w:rsidRPr="00765CEF">
              <w:br/>
              <w:t>3: Dividends to government [</w:t>
            </w:r>
            <w:hyperlink r:id="rId23" w:anchor="footnote-161" w:history="1">
              <w:r w:rsidRPr="00765CEF">
                <w:rPr>
                  <w:rStyle w:val="Hyperlink"/>
                </w:rPr>
                <w:t>161</w:t>
              </w:r>
            </w:hyperlink>
            <w:r w:rsidRPr="00765CEF">
              <w:t xml:space="preserve">, </w:t>
            </w:r>
            <w:hyperlink r:id="rId24" w:anchor="footnote-162" w:history="1">
              <w:r w:rsidRPr="00765CEF">
                <w:rPr>
                  <w:rStyle w:val="Hyperlink"/>
                </w:rPr>
                <w:t>162</w:t>
              </w:r>
            </w:hyperlink>
            <w:r w:rsidRPr="00765CEF">
              <w:t>]</w:t>
            </w:r>
            <w:r w:rsidRPr="00765CEF">
              <w:br/>
              <w:t>4: Other - see footnotes [</w:t>
            </w:r>
            <w:hyperlink r:id="rId25" w:anchor="footnote-162" w:history="1">
              <w:r w:rsidRPr="00765CEF">
                <w:rPr>
                  <w:rStyle w:val="Hyperlink"/>
                </w:rPr>
                <w:t>162</w:t>
              </w:r>
            </w:hyperlink>
            <w:r w:rsidRPr="00765CEF">
              <w:t>]</w:t>
            </w:r>
          </w:p>
        </w:tc>
      </w:tr>
    </w:tbl>
    <w:p w:rsidR="00765CEF" w:rsidRPr="00765CEF" w:rsidRDefault="00765CEF" w:rsidP="00765CEF">
      <w:pPr>
        <w:rPr>
          <w:b/>
          <w:bCs/>
        </w:rPr>
      </w:pPr>
      <w:r w:rsidRPr="00765CEF">
        <w:rPr>
          <w:b/>
          <w:bCs/>
        </w:rPr>
        <w:t>Tax on exports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333"/>
        <w:gridCol w:w="949"/>
      </w:tblGrid>
      <w:tr w:rsidR="00765CEF" w:rsidRPr="00765CEF" w:rsidTr="00765CEF">
        <w:trPr>
          <w:tblCellSpacing w:w="15" w:type="dxa"/>
        </w:trPr>
        <w:tc>
          <w:tcPr>
            <w:tcW w:w="0" w:type="auto"/>
            <w:vAlign w:val="center"/>
            <w:hideMark/>
          </w:tcPr>
          <w:p w:rsidR="00765CEF" w:rsidRPr="00765CEF" w:rsidRDefault="00765CEF" w:rsidP="00765CEF">
            <w:r w:rsidRPr="00765CEF">
              <w:t>Ore extracted</w:t>
            </w:r>
          </w:p>
        </w:tc>
        <w:tc>
          <w:tcPr>
            <w:tcW w:w="0" w:type="auto"/>
            <w:vAlign w:val="center"/>
            <w:hideMark/>
          </w:tcPr>
          <w:p w:rsidR="00765CEF" w:rsidRPr="00765CEF" w:rsidRDefault="00765CEF" w:rsidP="00765CEF">
            <w:r w:rsidRPr="00765CEF">
              <w:t>N/A [</w:t>
            </w:r>
            <w:hyperlink r:id="rId26" w:anchor="footnote-163" w:history="1">
              <w:r w:rsidRPr="00765CEF">
                <w:rPr>
                  <w:rStyle w:val="Hyperlink"/>
                </w:rPr>
                <w:t>163</w:t>
              </w:r>
            </w:hyperlink>
            <w:r w:rsidRPr="00765CEF">
              <w:t>]</w:t>
            </w:r>
          </w:p>
        </w:tc>
      </w:tr>
      <w:tr w:rsidR="00765CEF" w:rsidRPr="00765CEF" w:rsidTr="00765CEF">
        <w:trPr>
          <w:tblCellSpacing w:w="15" w:type="dxa"/>
        </w:trPr>
        <w:tc>
          <w:tcPr>
            <w:tcW w:w="0" w:type="auto"/>
            <w:vAlign w:val="center"/>
            <w:hideMark/>
          </w:tcPr>
          <w:p w:rsidR="00765CEF" w:rsidRPr="00765CEF" w:rsidRDefault="00765CEF" w:rsidP="00765CEF">
            <w:r w:rsidRPr="00765CEF">
              <w:t>Processed ore</w:t>
            </w:r>
          </w:p>
        </w:tc>
        <w:tc>
          <w:tcPr>
            <w:tcW w:w="0" w:type="auto"/>
            <w:vAlign w:val="center"/>
            <w:hideMark/>
          </w:tcPr>
          <w:p w:rsidR="00765CEF" w:rsidRPr="00765CEF" w:rsidRDefault="00765CEF" w:rsidP="00765CEF">
            <w:r w:rsidRPr="00765CEF">
              <w:t>N/A [</w:t>
            </w:r>
            <w:hyperlink r:id="rId27" w:anchor="footnote-164" w:history="1">
              <w:r w:rsidRPr="00765CEF">
                <w:rPr>
                  <w:rStyle w:val="Hyperlink"/>
                </w:rPr>
                <w:t>164</w:t>
              </w:r>
            </w:hyperlink>
            <w:r w:rsidRPr="00765CEF">
              <w:t>]</w:t>
            </w:r>
          </w:p>
        </w:tc>
      </w:tr>
      <w:tr w:rsidR="00765CEF" w:rsidRPr="00765CEF" w:rsidTr="00765CEF">
        <w:trPr>
          <w:tblCellSpacing w:w="15" w:type="dxa"/>
        </w:trPr>
        <w:tc>
          <w:tcPr>
            <w:tcW w:w="0" w:type="auto"/>
            <w:vAlign w:val="center"/>
            <w:hideMark/>
          </w:tcPr>
          <w:p w:rsidR="00765CEF" w:rsidRPr="00765CEF" w:rsidRDefault="00765CEF" w:rsidP="00765CEF">
            <w:r w:rsidRPr="00765CEF">
              <w:t>Refined metal</w:t>
            </w:r>
          </w:p>
        </w:tc>
        <w:tc>
          <w:tcPr>
            <w:tcW w:w="0" w:type="auto"/>
            <w:vAlign w:val="center"/>
            <w:hideMark/>
          </w:tcPr>
          <w:p w:rsidR="00765CEF" w:rsidRPr="00765CEF" w:rsidRDefault="00765CEF" w:rsidP="00765CEF">
            <w:r w:rsidRPr="00765CEF">
              <w:t>N/A [</w:t>
            </w:r>
            <w:hyperlink r:id="rId28" w:anchor="footnote-165" w:history="1">
              <w:r w:rsidRPr="00765CEF">
                <w:rPr>
                  <w:rStyle w:val="Hyperlink"/>
                </w:rPr>
                <w:t>165</w:t>
              </w:r>
            </w:hyperlink>
            <w:r w:rsidRPr="00765CEF">
              <w:t>]</w:t>
            </w:r>
          </w:p>
        </w:tc>
      </w:tr>
      <w:tr w:rsidR="00765CEF" w:rsidRPr="00765CEF" w:rsidTr="00765CEF">
        <w:trPr>
          <w:tblCellSpacing w:w="15" w:type="dxa"/>
        </w:trPr>
        <w:tc>
          <w:tcPr>
            <w:tcW w:w="0" w:type="auto"/>
            <w:vAlign w:val="center"/>
            <w:hideMark/>
          </w:tcPr>
          <w:p w:rsidR="00765CEF" w:rsidRPr="00765CEF" w:rsidRDefault="00765CEF" w:rsidP="00765CEF">
            <w:r w:rsidRPr="00765CEF">
              <w:t>Other</w:t>
            </w:r>
          </w:p>
        </w:tc>
        <w:tc>
          <w:tcPr>
            <w:tcW w:w="0" w:type="auto"/>
            <w:vAlign w:val="center"/>
            <w:hideMark/>
          </w:tcPr>
          <w:p w:rsidR="00765CEF" w:rsidRPr="00765CEF" w:rsidRDefault="00765CEF" w:rsidP="00765CEF">
            <w:r w:rsidRPr="00765CEF">
              <w:t> </w:t>
            </w:r>
          </w:p>
        </w:tc>
      </w:tr>
    </w:tbl>
    <w:p w:rsidR="00765CEF" w:rsidRPr="00765CEF" w:rsidRDefault="00765CEF" w:rsidP="00765CEF">
      <w:pPr>
        <w:rPr>
          <w:b/>
          <w:bCs/>
        </w:rPr>
      </w:pPr>
      <w:r w:rsidRPr="00765CEF">
        <w:rPr>
          <w:b/>
          <w:bCs/>
        </w:rPr>
        <w:t>Withholding tax</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137"/>
        <w:gridCol w:w="1253"/>
      </w:tblGrid>
      <w:tr w:rsidR="00765CEF" w:rsidRPr="00765CEF" w:rsidTr="00765CEF">
        <w:trPr>
          <w:tblCellSpacing w:w="15" w:type="dxa"/>
        </w:trPr>
        <w:tc>
          <w:tcPr>
            <w:tcW w:w="0" w:type="auto"/>
            <w:vAlign w:val="center"/>
            <w:hideMark/>
          </w:tcPr>
          <w:p w:rsidR="00765CEF" w:rsidRPr="00765CEF" w:rsidRDefault="00765CEF" w:rsidP="00765CEF">
            <w:r w:rsidRPr="00765CEF">
              <w:t>Dividends</w:t>
            </w:r>
          </w:p>
        </w:tc>
        <w:tc>
          <w:tcPr>
            <w:tcW w:w="0" w:type="auto"/>
            <w:vAlign w:val="center"/>
            <w:hideMark/>
          </w:tcPr>
          <w:p w:rsidR="00765CEF" w:rsidRPr="00765CEF" w:rsidRDefault="00765CEF" w:rsidP="00765CEF">
            <w:r w:rsidRPr="00765CEF">
              <w:t>8.00% [</w:t>
            </w:r>
            <w:hyperlink r:id="rId29" w:anchor="footnote-166" w:history="1">
              <w:r w:rsidRPr="00765CEF">
                <w:rPr>
                  <w:rStyle w:val="Hyperlink"/>
                </w:rPr>
                <w:t>166</w:t>
              </w:r>
            </w:hyperlink>
            <w:r w:rsidRPr="00765CEF">
              <w:t>]</w:t>
            </w:r>
          </w:p>
        </w:tc>
      </w:tr>
      <w:tr w:rsidR="00765CEF" w:rsidRPr="00765CEF" w:rsidTr="00765CEF">
        <w:trPr>
          <w:tblCellSpacing w:w="15" w:type="dxa"/>
        </w:trPr>
        <w:tc>
          <w:tcPr>
            <w:tcW w:w="0" w:type="auto"/>
            <w:vAlign w:val="center"/>
            <w:hideMark/>
          </w:tcPr>
          <w:p w:rsidR="00765CEF" w:rsidRPr="00765CEF" w:rsidRDefault="00765CEF" w:rsidP="00765CEF">
            <w:r w:rsidRPr="00765CEF">
              <w:t>Interest</w:t>
            </w:r>
          </w:p>
        </w:tc>
        <w:tc>
          <w:tcPr>
            <w:tcW w:w="0" w:type="auto"/>
            <w:vAlign w:val="center"/>
            <w:hideMark/>
          </w:tcPr>
          <w:p w:rsidR="00765CEF" w:rsidRPr="00765CEF" w:rsidRDefault="00765CEF" w:rsidP="00765CEF">
            <w:r w:rsidRPr="00765CEF">
              <w:t>8.00% [</w:t>
            </w:r>
            <w:hyperlink r:id="rId30" w:anchor="footnote-167" w:history="1">
              <w:r w:rsidRPr="00765CEF">
                <w:rPr>
                  <w:rStyle w:val="Hyperlink"/>
                </w:rPr>
                <w:t>167</w:t>
              </w:r>
            </w:hyperlink>
            <w:r w:rsidRPr="00765CEF">
              <w:t>]</w:t>
            </w:r>
          </w:p>
        </w:tc>
      </w:tr>
      <w:tr w:rsidR="00765CEF" w:rsidRPr="00765CEF" w:rsidTr="00765CEF">
        <w:trPr>
          <w:tblCellSpacing w:w="15" w:type="dxa"/>
        </w:trPr>
        <w:tc>
          <w:tcPr>
            <w:tcW w:w="0" w:type="auto"/>
            <w:vAlign w:val="center"/>
            <w:hideMark/>
          </w:tcPr>
          <w:p w:rsidR="00765CEF" w:rsidRPr="00765CEF" w:rsidRDefault="00765CEF" w:rsidP="00765CEF">
            <w:r w:rsidRPr="00765CEF">
              <w:t>Royalties</w:t>
            </w:r>
          </w:p>
        </w:tc>
        <w:tc>
          <w:tcPr>
            <w:tcW w:w="0" w:type="auto"/>
            <w:vAlign w:val="center"/>
            <w:hideMark/>
          </w:tcPr>
          <w:p w:rsidR="00765CEF" w:rsidRPr="00765CEF" w:rsidRDefault="00765CEF" w:rsidP="00765CEF">
            <w:r w:rsidRPr="00765CEF">
              <w:t>15.00% [</w:t>
            </w:r>
            <w:hyperlink r:id="rId31" w:anchor="footnote-168" w:history="1">
              <w:r w:rsidRPr="00765CEF">
                <w:rPr>
                  <w:rStyle w:val="Hyperlink"/>
                </w:rPr>
                <w:t>168</w:t>
              </w:r>
            </w:hyperlink>
            <w:r w:rsidRPr="00765CEF">
              <w:t>]</w:t>
            </w:r>
          </w:p>
        </w:tc>
      </w:tr>
      <w:tr w:rsidR="00765CEF" w:rsidRPr="00765CEF" w:rsidTr="00765CEF">
        <w:trPr>
          <w:tblCellSpacing w:w="15" w:type="dxa"/>
        </w:trPr>
        <w:tc>
          <w:tcPr>
            <w:tcW w:w="0" w:type="auto"/>
            <w:vAlign w:val="center"/>
            <w:hideMark/>
          </w:tcPr>
          <w:p w:rsidR="00765CEF" w:rsidRPr="00765CEF" w:rsidRDefault="00765CEF" w:rsidP="00765CEF">
            <w:r w:rsidRPr="00765CEF">
              <w:t>Service fees</w:t>
            </w:r>
          </w:p>
        </w:tc>
        <w:tc>
          <w:tcPr>
            <w:tcW w:w="0" w:type="auto"/>
            <w:vAlign w:val="center"/>
            <w:hideMark/>
          </w:tcPr>
          <w:p w:rsidR="00765CEF" w:rsidRPr="00765CEF" w:rsidRDefault="00765CEF" w:rsidP="00765CEF">
            <w:r w:rsidRPr="00765CEF">
              <w:t>20.00% [</w:t>
            </w:r>
            <w:hyperlink r:id="rId32" w:anchor="footnote-169" w:history="1">
              <w:r w:rsidRPr="00765CEF">
                <w:rPr>
                  <w:rStyle w:val="Hyperlink"/>
                </w:rPr>
                <w:t>169</w:t>
              </w:r>
            </w:hyperlink>
            <w:r w:rsidRPr="00765CEF">
              <w:t>]</w:t>
            </w:r>
          </w:p>
        </w:tc>
      </w:tr>
    </w:tbl>
    <w:p w:rsidR="00765CEF" w:rsidRPr="00765CEF" w:rsidRDefault="00765CEF" w:rsidP="00765CEF">
      <w:pPr>
        <w:rPr>
          <w:b/>
          <w:bCs/>
        </w:rPr>
      </w:pPr>
      <w:r w:rsidRPr="00765CEF">
        <w:rPr>
          <w:b/>
          <w:bCs/>
        </w:rPr>
        <w:t>Other comments</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778"/>
        <w:gridCol w:w="1917"/>
      </w:tblGrid>
      <w:tr w:rsidR="00765CEF" w:rsidRPr="00765CEF" w:rsidTr="00765CEF">
        <w:trPr>
          <w:tblCellSpacing w:w="15" w:type="dxa"/>
        </w:trPr>
        <w:tc>
          <w:tcPr>
            <w:tcW w:w="0" w:type="auto"/>
            <w:vAlign w:val="center"/>
            <w:hideMark/>
          </w:tcPr>
          <w:p w:rsidR="00765CEF" w:rsidRPr="00765CEF" w:rsidRDefault="00765CEF" w:rsidP="00765CEF">
            <w:r w:rsidRPr="00765CEF">
              <w:t xml:space="preserve">Fiscal </w:t>
            </w:r>
            <w:proofErr w:type="spellStart"/>
            <w:r w:rsidRPr="00765CEF">
              <w:t>stabiliity</w:t>
            </w:r>
            <w:proofErr w:type="spellEnd"/>
            <w:r w:rsidRPr="00765CEF">
              <w:t xml:space="preserve"> agreements</w:t>
            </w:r>
          </w:p>
        </w:tc>
        <w:tc>
          <w:tcPr>
            <w:tcW w:w="0" w:type="auto"/>
            <w:vAlign w:val="center"/>
            <w:hideMark/>
          </w:tcPr>
          <w:p w:rsidR="00765CEF" w:rsidRPr="00765CEF" w:rsidRDefault="00765CEF" w:rsidP="00765CEF">
            <w:r w:rsidRPr="00765CEF">
              <w:t>Yes - by negotiation</w:t>
            </w:r>
          </w:p>
        </w:tc>
      </w:tr>
      <w:tr w:rsidR="00765CEF" w:rsidRPr="00765CEF" w:rsidTr="00765CEF">
        <w:trPr>
          <w:tblCellSpacing w:w="15" w:type="dxa"/>
        </w:trPr>
        <w:tc>
          <w:tcPr>
            <w:tcW w:w="0" w:type="auto"/>
            <w:vAlign w:val="center"/>
            <w:hideMark/>
          </w:tcPr>
          <w:p w:rsidR="00765CEF" w:rsidRPr="00765CEF" w:rsidRDefault="00765CEF" w:rsidP="00765CEF">
            <w:r w:rsidRPr="00765CEF">
              <w:t>Social contributions</w:t>
            </w:r>
          </w:p>
        </w:tc>
        <w:tc>
          <w:tcPr>
            <w:tcW w:w="0" w:type="auto"/>
            <w:vAlign w:val="center"/>
            <w:hideMark/>
          </w:tcPr>
          <w:p w:rsidR="00765CEF" w:rsidRPr="00765CEF" w:rsidRDefault="00765CEF" w:rsidP="00765CEF">
            <w:r w:rsidRPr="00765CEF">
              <w:t>Yes - voluntary [</w:t>
            </w:r>
            <w:hyperlink r:id="rId33" w:anchor="footnote-170" w:history="1">
              <w:r w:rsidRPr="00765CEF">
                <w:rPr>
                  <w:rStyle w:val="Hyperlink"/>
                </w:rPr>
                <w:t>170</w:t>
              </w:r>
            </w:hyperlink>
            <w:r w:rsidRPr="00765CEF">
              <w:t>]</w:t>
            </w:r>
          </w:p>
        </w:tc>
      </w:tr>
      <w:tr w:rsidR="00765CEF" w:rsidRPr="00765CEF" w:rsidTr="00765CEF">
        <w:trPr>
          <w:tblCellSpacing w:w="15" w:type="dxa"/>
        </w:trPr>
        <w:tc>
          <w:tcPr>
            <w:tcW w:w="0" w:type="auto"/>
            <w:vAlign w:val="center"/>
            <w:hideMark/>
          </w:tcPr>
          <w:p w:rsidR="00765CEF" w:rsidRPr="00765CEF" w:rsidRDefault="00765CEF" w:rsidP="00765CEF">
            <w:r w:rsidRPr="00765CEF">
              <w:t>Additional in-country information</w:t>
            </w:r>
          </w:p>
        </w:tc>
        <w:tc>
          <w:tcPr>
            <w:tcW w:w="0" w:type="auto"/>
            <w:vAlign w:val="center"/>
            <w:hideMark/>
          </w:tcPr>
          <w:p w:rsidR="00765CEF" w:rsidRPr="00765CEF" w:rsidRDefault="00765CEF" w:rsidP="00765CEF">
            <w:r w:rsidRPr="00765CEF">
              <w:t> </w:t>
            </w:r>
          </w:p>
        </w:tc>
      </w:tr>
      <w:tr w:rsidR="00765CEF" w:rsidRPr="00765CEF" w:rsidTr="00765CEF">
        <w:trPr>
          <w:tblCellSpacing w:w="15" w:type="dxa"/>
        </w:trPr>
        <w:tc>
          <w:tcPr>
            <w:tcW w:w="0" w:type="auto"/>
            <w:vAlign w:val="center"/>
            <w:hideMark/>
          </w:tcPr>
          <w:p w:rsidR="00765CEF" w:rsidRPr="00765CEF" w:rsidRDefault="00765CEF" w:rsidP="00765CEF">
            <w:r w:rsidRPr="00765CEF">
              <w:t>Past increases (since 2008)</w:t>
            </w:r>
          </w:p>
        </w:tc>
        <w:tc>
          <w:tcPr>
            <w:tcW w:w="0" w:type="auto"/>
            <w:vAlign w:val="center"/>
            <w:hideMark/>
          </w:tcPr>
          <w:p w:rsidR="00765CEF" w:rsidRPr="00765CEF" w:rsidRDefault="00765CEF" w:rsidP="00765CEF">
            <w:r w:rsidRPr="00765CEF">
              <w:t>Yes [</w:t>
            </w:r>
            <w:hyperlink r:id="rId34" w:anchor="footnote-171" w:history="1">
              <w:r w:rsidRPr="00765CEF">
                <w:rPr>
                  <w:rStyle w:val="Hyperlink"/>
                </w:rPr>
                <w:t>171</w:t>
              </w:r>
            </w:hyperlink>
            <w:r w:rsidRPr="00765CEF">
              <w:t>]</w:t>
            </w:r>
          </w:p>
        </w:tc>
      </w:tr>
      <w:tr w:rsidR="00765CEF" w:rsidRPr="00765CEF" w:rsidTr="00765CEF">
        <w:trPr>
          <w:tblCellSpacing w:w="15" w:type="dxa"/>
        </w:trPr>
        <w:tc>
          <w:tcPr>
            <w:tcW w:w="0" w:type="auto"/>
            <w:vAlign w:val="center"/>
            <w:hideMark/>
          </w:tcPr>
          <w:p w:rsidR="00765CEF" w:rsidRPr="00765CEF" w:rsidRDefault="00765CEF" w:rsidP="00765CEF">
            <w:r w:rsidRPr="00765CEF">
              <w:t>Government considering future increases</w:t>
            </w:r>
          </w:p>
        </w:tc>
        <w:tc>
          <w:tcPr>
            <w:tcW w:w="0" w:type="auto"/>
            <w:vAlign w:val="center"/>
            <w:hideMark/>
          </w:tcPr>
          <w:p w:rsidR="00765CEF" w:rsidRPr="00765CEF" w:rsidRDefault="00765CEF" w:rsidP="00765CEF">
            <w:r w:rsidRPr="00765CEF">
              <w:t>No [</w:t>
            </w:r>
            <w:hyperlink r:id="rId35" w:anchor="footnote-172" w:history="1">
              <w:r w:rsidRPr="00765CEF">
                <w:rPr>
                  <w:rStyle w:val="Hyperlink"/>
                </w:rPr>
                <w:t>172</w:t>
              </w:r>
            </w:hyperlink>
            <w:r w:rsidRPr="00765CEF">
              <w:t>]</w:t>
            </w:r>
          </w:p>
        </w:tc>
      </w:tr>
    </w:tbl>
    <w:p w:rsidR="00765CEF" w:rsidRPr="00765CEF" w:rsidRDefault="00765CEF" w:rsidP="00765CEF">
      <w:pPr>
        <w:rPr>
          <w:b/>
          <w:bCs/>
        </w:rPr>
      </w:pPr>
      <w:r w:rsidRPr="00765CEF">
        <w:rPr>
          <w:b/>
          <w:bCs/>
        </w:rPr>
        <w:t>Notes</w:t>
      </w:r>
    </w:p>
    <w:p w:rsidR="00765CEF" w:rsidRPr="00765CEF" w:rsidRDefault="00765CEF" w:rsidP="00765CEF">
      <w:r w:rsidRPr="00765CEF">
        <w:lastRenderedPageBreak/>
        <w:t xml:space="preserve">150. The corporate income tax rate for businesses engaged in mining is 35%. Mining service providers and non-mining companies are generally subject to corporate income tax at the rate of 25%. </w:t>
      </w:r>
      <w:hyperlink r:id="rId36" w:anchor="footnote-150-ref" w:history="1">
        <w:r w:rsidRPr="00765CEF">
          <w:rPr>
            <w:rStyle w:val="Hyperlink"/>
            <w:rFonts w:ascii="Cambria Math" w:hAnsi="Cambria Math" w:cs="Cambria Math"/>
          </w:rPr>
          <w:t>↩</w:t>
        </w:r>
      </w:hyperlink>
    </w:p>
    <w:p w:rsidR="00765CEF" w:rsidRPr="00765CEF" w:rsidRDefault="00765CEF" w:rsidP="00765CEF">
      <w:r w:rsidRPr="00765CEF">
        <w:t xml:space="preserve">151. Government is contemplating the introduction of windfall profit tax. </w:t>
      </w:r>
      <w:hyperlink r:id="rId37" w:anchor="footnote-151-ref" w:history="1">
        <w:r w:rsidRPr="00765CEF">
          <w:rPr>
            <w:rStyle w:val="Hyperlink"/>
            <w:rFonts w:ascii="Cambria Math" w:hAnsi="Cambria Math" w:cs="Cambria Math"/>
          </w:rPr>
          <w:t>↩</w:t>
        </w:r>
      </w:hyperlink>
    </w:p>
    <w:p w:rsidR="00765CEF" w:rsidRPr="00765CEF" w:rsidRDefault="00765CEF" w:rsidP="00765CEF">
      <w:r w:rsidRPr="00765CEF">
        <w:t xml:space="preserve">152. </w:t>
      </w:r>
      <w:proofErr w:type="gramStart"/>
      <w:r w:rsidRPr="00765CEF">
        <w:t>On</w:t>
      </w:r>
      <w:proofErr w:type="gramEnd"/>
      <w:r w:rsidRPr="00765CEF">
        <w:t xml:space="preserve"> a straight line basis </w:t>
      </w:r>
      <w:hyperlink r:id="rId38" w:anchor="footnote-152-ref" w:history="1">
        <w:r w:rsidRPr="00765CEF">
          <w:rPr>
            <w:rStyle w:val="Hyperlink"/>
            <w:rFonts w:ascii="Cambria Math" w:hAnsi="Cambria Math" w:cs="Cambria Math"/>
          </w:rPr>
          <w:t>↩</w:t>
        </w:r>
      </w:hyperlink>
    </w:p>
    <w:p w:rsidR="00765CEF" w:rsidRPr="00765CEF" w:rsidRDefault="00765CEF" w:rsidP="00765CEF">
      <w:r w:rsidRPr="00765CEF">
        <w:t xml:space="preserve">153. </w:t>
      </w:r>
      <w:proofErr w:type="gramStart"/>
      <w:r w:rsidRPr="00765CEF">
        <w:t>On</w:t>
      </w:r>
      <w:proofErr w:type="gramEnd"/>
      <w:r w:rsidRPr="00765CEF">
        <w:t xml:space="preserve"> a straight line basis. Land is not depreciated. </w:t>
      </w:r>
      <w:hyperlink r:id="rId39" w:anchor="footnote-153-ref" w:history="1">
        <w:r w:rsidRPr="00765CEF">
          <w:rPr>
            <w:rStyle w:val="Hyperlink"/>
            <w:rFonts w:ascii="Cambria Math" w:hAnsi="Cambria Math" w:cs="Cambria Math"/>
          </w:rPr>
          <w:t>↩</w:t>
        </w:r>
      </w:hyperlink>
    </w:p>
    <w:p w:rsidR="00765CEF" w:rsidRPr="00765CEF" w:rsidRDefault="00765CEF" w:rsidP="00765CEF">
      <w:r w:rsidRPr="00765CEF">
        <w:t xml:space="preserve">154. </w:t>
      </w:r>
      <w:proofErr w:type="gramStart"/>
      <w:r w:rsidRPr="00765CEF">
        <w:t>On</w:t>
      </w:r>
      <w:proofErr w:type="gramEnd"/>
      <w:r w:rsidRPr="00765CEF">
        <w:t xml:space="preserve"> a straight line basis. Assuming it is situated on the mine site. </w:t>
      </w:r>
      <w:hyperlink r:id="rId40" w:anchor="footnote-154-ref" w:history="1">
        <w:r w:rsidRPr="00765CEF">
          <w:rPr>
            <w:rStyle w:val="Hyperlink"/>
            <w:rFonts w:ascii="Cambria Math" w:hAnsi="Cambria Math" w:cs="Cambria Math"/>
          </w:rPr>
          <w:t>↩</w:t>
        </w:r>
      </w:hyperlink>
    </w:p>
    <w:p w:rsidR="00765CEF" w:rsidRPr="00765CEF" w:rsidRDefault="00765CEF" w:rsidP="00765CEF">
      <w:r w:rsidRPr="00765CEF">
        <w:t xml:space="preserve">155. </w:t>
      </w:r>
      <w:proofErr w:type="gramStart"/>
      <w:r w:rsidRPr="00765CEF">
        <w:t>On</w:t>
      </w:r>
      <w:proofErr w:type="gramEnd"/>
      <w:r w:rsidRPr="00765CEF">
        <w:t xml:space="preserve"> a straight line basis </w:t>
      </w:r>
      <w:hyperlink r:id="rId41" w:anchor="footnote-155-ref" w:history="1">
        <w:r w:rsidRPr="00765CEF">
          <w:rPr>
            <w:rStyle w:val="Hyperlink"/>
            <w:rFonts w:ascii="Cambria Math" w:hAnsi="Cambria Math" w:cs="Cambria Math"/>
          </w:rPr>
          <w:t>↩</w:t>
        </w:r>
      </w:hyperlink>
    </w:p>
    <w:p w:rsidR="00765CEF" w:rsidRPr="00765CEF" w:rsidRDefault="00765CEF" w:rsidP="00765CEF">
      <w:r w:rsidRPr="00765CEF">
        <w:t xml:space="preserve">156. </w:t>
      </w:r>
      <w:proofErr w:type="gramStart"/>
      <w:r w:rsidRPr="00765CEF">
        <w:t>On</w:t>
      </w:r>
      <w:proofErr w:type="gramEnd"/>
      <w:r w:rsidRPr="00765CEF">
        <w:t xml:space="preserve"> a straight line basis </w:t>
      </w:r>
      <w:hyperlink r:id="rId42" w:anchor="footnote-156-ref" w:history="1">
        <w:r w:rsidRPr="00765CEF">
          <w:rPr>
            <w:rStyle w:val="Hyperlink"/>
            <w:rFonts w:ascii="Cambria Math" w:hAnsi="Cambria Math" w:cs="Cambria Math"/>
          </w:rPr>
          <w:t>↩</w:t>
        </w:r>
      </w:hyperlink>
    </w:p>
    <w:p w:rsidR="00765CEF" w:rsidRPr="00765CEF" w:rsidRDefault="00765CEF" w:rsidP="00765CEF">
      <w:r w:rsidRPr="00765CEF">
        <w:t xml:space="preserve">157. Capital allowances are given when the assets are brought into use </w:t>
      </w:r>
      <w:hyperlink r:id="rId43" w:anchor="footnote-157-ref" w:history="1">
        <w:r w:rsidRPr="00765CEF">
          <w:rPr>
            <w:rStyle w:val="Hyperlink"/>
            <w:rFonts w:ascii="Cambria Math" w:hAnsi="Cambria Math" w:cs="Cambria Math"/>
          </w:rPr>
          <w:t>↩</w:t>
        </w:r>
      </w:hyperlink>
    </w:p>
    <w:p w:rsidR="00765CEF" w:rsidRPr="00765CEF" w:rsidRDefault="00765CEF" w:rsidP="00765CEF">
      <w:r w:rsidRPr="00765CEF">
        <w:t xml:space="preserve">158. Some mining companies have stability agreements or deeds of </w:t>
      </w:r>
      <w:proofErr w:type="spellStart"/>
      <w:r w:rsidRPr="00765CEF">
        <w:t>waranty</w:t>
      </w:r>
      <w:proofErr w:type="spellEnd"/>
      <w:r w:rsidRPr="00765CEF">
        <w:t xml:space="preserve"> which may provide special concessions. These agreements are subject to approval by the Parliament of Ghana. </w:t>
      </w:r>
      <w:hyperlink r:id="rId44" w:anchor="footnote-158-ref" w:history="1">
        <w:r w:rsidRPr="00765CEF">
          <w:rPr>
            <w:rStyle w:val="Hyperlink"/>
            <w:rFonts w:ascii="Cambria Math" w:hAnsi="Cambria Math" w:cs="Cambria Math"/>
          </w:rPr>
          <w:t>↩</w:t>
        </w:r>
      </w:hyperlink>
    </w:p>
    <w:p w:rsidR="00765CEF" w:rsidRPr="00765CEF" w:rsidRDefault="00765CEF" w:rsidP="00765CEF">
      <w:r w:rsidRPr="00765CEF">
        <w:t xml:space="preserve">159. The VAT rate on the export of minerals/metals is 0%. </w:t>
      </w:r>
      <w:hyperlink r:id="rId45" w:anchor="footnote-159-ref" w:history="1">
        <w:r w:rsidRPr="00765CEF">
          <w:rPr>
            <w:rStyle w:val="Hyperlink"/>
            <w:rFonts w:ascii="Cambria Math" w:hAnsi="Cambria Math" w:cs="Cambria Math"/>
          </w:rPr>
          <w:t>↩</w:t>
        </w:r>
      </w:hyperlink>
    </w:p>
    <w:p w:rsidR="00765CEF" w:rsidRPr="00765CEF" w:rsidRDefault="00765CEF" w:rsidP="00765CEF">
      <w:r w:rsidRPr="00765CEF">
        <w:t xml:space="preserve">160. </w:t>
      </w:r>
      <w:proofErr w:type="gramStart"/>
      <w:r w:rsidRPr="00765CEF">
        <w:t>As</w:t>
      </w:r>
      <w:proofErr w:type="gramEnd"/>
      <w:r w:rsidRPr="00765CEF">
        <w:t xml:space="preserve"> prescribed </w:t>
      </w:r>
      <w:hyperlink r:id="rId46" w:anchor="footnote-160-ref" w:history="1">
        <w:r w:rsidRPr="00765CEF">
          <w:rPr>
            <w:rStyle w:val="Hyperlink"/>
            <w:rFonts w:ascii="Cambria Math" w:hAnsi="Cambria Math" w:cs="Cambria Math"/>
          </w:rPr>
          <w:t>↩</w:t>
        </w:r>
      </w:hyperlink>
    </w:p>
    <w:p w:rsidR="00765CEF" w:rsidRPr="00765CEF" w:rsidRDefault="00765CEF" w:rsidP="00765CEF">
      <w:r w:rsidRPr="00765CEF">
        <w:t xml:space="preserve">161. Government owns 10% free carried interest in all mining companies in Ghana </w:t>
      </w:r>
      <w:hyperlink r:id="rId47" w:anchor="footnote-161-ref" w:history="1">
        <w:r w:rsidRPr="00765CEF">
          <w:rPr>
            <w:rStyle w:val="Hyperlink"/>
            <w:rFonts w:ascii="Cambria Math" w:hAnsi="Cambria Math" w:cs="Cambria Math"/>
          </w:rPr>
          <w:t>↩</w:t>
        </w:r>
      </w:hyperlink>
    </w:p>
    <w:p w:rsidR="00765CEF" w:rsidRPr="00765CEF" w:rsidRDefault="00765CEF" w:rsidP="00765CEF">
      <w:r w:rsidRPr="00765CEF">
        <w:t xml:space="preserve">162. Ground rent; and annual mineral rights fee. </w:t>
      </w:r>
      <w:hyperlink r:id="rId48" w:anchor="footnote-162-ref" w:history="1">
        <w:r w:rsidRPr="00765CEF">
          <w:rPr>
            <w:rStyle w:val="Hyperlink"/>
            <w:rFonts w:ascii="Cambria Math" w:hAnsi="Cambria Math" w:cs="Cambria Math"/>
          </w:rPr>
          <w:t>↩</w:t>
        </w:r>
      </w:hyperlink>
    </w:p>
    <w:p w:rsidR="00765CEF" w:rsidRPr="00765CEF" w:rsidRDefault="00765CEF" w:rsidP="00765CEF">
      <w:r w:rsidRPr="00765CEF">
        <w:t>163. Manganese ore and concentrates; bauxite (</w:t>
      </w:r>
      <w:proofErr w:type="spellStart"/>
      <w:r w:rsidRPr="00765CEF">
        <w:t>aluminium</w:t>
      </w:r>
      <w:proofErr w:type="spellEnd"/>
      <w:r w:rsidRPr="00765CEF">
        <w:t xml:space="preserve"> ore), </w:t>
      </w:r>
      <w:proofErr w:type="spellStart"/>
      <w:r w:rsidRPr="00765CEF">
        <w:t>aluminium</w:t>
      </w:r>
      <w:proofErr w:type="spellEnd"/>
      <w:r w:rsidRPr="00765CEF">
        <w:t xml:space="preserve"> concentrates; and diamonds: the export duty charged is 0% </w:t>
      </w:r>
      <w:hyperlink r:id="rId49" w:anchor="footnote-163-ref" w:history="1">
        <w:r w:rsidRPr="00765CEF">
          <w:rPr>
            <w:rStyle w:val="Hyperlink"/>
            <w:rFonts w:ascii="Cambria Math" w:hAnsi="Cambria Math" w:cs="Cambria Math"/>
          </w:rPr>
          <w:t>↩</w:t>
        </w:r>
      </w:hyperlink>
    </w:p>
    <w:p w:rsidR="00765CEF" w:rsidRPr="00765CEF" w:rsidRDefault="00765CEF" w:rsidP="00765CEF">
      <w:r w:rsidRPr="00765CEF">
        <w:t>164. Manganese ore and concentrates; bauxite (</w:t>
      </w:r>
      <w:proofErr w:type="spellStart"/>
      <w:r w:rsidRPr="00765CEF">
        <w:t>aluminium</w:t>
      </w:r>
      <w:proofErr w:type="spellEnd"/>
      <w:r w:rsidRPr="00765CEF">
        <w:t xml:space="preserve"> ore) and </w:t>
      </w:r>
      <w:proofErr w:type="spellStart"/>
      <w:r w:rsidRPr="00765CEF">
        <w:t>aluminium</w:t>
      </w:r>
      <w:proofErr w:type="spellEnd"/>
      <w:r w:rsidRPr="00765CEF">
        <w:t xml:space="preserve"> concentrates; and diamonds: the export duty charged is 0% </w:t>
      </w:r>
      <w:hyperlink r:id="rId50" w:anchor="footnote-164-ref" w:history="1">
        <w:r w:rsidRPr="00765CEF">
          <w:rPr>
            <w:rStyle w:val="Hyperlink"/>
            <w:rFonts w:ascii="Cambria Math" w:hAnsi="Cambria Math" w:cs="Cambria Math"/>
          </w:rPr>
          <w:t>↩</w:t>
        </w:r>
      </w:hyperlink>
    </w:p>
    <w:p w:rsidR="00765CEF" w:rsidRPr="00765CEF" w:rsidRDefault="00765CEF" w:rsidP="00765CEF">
      <w:r w:rsidRPr="00765CEF">
        <w:t>165. Manganese ore and concentrates; bauxite (</w:t>
      </w:r>
      <w:proofErr w:type="spellStart"/>
      <w:r w:rsidRPr="00765CEF">
        <w:t>aluminium</w:t>
      </w:r>
      <w:proofErr w:type="spellEnd"/>
      <w:r w:rsidRPr="00765CEF">
        <w:t xml:space="preserve"> ore) and </w:t>
      </w:r>
      <w:proofErr w:type="spellStart"/>
      <w:r w:rsidRPr="00765CEF">
        <w:t>aluminium</w:t>
      </w:r>
      <w:proofErr w:type="spellEnd"/>
      <w:r w:rsidRPr="00765CEF">
        <w:t xml:space="preserve"> concentrates; and diamonds: the export duty charged is 0% </w:t>
      </w:r>
      <w:hyperlink r:id="rId51" w:anchor="footnote-165-ref" w:history="1">
        <w:r w:rsidRPr="00765CEF">
          <w:rPr>
            <w:rStyle w:val="Hyperlink"/>
            <w:rFonts w:ascii="Cambria Math" w:hAnsi="Cambria Math" w:cs="Cambria Math"/>
          </w:rPr>
          <w:t>↩</w:t>
        </w:r>
      </w:hyperlink>
    </w:p>
    <w:p w:rsidR="00765CEF" w:rsidRPr="00765CEF" w:rsidRDefault="00765CEF" w:rsidP="00765CEF">
      <w:r w:rsidRPr="00765CEF">
        <w:t xml:space="preserve">166. Stability agreements of some mining companies exempt them from withholding taxes on certain payments to non-resident persons. </w:t>
      </w:r>
      <w:hyperlink r:id="rId52" w:anchor="footnote-166-ref" w:history="1">
        <w:r w:rsidRPr="00765CEF">
          <w:rPr>
            <w:rStyle w:val="Hyperlink"/>
            <w:rFonts w:ascii="Cambria Math" w:hAnsi="Cambria Math" w:cs="Cambria Math"/>
          </w:rPr>
          <w:t>↩</w:t>
        </w:r>
      </w:hyperlink>
    </w:p>
    <w:p w:rsidR="00765CEF" w:rsidRPr="00765CEF" w:rsidRDefault="00765CEF" w:rsidP="00765CEF">
      <w:r w:rsidRPr="00765CEF">
        <w:t xml:space="preserve">167. Interest expense in excess of prescribed debt to equity ratio thin </w:t>
      </w:r>
      <w:proofErr w:type="spellStart"/>
      <w:r w:rsidRPr="00765CEF">
        <w:t>capitalisation</w:t>
      </w:r>
      <w:proofErr w:type="spellEnd"/>
      <w:r w:rsidRPr="00765CEF">
        <w:t xml:space="preserve"> ratio of 2:1 is disallowed as a deductible expense. However, stability agreements of some mining companies exempt them from withholding taxes on certain payments to non-resident persons or even vary the general thin </w:t>
      </w:r>
      <w:proofErr w:type="spellStart"/>
      <w:r w:rsidRPr="00765CEF">
        <w:t>capitatlisation</w:t>
      </w:r>
      <w:proofErr w:type="spellEnd"/>
      <w:r w:rsidRPr="00765CEF">
        <w:t xml:space="preserve"> ratio. </w:t>
      </w:r>
      <w:hyperlink r:id="rId53" w:anchor="footnote-167-ref" w:history="1">
        <w:r w:rsidRPr="00765CEF">
          <w:rPr>
            <w:rStyle w:val="Hyperlink"/>
            <w:rFonts w:ascii="Cambria Math" w:hAnsi="Cambria Math" w:cs="Cambria Math"/>
          </w:rPr>
          <w:t>↩</w:t>
        </w:r>
      </w:hyperlink>
    </w:p>
    <w:p w:rsidR="00765CEF" w:rsidRPr="00765CEF" w:rsidRDefault="00765CEF" w:rsidP="00765CEF">
      <w:r w:rsidRPr="00765CEF">
        <w:t xml:space="preserve">168. Stability agreements of some mining companies exempt them from withholding taxes on certain payments to non-resident persons. </w:t>
      </w:r>
      <w:hyperlink r:id="rId54" w:anchor="footnote-168-ref" w:history="1">
        <w:r w:rsidRPr="00765CEF">
          <w:rPr>
            <w:rStyle w:val="Hyperlink"/>
            <w:rFonts w:ascii="Cambria Math" w:hAnsi="Cambria Math" w:cs="Cambria Math"/>
          </w:rPr>
          <w:t>↩</w:t>
        </w:r>
      </w:hyperlink>
    </w:p>
    <w:p w:rsidR="00765CEF" w:rsidRPr="00765CEF" w:rsidRDefault="00765CEF" w:rsidP="00765CEF">
      <w:r w:rsidRPr="00765CEF">
        <w:lastRenderedPageBreak/>
        <w:t xml:space="preserve">169. Stability agreements of some mining companies exempt them from withholding taxes on certain payments to non-resident persons. </w:t>
      </w:r>
      <w:hyperlink r:id="rId55" w:anchor="footnote-169-ref" w:history="1">
        <w:r w:rsidRPr="00765CEF">
          <w:rPr>
            <w:rStyle w:val="Hyperlink"/>
            <w:rFonts w:ascii="Cambria Math" w:hAnsi="Cambria Math" w:cs="Cambria Math"/>
          </w:rPr>
          <w:t>↩</w:t>
        </w:r>
      </w:hyperlink>
    </w:p>
    <w:p w:rsidR="00765CEF" w:rsidRPr="00765CEF" w:rsidRDefault="00765CEF" w:rsidP="00765CEF">
      <w:r w:rsidRPr="00765CEF">
        <w:t xml:space="preserve">170. However, the mining company may be required to relocate persons already living on concession. </w:t>
      </w:r>
      <w:hyperlink r:id="rId56" w:anchor="footnote-170-ref" w:history="1">
        <w:r w:rsidRPr="00765CEF">
          <w:rPr>
            <w:rStyle w:val="Hyperlink"/>
            <w:rFonts w:ascii="Cambria Math" w:hAnsi="Cambria Math" w:cs="Cambria Math"/>
          </w:rPr>
          <w:t>↩</w:t>
        </w:r>
      </w:hyperlink>
    </w:p>
    <w:p w:rsidR="00765CEF" w:rsidRPr="00765CEF" w:rsidRDefault="00765CEF" w:rsidP="00765CEF">
      <w:r w:rsidRPr="00765CEF">
        <w:t xml:space="preserve">171. Mineral royalties used to be in the range of 3%-6% but this was converted to a flat rate of 5% effective March 19, 2010. In addition, corporate tax rates for mining companies have been increased to 35% (subject to stability agreements). </w:t>
      </w:r>
      <w:hyperlink r:id="rId57" w:anchor="footnote-171-ref" w:history="1">
        <w:r w:rsidRPr="00765CEF">
          <w:rPr>
            <w:rStyle w:val="Hyperlink"/>
            <w:rFonts w:ascii="Cambria Math" w:hAnsi="Cambria Math" w:cs="Cambria Math"/>
          </w:rPr>
          <w:t>↩</w:t>
        </w:r>
      </w:hyperlink>
    </w:p>
    <w:p w:rsidR="00BF7523" w:rsidRDefault="00765CEF">
      <w:r w:rsidRPr="00765CEF">
        <w:t xml:space="preserve">172. There were initial discussions about imposing windfall tax in the mining industry. This has however been forestalled. </w:t>
      </w:r>
      <w:hyperlink r:id="rId58" w:anchor="footnote-172-ref" w:history="1">
        <w:r w:rsidRPr="00765CEF">
          <w:rPr>
            <w:rStyle w:val="Hyperlink"/>
            <w:rFonts w:ascii="Cambria Math" w:hAnsi="Cambria Math" w:cs="Cambria Math"/>
          </w:rPr>
          <w:t>↩</w:t>
        </w:r>
      </w:hyperlink>
    </w:p>
    <w:sectPr w:rsidR="00BF752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6137ED8"/>
    <w:multiLevelType w:val="multilevel"/>
    <w:tmpl w:val="F0848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5CEF"/>
    <w:rsid w:val="000060A2"/>
    <w:rsid w:val="00012CBC"/>
    <w:rsid w:val="00012F40"/>
    <w:rsid w:val="00016728"/>
    <w:rsid w:val="00022F2B"/>
    <w:rsid w:val="00027FD3"/>
    <w:rsid w:val="00042788"/>
    <w:rsid w:val="000428C8"/>
    <w:rsid w:val="000618D6"/>
    <w:rsid w:val="00080925"/>
    <w:rsid w:val="00080F52"/>
    <w:rsid w:val="00093442"/>
    <w:rsid w:val="000945C2"/>
    <w:rsid w:val="000A02C5"/>
    <w:rsid w:val="000A1FD2"/>
    <w:rsid w:val="000B6BFD"/>
    <w:rsid w:val="000C06D1"/>
    <w:rsid w:val="000C6591"/>
    <w:rsid w:val="000D491D"/>
    <w:rsid w:val="000D7FB3"/>
    <w:rsid w:val="000E1761"/>
    <w:rsid w:val="000E1F14"/>
    <w:rsid w:val="000E762D"/>
    <w:rsid w:val="000F0C3C"/>
    <w:rsid w:val="000F5BE3"/>
    <w:rsid w:val="00105B38"/>
    <w:rsid w:val="00110105"/>
    <w:rsid w:val="00112A07"/>
    <w:rsid w:val="00136D7D"/>
    <w:rsid w:val="00137AEE"/>
    <w:rsid w:val="001436DB"/>
    <w:rsid w:val="0014698A"/>
    <w:rsid w:val="001524C6"/>
    <w:rsid w:val="00157F2B"/>
    <w:rsid w:val="0016523E"/>
    <w:rsid w:val="00170796"/>
    <w:rsid w:val="00183B46"/>
    <w:rsid w:val="00197669"/>
    <w:rsid w:val="001C1324"/>
    <w:rsid w:val="001C48E2"/>
    <w:rsid w:val="001C773D"/>
    <w:rsid w:val="001C7CAF"/>
    <w:rsid w:val="001D39FB"/>
    <w:rsid w:val="001D6FD1"/>
    <w:rsid w:val="001D788E"/>
    <w:rsid w:val="001F1796"/>
    <w:rsid w:val="002046F7"/>
    <w:rsid w:val="002129A0"/>
    <w:rsid w:val="00212DD8"/>
    <w:rsid w:val="00214A9E"/>
    <w:rsid w:val="002154C5"/>
    <w:rsid w:val="00225F1E"/>
    <w:rsid w:val="00225FED"/>
    <w:rsid w:val="00237341"/>
    <w:rsid w:val="00237E79"/>
    <w:rsid w:val="00246FC9"/>
    <w:rsid w:val="002506C8"/>
    <w:rsid w:val="00263A7B"/>
    <w:rsid w:val="00271101"/>
    <w:rsid w:val="002725CC"/>
    <w:rsid w:val="00273AF4"/>
    <w:rsid w:val="002740D5"/>
    <w:rsid w:val="00274FD6"/>
    <w:rsid w:val="00284650"/>
    <w:rsid w:val="00297F48"/>
    <w:rsid w:val="002B159E"/>
    <w:rsid w:val="002B4607"/>
    <w:rsid w:val="002B60CC"/>
    <w:rsid w:val="002B65FC"/>
    <w:rsid w:val="002B70F5"/>
    <w:rsid w:val="002C16EC"/>
    <w:rsid w:val="002C64BE"/>
    <w:rsid w:val="002E0D7D"/>
    <w:rsid w:val="002F7A09"/>
    <w:rsid w:val="00305AD6"/>
    <w:rsid w:val="003159DF"/>
    <w:rsid w:val="003161BB"/>
    <w:rsid w:val="00322067"/>
    <w:rsid w:val="00333199"/>
    <w:rsid w:val="003457E6"/>
    <w:rsid w:val="00351689"/>
    <w:rsid w:val="003530EA"/>
    <w:rsid w:val="00363369"/>
    <w:rsid w:val="00370E06"/>
    <w:rsid w:val="00376AF3"/>
    <w:rsid w:val="003B1F4A"/>
    <w:rsid w:val="003C57E1"/>
    <w:rsid w:val="003D5534"/>
    <w:rsid w:val="003E1051"/>
    <w:rsid w:val="003E4619"/>
    <w:rsid w:val="003F0D0E"/>
    <w:rsid w:val="003F1427"/>
    <w:rsid w:val="00411833"/>
    <w:rsid w:val="00413B51"/>
    <w:rsid w:val="0041412E"/>
    <w:rsid w:val="0041625E"/>
    <w:rsid w:val="004218B9"/>
    <w:rsid w:val="0042363B"/>
    <w:rsid w:val="00426240"/>
    <w:rsid w:val="00431623"/>
    <w:rsid w:val="004410F5"/>
    <w:rsid w:val="00442447"/>
    <w:rsid w:val="0044402E"/>
    <w:rsid w:val="004473E2"/>
    <w:rsid w:val="00450AD7"/>
    <w:rsid w:val="00451D70"/>
    <w:rsid w:val="00452882"/>
    <w:rsid w:val="00454DC7"/>
    <w:rsid w:val="00457EB5"/>
    <w:rsid w:val="00460E44"/>
    <w:rsid w:val="0047059D"/>
    <w:rsid w:val="00473381"/>
    <w:rsid w:val="00480951"/>
    <w:rsid w:val="00487F46"/>
    <w:rsid w:val="00493472"/>
    <w:rsid w:val="004E1AF7"/>
    <w:rsid w:val="00505C05"/>
    <w:rsid w:val="00515E5E"/>
    <w:rsid w:val="0052104E"/>
    <w:rsid w:val="00526459"/>
    <w:rsid w:val="005271A6"/>
    <w:rsid w:val="00532535"/>
    <w:rsid w:val="005336FF"/>
    <w:rsid w:val="0053381E"/>
    <w:rsid w:val="00536450"/>
    <w:rsid w:val="0053725F"/>
    <w:rsid w:val="005460C1"/>
    <w:rsid w:val="00551136"/>
    <w:rsid w:val="00553B15"/>
    <w:rsid w:val="005612AE"/>
    <w:rsid w:val="00575751"/>
    <w:rsid w:val="005873A6"/>
    <w:rsid w:val="005906AC"/>
    <w:rsid w:val="005A36F2"/>
    <w:rsid w:val="005E393C"/>
    <w:rsid w:val="005E7957"/>
    <w:rsid w:val="005F2DA4"/>
    <w:rsid w:val="0060619B"/>
    <w:rsid w:val="0060675D"/>
    <w:rsid w:val="006143C6"/>
    <w:rsid w:val="00624C64"/>
    <w:rsid w:val="00626EB4"/>
    <w:rsid w:val="00642CEE"/>
    <w:rsid w:val="0064482A"/>
    <w:rsid w:val="006473DE"/>
    <w:rsid w:val="00650B97"/>
    <w:rsid w:val="00664A5E"/>
    <w:rsid w:val="0067744A"/>
    <w:rsid w:val="00684376"/>
    <w:rsid w:val="006A3C33"/>
    <w:rsid w:val="006B1578"/>
    <w:rsid w:val="006C0D9D"/>
    <w:rsid w:val="006D175B"/>
    <w:rsid w:val="006D5647"/>
    <w:rsid w:val="006D7AB3"/>
    <w:rsid w:val="007012DF"/>
    <w:rsid w:val="00702A35"/>
    <w:rsid w:val="00711254"/>
    <w:rsid w:val="00712796"/>
    <w:rsid w:val="007136AE"/>
    <w:rsid w:val="00721E41"/>
    <w:rsid w:val="00731BF1"/>
    <w:rsid w:val="00733F25"/>
    <w:rsid w:val="00737266"/>
    <w:rsid w:val="00740FA9"/>
    <w:rsid w:val="007439B7"/>
    <w:rsid w:val="00761047"/>
    <w:rsid w:val="007620D1"/>
    <w:rsid w:val="00765CEF"/>
    <w:rsid w:val="00770B31"/>
    <w:rsid w:val="00774819"/>
    <w:rsid w:val="00783A5B"/>
    <w:rsid w:val="0078492E"/>
    <w:rsid w:val="00785CD9"/>
    <w:rsid w:val="007945E0"/>
    <w:rsid w:val="007A7239"/>
    <w:rsid w:val="007C1F9E"/>
    <w:rsid w:val="007C5372"/>
    <w:rsid w:val="007D0645"/>
    <w:rsid w:val="007D51E6"/>
    <w:rsid w:val="007F1C17"/>
    <w:rsid w:val="007F72DF"/>
    <w:rsid w:val="00802A29"/>
    <w:rsid w:val="00814E83"/>
    <w:rsid w:val="008239E5"/>
    <w:rsid w:val="00834358"/>
    <w:rsid w:val="008354FE"/>
    <w:rsid w:val="00844901"/>
    <w:rsid w:val="008549BA"/>
    <w:rsid w:val="00856716"/>
    <w:rsid w:val="00864A06"/>
    <w:rsid w:val="0086769F"/>
    <w:rsid w:val="00874A7B"/>
    <w:rsid w:val="0088357E"/>
    <w:rsid w:val="00886771"/>
    <w:rsid w:val="008951E7"/>
    <w:rsid w:val="008A6BC1"/>
    <w:rsid w:val="008C483A"/>
    <w:rsid w:val="008C5AE1"/>
    <w:rsid w:val="008C6A8A"/>
    <w:rsid w:val="008D077F"/>
    <w:rsid w:val="008D5C68"/>
    <w:rsid w:val="008D6B4E"/>
    <w:rsid w:val="008E152E"/>
    <w:rsid w:val="008E2CDA"/>
    <w:rsid w:val="008F1D89"/>
    <w:rsid w:val="009312FB"/>
    <w:rsid w:val="00936C53"/>
    <w:rsid w:val="009400E6"/>
    <w:rsid w:val="009416FC"/>
    <w:rsid w:val="00942781"/>
    <w:rsid w:val="00953B02"/>
    <w:rsid w:val="00953CC6"/>
    <w:rsid w:val="00957383"/>
    <w:rsid w:val="00963385"/>
    <w:rsid w:val="00972ED5"/>
    <w:rsid w:val="009845D0"/>
    <w:rsid w:val="00995D23"/>
    <w:rsid w:val="009A0C92"/>
    <w:rsid w:val="009A1218"/>
    <w:rsid w:val="009A1D70"/>
    <w:rsid w:val="009A2097"/>
    <w:rsid w:val="009A4F4E"/>
    <w:rsid w:val="009B1309"/>
    <w:rsid w:val="009B45B9"/>
    <w:rsid w:val="009C12B9"/>
    <w:rsid w:val="009C44E0"/>
    <w:rsid w:val="009D3537"/>
    <w:rsid w:val="009D638C"/>
    <w:rsid w:val="009D7F0F"/>
    <w:rsid w:val="009E2746"/>
    <w:rsid w:val="009E49D1"/>
    <w:rsid w:val="009E77C8"/>
    <w:rsid w:val="009E7FA2"/>
    <w:rsid w:val="009F148B"/>
    <w:rsid w:val="009F3FB9"/>
    <w:rsid w:val="009F4805"/>
    <w:rsid w:val="00A26E6A"/>
    <w:rsid w:val="00A367E9"/>
    <w:rsid w:val="00A463D8"/>
    <w:rsid w:val="00A573F4"/>
    <w:rsid w:val="00A60F94"/>
    <w:rsid w:val="00A613FB"/>
    <w:rsid w:val="00A61F12"/>
    <w:rsid w:val="00A8090B"/>
    <w:rsid w:val="00A83905"/>
    <w:rsid w:val="00A870A4"/>
    <w:rsid w:val="00A963D0"/>
    <w:rsid w:val="00AB1E19"/>
    <w:rsid w:val="00AB3617"/>
    <w:rsid w:val="00AB4FB9"/>
    <w:rsid w:val="00AB58BB"/>
    <w:rsid w:val="00AB6E4A"/>
    <w:rsid w:val="00AB6F66"/>
    <w:rsid w:val="00AD0F37"/>
    <w:rsid w:val="00AD457D"/>
    <w:rsid w:val="00AE304C"/>
    <w:rsid w:val="00AE39F1"/>
    <w:rsid w:val="00AF1E15"/>
    <w:rsid w:val="00AF45C8"/>
    <w:rsid w:val="00B00557"/>
    <w:rsid w:val="00B02AC7"/>
    <w:rsid w:val="00B02B98"/>
    <w:rsid w:val="00B07CDF"/>
    <w:rsid w:val="00B12488"/>
    <w:rsid w:val="00B26CE5"/>
    <w:rsid w:val="00B33C1D"/>
    <w:rsid w:val="00B41C56"/>
    <w:rsid w:val="00B41CBE"/>
    <w:rsid w:val="00B57DBF"/>
    <w:rsid w:val="00B605F5"/>
    <w:rsid w:val="00B62ED8"/>
    <w:rsid w:val="00B67C74"/>
    <w:rsid w:val="00B960AA"/>
    <w:rsid w:val="00B96CBB"/>
    <w:rsid w:val="00BA2CF4"/>
    <w:rsid w:val="00BA5E2F"/>
    <w:rsid w:val="00BB0108"/>
    <w:rsid w:val="00BC0228"/>
    <w:rsid w:val="00BC5A9F"/>
    <w:rsid w:val="00BF3046"/>
    <w:rsid w:val="00BF7523"/>
    <w:rsid w:val="00C050B6"/>
    <w:rsid w:val="00C07EB2"/>
    <w:rsid w:val="00C12F8C"/>
    <w:rsid w:val="00C218C5"/>
    <w:rsid w:val="00C26A37"/>
    <w:rsid w:val="00C32CAF"/>
    <w:rsid w:val="00C44CEA"/>
    <w:rsid w:val="00C45FB4"/>
    <w:rsid w:val="00C475E8"/>
    <w:rsid w:val="00C51846"/>
    <w:rsid w:val="00C52E27"/>
    <w:rsid w:val="00C54B9B"/>
    <w:rsid w:val="00C6052E"/>
    <w:rsid w:val="00C60977"/>
    <w:rsid w:val="00C7632B"/>
    <w:rsid w:val="00C80C76"/>
    <w:rsid w:val="00C833E1"/>
    <w:rsid w:val="00C93FE0"/>
    <w:rsid w:val="00CA3440"/>
    <w:rsid w:val="00CA4299"/>
    <w:rsid w:val="00CB459F"/>
    <w:rsid w:val="00CB73A9"/>
    <w:rsid w:val="00CC2B24"/>
    <w:rsid w:val="00CD4E90"/>
    <w:rsid w:val="00CD5150"/>
    <w:rsid w:val="00CD5413"/>
    <w:rsid w:val="00CF2448"/>
    <w:rsid w:val="00CF53B0"/>
    <w:rsid w:val="00CF664E"/>
    <w:rsid w:val="00D11C15"/>
    <w:rsid w:val="00D21672"/>
    <w:rsid w:val="00D25B1A"/>
    <w:rsid w:val="00D30417"/>
    <w:rsid w:val="00D53DA0"/>
    <w:rsid w:val="00D552B7"/>
    <w:rsid w:val="00D55AD4"/>
    <w:rsid w:val="00D669D0"/>
    <w:rsid w:val="00D66A51"/>
    <w:rsid w:val="00D7695B"/>
    <w:rsid w:val="00DA61B3"/>
    <w:rsid w:val="00DA6D3A"/>
    <w:rsid w:val="00DB26B3"/>
    <w:rsid w:val="00DB781F"/>
    <w:rsid w:val="00DC1975"/>
    <w:rsid w:val="00DC1E41"/>
    <w:rsid w:val="00DC348F"/>
    <w:rsid w:val="00DE7D54"/>
    <w:rsid w:val="00DF3BD3"/>
    <w:rsid w:val="00E016D6"/>
    <w:rsid w:val="00E148AF"/>
    <w:rsid w:val="00E15E09"/>
    <w:rsid w:val="00E17D26"/>
    <w:rsid w:val="00E252DD"/>
    <w:rsid w:val="00E359FE"/>
    <w:rsid w:val="00E5536F"/>
    <w:rsid w:val="00E559E0"/>
    <w:rsid w:val="00E62563"/>
    <w:rsid w:val="00E721E0"/>
    <w:rsid w:val="00E748A0"/>
    <w:rsid w:val="00E8777B"/>
    <w:rsid w:val="00E92CF8"/>
    <w:rsid w:val="00EC7497"/>
    <w:rsid w:val="00ED234B"/>
    <w:rsid w:val="00ED533E"/>
    <w:rsid w:val="00ED5C5C"/>
    <w:rsid w:val="00EE5FE1"/>
    <w:rsid w:val="00EE7882"/>
    <w:rsid w:val="00F1155C"/>
    <w:rsid w:val="00F17117"/>
    <w:rsid w:val="00F2274B"/>
    <w:rsid w:val="00F42F00"/>
    <w:rsid w:val="00F46822"/>
    <w:rsid w:val="00F51D4D"/>
    <w:rsid w:val="00F639A9"/>
    <w:rsid w:val="00F72E1C"/>
    <w:rsid w:val="00F7374B"/>
    <w:rsid w:val="00F73A08"/>
    <w:rsid w:val="00F74974"/>
    <w:rsid w:val="00FA07E3"/>
    <w:rsid w:val="00FA54AC"/>
    <w:rsid w:val="00FB4568"/>
    <w:rsid w:val="00FB6C63"/>
    <w:rsid w:val="00FC2ABB"/>
    <w:rsid w:val="00FC70BB"/>
    <w:rsid w:val="00FD0463"/>
    <w:rsid w:val="00FD5429"/>
    <w:rsid w:val="00FD68E1"/>
    <w:rsid w:val="00FD72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styleId="Hyperlink">
    <w:name w:val="Hyperlink"/>
    <w:basedOn w:val="DefaultParagraphFont"/>
    <w:uiPriority w:val="99"/>
    <w:unhideWhenUsed/>
    <w:rsid w:val="00765CE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styleId="Hyperlink">
    <w:name w:val="Hyperlink"/>
    <w:basedOn w:val="DefaultParagraphFont"/>
    <w:uiPriority w:val="99"/>
    <w:unhideWhenUsed/>
    <w:rsid w:val="00765CE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61291569">
      <w:bodyDiv w:val="1"/>
      <w:marLeft w:val="0"/>
      <w:marRight w:val="0"/>
      <w:marTop w:val="0"/>
      <w:marBottom w:val="0"/>
      <w:divBdr>
        <w:top w:val="none" w:sz="0" w:space="0" w:color="auto"/>
        <w:left w:val="none" w:sz="0" w:space="0" w:color="auto"/>
        <w:bottom w:val="none" w:sz="0" w:space="0" w:color="auto"/>
        <w:right w:val="none" w:sz="0" w:space="0" w:color="auto"/>
      </w:divBdr>
      <w:divsChild>
        <w:div w:id="1554153270">
          <w:marLeft w:val="0"/>
          <w:marRight w:val="0"/>
          <w:marTop w:val="0"/>
          <w:marBottom w:val="0"/>
          <w:divBdr>
            <w:top w:val="none" w:sz="0" w:space="0" w:color="auto"/>
            <w:left w:val="none" w:sz="0" w:space="0" w:color="auto"/>
            <w:bottom w:val="none" w:sz="0" w:space="0" w:color="auto"/>
            <w:right w:val="none" w:sz="0" w:space="0" w:color="auto"/>
          </w:divBdr>
        </w:div>
        <w:div w:id="1781879127">
          <w:marLeft w:val="0"/>
          <w:marRight w:val="0"/>
          <w:marTop w:val="0"/>
          <w:marBottom w:val="0"/>
          <w:divBdr>
            <w:top w:val="none" w:sz="0" w:space="0" w:color="auto"/>
            <w:left w:val="none" w:sz="0" w:space="0" w:color="auto"/>
            <w:bottom w:val="none" w:sz="0" w:space="0" w:color="auto"/>
            <w:right w:val="none" w:sz="0" w:space="0" w:color="auto"/>
          </w:divBdr>
          <w:divsChild>
            <w:div w:id="1608540390">
              <w:marLeft w:val="0"/>
              <w:marRight w:val="0"/>
              <w:marTop w:val="0"/>
              <w:marBottom w:val="0"/>
              <w:divBdr>
                <w:top w:val="none" w:sz="0" w:space="0" w:color="auto"/>
                <w:left w:val="none" w:sz="0" w:space="0" w:color="auto"/>
                <w:bottom w:val="none" w:sz="0" w:space="0" w:color="auto"/>
                <w:right w:val="none" w:sz="0" w:space="0" w:color="auto"/>
              </w:divBdr>
            </w:div>
            <w:div w:id="1833638990">
              <w:marLeft w:val="0"/>
              <w:marRight w:val="0"/>
              <w:marTop w:val="0"/>
              <w:marBottom w:val="0"/>
              <w:divBdr>
                <w:top w:val="none" w:sz="0" w:space="0" w:color="auto"/>
                <w:left w:val="none" w:sz="0" w:space="0" w:color="auto"/>
                <w:bottom w:val="none" w:sz="0" w:space="0" w:color="auto"/>
                <w:right w:val="none" w:sz="0" w:space="0" w:color="auto"/>
              </w:divBdr>
            </w:div>
          </w:divsChild>
        </w:div>
        <w:div w:id="2144425898">
          <w:marLeft w:val="0"/>
          <w:marRight w:val="0"/>
          <w:marTop w:val="0"/>
          <w:marBottom w:val="0"/>
          <w:divBdr>
            <w:top w:val="none" w:sz="0" w:space="0" w:color="auto"/>
            <w:left w:val="none" w:sz="0" w:space="0" w:color="auto"/>
            <w:bottom w:val="none" w:sz="0" w:space="0" w:color="auto"/>
            <w:right w:val="none" w:sz="0" w:space="0" w:color="auto"/>
          </w:divBdr>
          <w:divsChild>
            <w:div w:id="1831208663">
              <w:marLeft w:val="0"/>
              <w:marRight w:val="0"/>
              <w:marTop w:val="0"/>
              <w:marBottom w:val="0"/>
              <w:divBdr>
                <w:top w:val="none" w:sz="0" w:space="0" w:color="auto"/>
                <w:left w:val="none" w:sz="0" w:space="0" w:color="auto"/>
                <w:bottom w:val="none" w:sz="0" w:space="0" w:color="auto"/>
                <w:right w:val="none" w:sz="0" w:space="0" w:color="auto"/>
              </w:divBdr>
              <w:divsChild>
                <w:div w:id="916862819">
                  <w:marLeft w:val="0"/>
                  <w:marRight w:val="0"/>
                  <w:marTop w:val="0"/>
                  <w:marBottom w:val="0"/>
                  <w:divBdr>
                    <w:top w:val="none" w:sz="0" w:space="0" w:color="auto"/>
                    <w:left w:val="none" w:sz="0" w:space="0" w:color="auto"/>
                    <w:bottom w:val="none" w:sz="0" w:space="0" w:color="auto"/>
                    <w:right w:val="none" w:sz="0" w:space="0" w:color="auto"/>
                  </w:divBdr>
                  <w:divsChild>
                    <w:div w:id="2072997463">
                      <w:marLeft w:val="0"/>
                      <w:marRight w:val="0"/>
                      <w:marTop w:val="0"/>
                      <w:marBottom w:val="0"/>
                      <w:divBdr>
                        <w:top w:val="none" w:sz="0" w:space="0" w:color="auto"/>
                        <w:left w:val="none" w:sz="0" w:space="0" w:color="auto"/>
                        <w:bottom w:val="none" w:sz="0" w:space="0" w:color="auto"/>
                        <w:right w:val="none" w:sz="0" w:space="0" w:color="auto"/>
                      </w:divBdr>
                      <w:divsChild>
                        <w:div w:id="1265383665">
                          <w:marLeft w:val="0"/>
                          <w:marRight w:val="0"/>
                          <w:marTop w:val="0"/>
                          <w:marBottom w:val="0"/>
                          <w:divBdr>
                            <w:top w:val="none" w:sz="0" w:space="0" w:color="auto"/>
                            <w:left w:val="none" w:sz="0" w:space="0" w:color="auto"/>
                            <w:bottom w:val="none" w:sz="0" w:space="0" w:color="auto"/>
                            <w:right w:val="none" w:sz="0" w:space="0" w:color="auto"/>
                          </w:divBdr>
                          <w:divsChild>
                            <w:div w:id="138571442">
                              <w:marLeft w:val="0"/>
                              <w:marRight w:val="0"/>
                              <w:marTop w:val="0"/>
                              <w:marBottom w:val="0"/>
                              <w:divBdr>
                                <w:top w:val="none" w:sz="0" w:space="0" w:color="auto"/>
                                <w:left w:val="none" w:sz="0" w:space="0" w:color="auto"/>
                                <w:bottom w:val="none" w:sz="0" w:space="0" w:color="auto"/>
                                <w:right w:val="none" w:sz="0" w:space="0" w:color="auto"/>
                              </w:divBdr>
                              <w:divsChild>
                                <w:div w:id="52468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3360232">
          <w:marLeft w:val="0"/>
          <w:marRight w:val="0"/>
          <w:marTop w:val="0"/>
          <w:marBottom w:val="0"/>
          <w:divBdr>
            <w:top w:val="none" w:sz="0" w:space="0" w:color="auto"/>
            <w:left w:val="none" w:sz="0" w:space="0" w:color="auto"/>
            <w:bottom w:val="none" w:sz="0" w:space="0" w:color="auto"/>
            <w:right w:val="none" w:sz="0" w:space="0" w:color="auto"/>
          </w:divBdr>
          <w:divsChild>
            <w:div w:id="1846748823">
              <w:marLeft w:val="0"/>
              <w:marRight w:val="0"/>
              <w:marTop w:val="0"/>
              <w:marBottom w:val="0"/>
              <w:divBdr>
                <w:top w:val="none" w:sz="0" w:space="0" w:color="auto"/>
                <w:left w:val="none" w:sz="0" w:space="0" w:color="auto"/>
                <w:bottom w:val="none" w:sz="0" w:space="0" w:color="auto"/>
                <w:right w:val="none" w:sz="0" w:space="0" w:color="auto"/>
              </w:divBdr>
              <w:divsChild>
                <w:div w:id="1357347958">
                  <w:marLeft w:val="0"/>
                  <w:marRight w:val="0"/>
                  <w:marTop w:val="0"/>
                  <w:marBottom w:val="0"/>
                  <w:divBdr>
                    <w:top w:val="none" w:sz="0" w:space="0" w:color="auto"/>
                    <w:left w:val="none" w:sz="0" w:space="0" w:color="auto"/>
                    <w:bottom w:val="none" w:sz="0" w:space="0" w:color="auto"/>
                    <w:right w:val="none" w:sz="0" w:space="0" w:color="auto"/>
                  </w:divBdr>
                  <w:divsChild>
                    <w:div w:id="1945723673">
                      <w:marLeft w:val="0"/>
                      <w:marRight w:val="0"/>
                      <w:marTop w:val="0"/>
                      <w:marBottom w:val="0"/>
                      <w:divBdr>
                        <w:top w:val="none" w:sz="0" w:space="0" w:color="auto"/>
                        <w:left w:val="none" w:sz="0" w:space="0" w:color="auto"/>
                        <w:bottom w:val="none" w:sz="0" w:space="0" w:color="auto"/>
                        <w:right w:val="none" w:sz="0" w:space="0" w:color="auto"/>
                      </w:divBdr>
                      <w:divsChild>
                        <w:div w:id="2023775448">
                          <w:marLeft w:val="0"/>
                          <w:marRight w:val="0"/>
                          <w:marTop w:val="0"/>
                          <w:marBottom w:val="0"/>
                          <w:divBdr>
                            <w:top w:val="none" w:sz="0" w:space="0" w:color="auto"/>
                            <w:left w:val="none" w:sz="0" w:space="0" w:color="auto"/>
                            <w:bottom w:val="none" w:sz="0" w:space="0" w:color="auto"/>
                            <w:right w:val="none" w:sz="0" w:space="0" w:color="auto"/>
                          </w:divBdr>
                          <w:divsChild>
                            <w:div w:id="918755033">
                              <w:marLeft w:val="0"/>
                              <w:marRight w:val="0"/>
                              <w:marTop w:val="0"/>
                              <w:marBottom w:val="0"/>
                              <w:divBdr>
                                <w:top w:val="none" w:sz="0" w:space="0" w:color="auto"/>
                                <w:left w:val="none" w:sz="0" w:space="0" w:color="auto"/>
                                <w:bottom w:val="none" w:sz="0" w:space="0" w:color="auto"/>
                                <w:right w:val="none" w:sz="0" w:space="0" w:color="auto"/>
                              </w:divBdr>
                              <w:divsChild>
                                <w:div w:id="1062023488">
                                  <w:marLeft w:val="0"/>
                                  <w:marRight w:val="0"/>
                                  <w:marTop w:val="0"/>
                                  <w:marBottom w:val="0"/>
                                  <w:divBdr>
                                    <w:top w:val="none" w:sz="0" w:space="0" w:color="auto"/>
                                    <w:left w:val="none" w:sz="0" w:space="0" w:color="auto"/>
                                    <w:bottom w:val="none" w:sz="0" w:space="0" w:color="auto"/>
                                    <w:right w:val="none" w:sz="0" w:space="0" w:color="auto"/>
                                  </w:divBdr>
                                </w:div>
                                <w:div w:id="1231185782">
                                  <w:marLeft w:val="0"/>
                                  <w:marRight w:val="0"/>
                                  <w:marTop w:val="0"/>
                                  <w:marBottom w:val="0"/>
                                  <w:divBdr>
                                    <w:top w:val="none" w:sz="0" w:space="0" w:color="auto"/>
                                    <w:left w:val="none" w:sz="0" w:space="0" w:color="auto"/>
                                    <w:bottom w:val="none" w:sz="0" w:space="0" w:color="auto"/>
                                    <w:right w:val="none" w:sz="0" w:space="0" w:color="auto"/>
                                  </w:divBdr>
                                </w:div>
                              </w:divsChild>
                            </w:div>
                            <w:div w:id="360011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pwc.com/gx/en/industries/energy-utilities-mining/mining/territories/ghana.html" TargetMode="External"/><Relationship Id="rId18" Type="http://schemas.openxmlformats.org/officeDocument/2006/relationships/hyperlink" Target="http://www.pwc.com/gx/en/industries/energy-utilities-mining/mining/territories/ghana.html" TargetMode="External"/><Relationship Id="rId26" Type="http://schemas.openxmlformats.org/officeDocument/2006/relationships/hyperlink" Target="http://www.pwc.com/gx/en/industries/energy-utilities-mining/mining/territories/ghana.html" TargetMode="External"/><Relationship Id="rId39" Type="http://schemas.openxmlformats.org/officeDocument/2006/relationships/hyperlink" Target="http://www.pwc.com/gx/en/industries/energy-utilities-mining/mining/territories/ghana.html" TargetMode="External"/><Relationship Id="rId21" Type="http://schemas.openxmlformats.org/officeDocument/2006/relationships/hyperlink" Target="http://www.pwc.com/gx/en/industries/energy-utilities-mining/mining/territories/ghana.html" TargetMode="External"/><Relationship Id="rId34" Type="http://schemas.openxmlformats.org/officeDocument/2006/relationships/hyperlink" Target="http://www.pwc.com/gx/en/industries/energy-utilities-mining/mining/territories/ghana.html" TargetMode="External"/><Relationship Id="rId42" Type="http://schemas.openxmlformats.org/officeDocument/2006/relationships/hyperlink" Target="http://www.pwc.com/gx/en/industries/energy-utilities-mining/mining/territories/ghana.html" TargetMode="External"/><Relationship Id="rId47" Type="http://schemas.openxmlformats.org/officeDocument/2006/relationships/hyperlink" Target="http://www.pwc.com/gx/en/industries/energy-utilities-mining/mining/territories/ghana.html" TargetMode="External"/><Relationship Id="rId50" Type="http://schemas.openxmlformats.org/officeDocument/2006/relationships/hyperlink" Target="http://www.pwc.com/gx/en/industries/energy-utilities-mining/mining/territories/ghana.html" TargetMode="External"/><Relationship Id="rId55" Type="http://schemas.openxmlformats.org/officeDocument/2006/relationships/hyperlink" Target="http://www.pwc.com/gx/en/industries/energy-utilities-mining/mining/territories/ghana.html" TargetMode="External"/><Relationship Id="rId7" Type="http://schemas.openxmlformats.org/officeDocument/2006/relationships/hyperlink" Target="http://www.pwc.com/gx/en/industries/energy-utilities-mining/mining/territories/ghana.html" TargetMode="External"/><Relationship Id="rId12" Type="http://schemas.openxmlformats.org/officeDocument/2006/relationships/hyperlink" Target="http://www.pwc.com/gx/en/industries/energy-utilities-mining/mining/territories/ghana.html" TargetMode="External"/><Relationship Id="rId17" Type="http://schemas.openxmlformats.org/officeDocument/2006/relationships/hyperlink" Target="http://www.pwc.com/gx/en/industries/energy-utilities-mining/mining/territories/ghana.html" TargetMode="External"/><Relationship Id="rId25" Type="http://schemas.openxmlformats.org/officeDocument/2006/relationships/hyperlink" Target="http://www.pwc.com/gx/en/industries/energy-utilities-mining/mining/territories/ghana.html" TargetMode="External"/><Relationship Id="rId33" Type="http://schemas.openxmlformats.org/officeDocument/2006/relationships/hyperlink" Target="http://www.pwc.com/gx/en/industries/energy-utilities-mining/mining/territories/ghana.html" TargetMode="External"/><Relationship Id="rId38" Type="http://schemas.openxmlformats.org/officeDocument/2006/relationships/hyperlink" Target="http://www.pwc.com/gx/en/industries/energy-utilities-mining/mining/territories/ghana.html" TargetMode="External"/><Relationship Id="rId46" Type="http://schemas.openxmlformats.org/officeDocument/2006/relationships/hyperlink" Target="http://www.pwc.com/gx/en/industries/energy-utilities-mining/mining/territories/ghana.html" TargetMode="External"/><Relationship Id="rId59"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pwc.com/gx/en/industries/energy-utilities-mining/mining/territories/ghana.html" TargetMode="External"/><Relationship Id="rId20" Type="http://schemas.openxmlformats.org/officeDocument/2006/relationships/hyperlink" Target="http://www.pwc.com/gx/en/industries/energy-utilities-mining/mining/territories/ghana.html" TargetMode="External"/><Relationship Id="rId29" Type="http://schemas.openxmlformats.org/officeDocument/2006/relationships/hyperlink" Target="http://www.pwc.com/gx/en/industries/energy-utilities-mining/mining/territories/ghana.html" TargetMode="External"/><Relationship Id="rId41" Type="http://schemas.openxmlformats.org/officeDocument/2006/relationships/hyperlink" Target="http://www.pwc.com/gx/en/industries/energy-utilities-mining/mining/territories/ghana.html" TargetMode="External"/><Relationship Id="rId54" Type="http://schemas.openxmlformats.org/officeDocument/2006/relationships/hyperlink" Target="http://www.pwc.com/gx/en/industries/energy-utilities-mining/mining/territories/ghana.html" TargetMode="External"/><Relationship Id="rId1" Type="http://schemas.openxmlformats.org/officeDocument/2006/relationships/numbering" Target="numbering.xml"/><Relationship Id="rId6" Type="http://schemas.openxmlformats.org/officeDocument/2006/relationships/hyperlink" Target="http://www.pwc.com/us/en/contacts/g/george-kwatia.html" TargetMode="External"/><Relationship Id="rId11" Type="http://schemas.openxmlformats.org/officeDocument/2006/relationships/hyperlink" Target="http://www.pwc.com/gx/en/industries/energy-utilities-mining/mining/territories/ghana.html" TargetMode="External"/><Relationship Id="rId24" Type="http://schemas.openxmlformats.org/officeDocument/2006/relationships/hyperlink" Target="http://www.pwc.com/gx/en/industries/energy-utilities-mining/mining/territories/ghana.html" TargetMode="External"/><Relationship Id="rId32" Type="http://schemas.openxmlformats.org/officeDocument/2006/relationships/hyperlink" Target="http://www.pwc.com/gx/en/industries/energy-utilities-mining/mining/territories/ghana.html" TargetMode="External"/><Relationship Id="rId37" Type="http://schemas.openxmlformats.org/officeDocument/2006/relationships/hyperlink" Target="http://www.pwc.com/gx/en/industries/energy-utilities-mining/mining/territories/ghana.html" TargetMode="External"/><Relationship Id="rId40" Type="http://schemas.openxmlformats.org/officeDocument/2006/relationships/hyperlink" Target="http://www.pwc.com/gx/en/industries/energy-utilities-mining/mining/territories/ghana.html" TargetMode="External"/><Relationship Id="rId45" Type="http://schemas.openxmlformats.org/officeDocument/2006/relationships/hyperlink" Target="http://www.pwc.com/gx/en/industries/energy-utilities-mining/mining/territories/ghana.html" TargetMode="External"/><Relationship Id="rId53" Type="http://schemas.openxmlformats.org/officeDocument/2006/relationships/hyperlink" Target="http://www.pwc.com/gx/en/industries/energy-utilities-mining/mining/territories/ghana.html" TargetMode="External"/><Relationship Id="rId58" Type="http://schemas.openxmlformats.org/officeDocument/2006/relationships/hyperlink" Target="http://www.pwc.com/gx/en/industries/energy-utilities-mining/mining/territories/ghana.html" TargetMode="External"/><Relationship Id="rId5" Type="http://schemas.openxmlformats.org/officeDocument/2006/relationships/webSettings" Target="webSettings.xml"/><Relationship Id="rId15" Type="http://schemas.openxmlformats.org/officeDocument/2006/relationships/hyperlink" Target="http://www.pwc.com/gx/en/industries/energy-utilities-mining/mining/territories/ghana.html" TargetMode="External"/><Relationship Id="rId23" Type="http://schemas.openxmlformats.org/officeDocument/2006/relationships/hyperlink" Target="http://www.pwc.com/gx/en/industries/energy-utilities-mining/mining/territories/ghana.html" TargetMode="External"/><Relationship Id="rId28" Type="http://schemas.openxmlformats.org/officeDocument/2006/relationships/hyperlink" Target="http://www.pwc.com/gx/en/industries/energy-utilities-mining/mining/territories/ghana.html" TargetMode="External"/><Relationship Id="rId36" Type="http://schemas.openxmlformats.org/officeDocument/2006/relationships/hyperlink" Target="http://www.pwc.com/gx/en/industries/energy-utilities-mining/mining/territories/ghana.html" TargetMode="External"/><Relationship Id="rId49" Type="http://schemas.openxmlformats.org/officeDocument/2006/relationships/hyperlink" Target="http://www.pwc.com/gx/en/industries/energy-utilities-mining/mining/territories/ghana.html" TargetMode="External"/><Relationship Id="rId57" Type="http://schemas.openxmlformats.org/officeDocument/2006/relationships/hyperlink" Target="http://www.pwc.com/gx/en/industries/energy-utilities-mining/mining/territories/ghana.html" TargetMode="External"/><Relationship Id="rId10" Type="http://schemas.openxmlformats.org/officeDocument/2006/relationships/hyperlink" Target="http://www.pwc.com/gx/en/industries/energy-utilities-mining/mining/territories/ghana.html" TargetMode="External"/><Relationship Id="rId19" Type="http://schemas.openxmlformats.org/officeDocument/2006/relationships/hyperlink" Target="http://www.pwc.com/gx/en/industries/energy-utilities-mining/mining/territories/ghana.html" TargetMode="External"/><Relationship Id="rId31" Type="http://schemas.openxmlformats.org/officeDocument/2006/relationships/hyperlink" Target="http://www.pwc.com/gx/en/industries/energy-utilities-mining/mining/territories/ghana.html" TargetMode="External"/><Relationship Id="rId44" Type="http://schemas.openxmlformats.org/officeDocument/2006/relationships/hyperlink" Target="http://www.pwc.com/gx/en/industries/energy-utilities-mining/mining/territories/ghana.html" TargetMode="External"/><Relationship Id="rId52" Type="http://schemas.openxmlformats.org/officeDocument/2006/relationships/hyperlink" Target="http://www.pwc.com/gx/en/industries/energy-utilities-mining/mining/territories/ghana.html" TargetMode="External"/><Relationship Id="rId6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pwc.com/gx/en/industries/energy-utilities-mining/mining/territories/ghana.html" TargetMode="External"/><Relationship Id="rId14" Type="http://schemas.openxmlformats.org/officeDocument/2006/relationships/hyperlink" Target="http://www.pwc.com/gx/en/industries/energy-utilities-mining/mining/territories/ghana.html" TargetMode="External"/><Relationship Id="rId22" Type="http://schemas.openxmlformats.org/officeDocument/2006/relationships/hyperlink" Target="http://www.pwc.com/gx/en/industries/energy-utilities-mining/mining/territories/ghana.html" TargetMode="External"/><Relationship Id="rId27" Type="http://schemas.openxmlformats.org/officeDocument/2006/relationships/hyperlink" Target="http://www.pwc.com/gx/en/industries/energy-utilities-mining/mining/territories/ghana.html" TargetMode="External"/><Relationship Id="rId30" Type="http://schemas.openxmlformats.org/officeDocument/2006/relationships/hyperlink" Target="http://www.pwc.com/gx/en/industries/energy-utilities-mining/mining/territories/ghana.html" TargetMode="External"/><Relationship Id="rId35" Type="http://schemas.openxmlformats.org/officeDocument/2006/relationships/hyperlink" Target="http://www.pwc.com/gx/en/industries/energy-utilities-mining/mining/territories/ghana.html" TargetMode="External"/><Relationship Id="rId43" Type="http://schemas.openxmlformats.org/officeDocument/2006/relationships/hyperlink" Target="http://www.pwc.com/gx/en/industries/energy-utilities-mining/mining/territories/ghana.html" TargetMode="External"/><Relationship Id="rId48" Type="http://schemas.openxmlformats.org/officeDocument/2006/relationships/hyperlink" Target="http://www.pwc.com/gx/en/industries/energy-utilities-mining/mining/territories/ghana.html" TargetMode="External"/><Relationship Id="rId56" Type="http://schemas.openxmlformats.org/officeDocument/2006/relationships/hyperlink" Target="http://www.pwc.com/gx/en/industries/energy-utilities-mining/mining/territories/ghana.html" TargetMode="External"/><Relationship Id="rId8" Type="http://schemas.openxmlformats.org/officeDocument/2006/relationships/hyperlink" Target="http://www.pwc.com/gx/en/industries/energy-utilities-mining/mining/territories/ghana.html" TargetMode="External"/><Relationship Id="rId51" Type="http://schemas.openxmlformats.org/officeDocument/2006/relationships/hyperlink" Target="http://www.pwc.com/gx/en/industries/energy-utilities-mining/mining/territories/ghana.html" TargetMode="External"/><Relationship Id="rId3"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1903</Words>
  <Characters>10851</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rlg</dc:creator>
  <cp:lastModifiedBy>rlg</cp:lastModifiedBy>
  <cp:revision>1</cp:revision>
  <dcterms:created xsi:type="dcterms:W3CDTF">2016-03-18T18:33:00Z</dcterms:created>
  <dcterms:modified xsi:type="dcterms:W3CDTF">2016-03-18T18:33:00Z</dcterms:modified>
</cp:coreProperties>
</file>