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723" w:rsidRPr="00B13723" w:rsidRDefault="00B13723" w:rsidP="00B13723">
      <w:pPr>
        <w:rPr>
          <w:b/>
          <w:bCs/>
        </w:rPr>
      </w:pPr>
      <w:r w:rsidRPr="00B13723">
        <w:rPr>
          <w:b/>
          <w:bCs/>
        </w:rPr>
        <w:t>Mining firms fail to pay dividend to Gov’t for 10yrs</w:t>
      </w:r>
    </w:p>
    <w:p w:rsidR="00B13723" w:rsidRPr="00B13723" w:rsidRDefault="00B13723" w:rsidP="00B13723">
      <w:r w:rsidRPr="00B13723">
        <w:drawing>
          <wp:inline distT="0" distB="0" distL="0" distR="0">
            <wp:extent cx="2812415" cy="1880870"/>
            <wp:effectExtent l="0" t="0" r="6985" b="5080"/>
            <wp:docPr id="1" name="Picture 1" descr="Zambia Copper Mines Workers">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mbia Copper Mines Workers">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2415" cy="1880870"/>
                    </a:xfrm>
                    <a:prstGeom prst="rect">
                      <a:avLst/>
                    </a:prstGeom>
                    <a:noFill/>
                    <a:ln>
                      <a:noFill/>
                    </a:ln>
                  </pic:spPr>
                </pic:pic>
              </a:graphicData>
            </a:graphic>
          </wp:inline>
        </w:drawing>
      </w:r>
      <w:bookmarkStart w:id="0" w:name="_GoBack"/>
      <w:bookmarkEnd w:id="0"/>
    </w:p>
    <w:p w:rsidR="00BF7523" w:rsidRDefault="00B13723">
      <w:r w:rsidRPr="00B13723">
        <w:t>Poor supervision by the Non-Tax Revenue Unit (NTRU) and the Public Investment Department (PID) of the Ministry of Finance has led to loss of revenue from mining companies over the past 10 years (2005-20014).</w:t>
      </w:r>
      <w:r w:rsidRPr="00B13723">
        <w:br/>
      </w:r>
      <w:r w:rsidRPr="00B13723">
        <w:br/>
        <w:t>Only four out of a sampled 22 mining companies have paid dividend to the government over the period, the audited accounts of the Consolidated Fund for 2014, has revealed.</w:t>
      </w:r>
      <w:r w:rsidRPr="00B13723">
        <w:br/>
      </w:r>
      <w:r w:rsidRPr="00B13723">
        <w:br/>
        <w:t xml:space="preserve">Those which paid are AngloGold Ashanti Company Limited, </w:t>
      </w:r>
      <w:proofErr w:type="spellStart"/>
      <w:r w:rsidRPr="00B13723">
        <w:t>Aboso</w:t>
      </w:r>
      <w:proofErr w:type="spellEnd"/>
      <w:r w:rsidRPr="00B13723">
        <w:t xml:space="preserve"> Goldfields Limited, </w:t>
      </w:r>
      <w:proofErr w:type="spellStart"/>
      <w:r w:rsidRPr="00B13723">
        <w:t>Goldfieds</w:t>
      </w:r>
      <w:proofErr w:type="spellEnd"/>
      <w:r w:rsidRPr="00B13723">
        <w:t xml:space="preserve"> Ghana Limited and Ghana Manganese Company Limited.</w:t>
      </w:r>
      <w:r w:rsidRPr="00B13723">
        <w:br/>
      </w:r>
      <w:r w:rsidRPr="00B13723">
        <w:br/>
        <w:t>They paid a total of GHC43.168 million into the Consolidated Fund at 10 per cent carried interest.</w:t>
      </w:r>
      <w:r w:rsidRPr="00B13723">
        <w:br/>
      </w:r>
      <w:r w:rsidRPr="00B13723">
        <w:br/>
        <w:t>The Auditor-General’s Report deplored the poor inflow of revenue from the mining companies and urged the ministry to strengthen its control on government of Ghana equity investment in mining companies by ensuring that “the dividend due government of Ghana are properly monitored and paid properly onto the consolidated fund”.</w:t>
      </w:r>
      <w:r w:rsidRPr="00B13723">
        <w:br/>
      </w:r>
      <w:r w:rsidRPr="00B13723">
        <w:br/>
        <w:t>According to the report, the NTRU and the PID were required to monitor and ensure the effectiveness of collection and accounting of declared dividend that accrue to the government based on the 10 per cent carried interest.</w:t>
      </w:r>
      <w:r w:rsidRPr="00B13723">
        <w:br/>
      </w:r>
      <w:r w:rsidRPr="00B13723">
        <w:br/>
        <w:t xml:space="preserve">“In view of this, I noted that revenue from mining companies in the form of dividend have been poor over the past ten years,” the report signed and presented to Parliament by the Auditor-General Richard </w:t>
      </w:r>
      <w:proofErr w:type="spellStart"/>
      <w:r w:rsidRPr="00B13723">
        <w:t>Quartey</w:t>
      </w:r>
      <w:proofErr w:type="spellEnd"/>
      <w:r w:rsidRPr="00B13723">
        <w:t xml:space="preserve"> has said.</w:t>
      </w:r>
      <w:r w:rsidRPr="00B13723">
        <w:br/>
      </w:r>
      <w:r w:rsidRPr="00B13723">
        <w:br/>
        <w:t>It said under the Minerals and Mining Act 2006, Act 703, the government generates revenue from mining companies based on 10 per cent carried interest.</w:t>
      </w:r>
      <w:r w:rsidRPr="00B13723">
        <w:br/>
        <w:t>The report said during the examination of the records at the ministry, the NTRU had copies of annual returns from only four companies who paid dividend into the Consolidated Fund.</w:t>
      </w:r>
      <w:r w:rsidRPr="00B13723">
        <w:br/>
      </w:r>
      <w:r w:rsidRPr="00B13723">
        <w:br/>
      </w:r>
      <w:r w:rsidRPr="00B13723">
        <w:lastRenderedPageBreak/>
        <w:t xml:space="preserve">The companies that were found not to have any record of their payment of the carried interest, according to the report, were Nobel Mining Resources, Kinross Mining Resource Limited, Newmont Ghana Gold Limited, Ghana Cement West Africa Quarry, </w:t>
      </w:r>
      <w:proofErr w:type="spellStart"/>
      <w:r w:rsidRPr="00B13723">
        <w:t>Xtra</w:t>
      </w:r>
      <w:proofErr w:type="spellEnd"/>
      <w:r w:rsidRPr="00B13723">
        <w:t xml:space="preserve"> Mining and </w:t>
      </w:r>
      <w:proofErr w:type="spellStart"/>
      <w:r w:rsidRPr="00B13723">
        <w:t>Adamus</w:t>
      </w:r>
      <w:proofErr w:type="spellEnd"/>
      <w:r w:rsidRPr="00B13723">
        <w:t xml:space="preserve"> Resources Limited.</w:t>
      </w:r>
      <w:r w:rsidRPr="00B13723">
        <w:br/>
      </w:r>
      <w:r w:rsidRPr="00B13723">
        <w:br/>
        <w:t xml:space="preserve">Others are </w:t>
      </w:r>
      <w:proofErr w:type="spellStart"/>
      <w:r w:rsidRPr="00B13723">
        <w:t>Owere</w:t>
      </w:r>
      <w:proofErr w:type="spellEnd"/>
      <w:r w:rsidRPr="00B13723">
        <w:t xml:space="preserve"> Mining Limited, </w:t>
      </w:r>
      <w:proofErr w:type="spellStart"/>
      <w:r w:rsidRPr="00B13723">
        <w:t>Chirano</w:t>
      </w:r>
      <w:proofErr w:type="spellEnd"/>
      <w:r w:rsidRPr="00B13723">
        <w:t xml:space="preserve"> Gold Mines limited, Golden Star (</w:t>
      </w:r>
      <w:proofErr w:type="spellStart"/>
      <w:r w:rsidRPr="00B13723">
        <w:t>Wassa</w:t>
      </w:r>
      <w:proofErr w:type="spellEnd"/>
      <w:r w:rsidRPr="00B13723">
        <w:t>) Limited, Ghana Bauxite Company, Perseus Mining Limited, and Med Mining Limited and Blue River.</w:t>
      </w:r>
      <w:r w:rsidRPr="00B13723">
        <w:br/>
      </w:r>
      <w:r w:rsidRPr="00B13723">
        <w:br/>
        <w:t xml:space="preserve">The rest are Banka Gold, </w:t>
      </w:r>
      <w:proofErr w:type="spellStart"/>
      <w:r w:rsidRPr="00B13723">
        <w:t>Midras</w:t>
      </w:r>
      <w:proofErr w:type="spellEnd"/>
      <w:r w:rsidRPr="00B13723">
        <w:t xml:space="preserve"> Mining and </w:t>
      </w:r>
      <w:proofErr w:type="spellStart"/>
      <w:r w:rsidRPr="00B13723">
        <w:t>Prestea</w:t>
      </w:r>
      <w:proofErr w:type="spellEnd"/>
      <w:r w:rsidRPr="00B13723">
        <w:t xml:space="preserve"> </w:t>
      </w:r>
      <w:proofErr w:type="spellStart"/>
      <w:r w:rsidRPr="00B13723">
        <w:t>Sankofa</w:t>
      </w:r>
      <w:proofErr w:type="spellEnd"/>
      <w:r w:rsidRPr="00B13723">
        <w:t xml:space="preserve"> Gold Limited and the Great Consolidated Diamond Limited.</w:t>
      </w:r>
    </w:p>
    <w:sectPr w:rsidR="00BF75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3382A"/>
    <w:multiLevelType w:val="multilevel"/>
    <w:tmpl w:val="CAD0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723"/>
    <w:rsid w:val="00003159"/>
    <w:rsid w:val="000060A2"/>
    <w:rsid w:val="00012CBC"/>
    <w:rsid w:val="00012F40"/>
    <w:rsid w:val="00016728"/>
    <w:rsid w:val="00022F2B"/>
    <w:rsid w:val="00027FD3"/>
    <w:rsid w:val="00031E23"/>
    <w:rsid w:val="00042788"/>
    <w:rsid w:val="000428C8"/>
    <w:rsid w:val="00043776"/>
    <w:rsid w:val="00044373"/>
    <w:rsid w:val="00052DED"/>
    <w:rsid w:val="000618D6"/>
    <w:rsid w:val="00080925"/>
    <w:rsid w:val="00080F52"/>
    <w:rsid w:val="00085988"/>
    <w:rsid w:val="00093442"/>
    <w:rsid w:val="00094491"/>
    <w:rsid w:val="000945C2"/>
    <w:rsid w:val="000A02C5"/>
    <w:rsid w:val="000A1FD2"/>
    <w:rsid w:val="000A400D"/>
    <w:rsid w:val="000A7773"/>
    <w:rsid w:val="000B6BFD"/>
    <w:rsid w:val="000C06D1"/>
    <w:rsid w:val="000C6591"/>
    <w:rsid w:val="000D491D"/>
    <w:rsid w:val="000D7FB3"/>
    <w:rsid w:val="000E1761"/>
    <w:rsid w:val="000E1F14"/>
    <w:rsid w:val="000E762D"/>
    <w:rsid w:val="000F0C3C"/>
    <w:rsid w:val="000F5BE3"/>
    <w:rsid w:val="0010281E"/>
    <w:rsid w:val="00105B38"/>
    <w:rsid w:val="00110105"/>
    <w:rsid w:val="00112A07"/>
    <w:rsid w:val="00125ED2"/>
    <w:rsid w:val="00130055"/>
    <w:rsid w:val="00136D7D"/>
    <w:rsid w:val="00137AEE"/>
    <w:rsid w:val="00140509"/>
    <w:rsid w:val="001436DB"/>
    <w:rsid w:val="0014698A"/>
    <w:rsid w:val="001524C6"/>
    <w:rsid w:val="00157F2B"/>
    <w:rsid w:val="0016523E"/>
    <w:rsid w:val="00170796"/>
    <w:rsid w:val="00183B46"/>
    <w:rsid w:val="00194555"/>
    <w:rsid w:val="00196BCA"/>
    <w:rsid w:val="00197669"/>
    <w:rsid w:val="001A575B"/>
    <w:rsid w:val="001B2381"/>
    <w:rsid w:val="001C1324"/>
    <w:rsid w:val="001C48E2"/>
    <w:rsid w:val="001C773D"/>
    <w:rsid w:val="001C7CAF"/>
    <w:rsid w:val="001D39FB"/>
    <w:rsid w:val="001D59B0"/>
    <w:rsid w:val="001D6FD1"/>
    <w:rsid w:val="001D788E"/>
    <w:rsid w:val="001F1796"/>
    <w:rsid w:val="002046F7"/>
    <w:rsid w:val="00207E98"/>
    <w:rsid w:val="002129A0"/>
    <w:rsid w:val="00212DD8"/>
    <w:rsid w:val="00214A9E"/>
    <w:rsid w:val="002154C5"/>
    <w:rsid w:val="00225F1E"/>
    <w:rsid w:val="00225FED"/>
    <w:rsid w:val="0023486A"/>
    <w:rsid w:val="00237341"/>
    <w:rsid w:val="00237E79"/>
    <w:rsid w:val="00243511"/>
    <w:rsid w:val="002445AC"/>
    <w:rsid w:val="00246FC9"/>
    <w:rsid w:val="002506C8"/>
    <w:rsid w:val="002530D9"/>
    <w:rsid w:val="00253985"/>
    <w:rsid w:val="00255175"/>
    <w:rsid w:val="002630F5"/>
    <w:rsid w:val="00263A7B"/>
    <w:rsid w:val="00271101"/>
    <w:rsid w:val="002725CC"/>
    <w:rsid w:val="0027272E"/>
    <w:rsid w:val="00273AF4"/>
    <w:rsid w:val="002740D5"/>
    <w:rsid w:val="00274FD6"/>
    <w:rsid w:val="00284650"/>
    <w:rsid w:val="002864D1"/>
    <w:rsid w:val="002868C3"/>
    <w:rsid w:val="00297F48"/>
    <w:rsid w:val="002B159E"/>
    <w:rsid w:val="002B4607"/>
    <w:rsid w:val="002B5B49"/>
    <w:rsid w:val="002B60CC"/>
    <w:rsid w:val="002B65FC"/>
    <w:rsid w:val="002B70F5"/>
    <w:rsid w:val="002C16EC"/>
    <w:rsid w:val="002C20AE"/>
    <w:rsid w:val="002C64BE"/>
    <w:rsid w:val="002C72C4"/>
    <w:rsid w:val="002D5C81"/>
    <w:rsid w:val="002E0D7D"/>
    <w:rsid w:val="002E1F18"/>
    <w:rsid w:val="002F7A09"/>
    <w:rsid w:val="00305AD6"/>
    <w:rsid w:val="003159DF"/>
    <w:rsid w:val="003161BB"/>
    <w:rsid w:val="00322067"/>
    <w:rsid w:val="00322802"/>
    <w:rsid w:val="00333199"/>
    <w:rsid w:val="00341F66"/>
    <w:rsid w:val="00343839"/>
    <w:rsid w:val="003457E6"/>
    <w:rsid w:val="00346B20"/>
    <w:rsid w:val="00346E5C"/>
    <w:rsid w:val="00351689"/>
    <w:rsid w:val="003530EA"/>
    <w:rsid w:val="00363369"/>
    <w:rsid w:val="00370E06"/>
    <w:rsid w:val="00376AF3"/>
    <w:rsid w:val="00392B4F"/>
    <w:rsid w:val="003A5DB9"/>
    <w:rsid w:val="003B1F4A"/>
    <w:rsid w:val="003C57E1"/>
    <w:rsid w:val="003D5534"/>
    <w:rsid w:val="003D6128"/>
    <w:rsid w:val="003E1051"/>
    <w:rsid w:val="003E4619"/>
    <w:rsid w:val="003F0D0E"/>
    <w:rsid w:val="003F1427"/>
    <w:rsid w:val="003F4ECA"/>
    <w:rsid w:val="003F7B86"/>
    <w:rsid w:val="00411833"/>
    <w:rsid w:val="00413B51"/>
    <w:rsid w:val="0041412E"/>
    <w:rsid w:val="0041625E"/>
    <w:rsid w:val="004218B9"/>
    <w:rsid w:val="0042363B"/>
    <w:rsid w:val="00426240"/>
    <w:rsid w:val="00431623"/>
    <w:rsid w:val="004410F5"/>
    <w:rsid w:val="00442447"/>
    <w:rsid w:val="0044402E"/>
    <w:rsid w:val="004473E2"/>
    <w:rsid w:val="00450AD7"/>
    <w:rsid w:val="00451D70"/>
    <w:rsid w:val="00452882"/>
    <w:rsid w:val="00454DC7"/>
    <w:rsid w:val="00457EB5"/>
    <w:rsid w:val="00460E44"/>
    <w:rsid w:val="0047059D"/>
    <w:rsid w:val="00473381"/>
    <w:rsid w:val="00480951"/>
    <w:rsid w:val="00482B94"/>
    <w:rsid w:val="00487F46"/>
    <w:rsid w:val="00493472"/>
    <w:rsid w:val="004A1D40"/>
    <w:rsid w:val="004B2AFB"/>
    <w:rsid w:val="004D0EDD"/>
    <w:rsid w:val="004E1AF7"/>
    <w:rsid w:val="004F6FDB"/>
    <w:rsid w:val="004F7539"/>
    <w:rsid w:val="00505C05"/>
    <w:rsid w:val="00515E5E"/>
    <w:rsid w:val="0052104E"/>
    <w:rsid w:val="00526459"/>
    <w:rsid w:val="005271A6"/>
    <w:rsid w:val="00532535"/>
    <w:rsid w:val="005336FF"/>
    <w:rsid w:val="0053381E"/>
    <w:rsid w:val="00535FE3"/>
    <w:rsid w:val="00536450"/>
    <w:rsid w:val="0053725F"/>
    <w:rsid w:val="005460C1"/>
    <w:rsid w:val="00551136"/>
    <w:rsid w:val="005513E4"/>
    <w:rsid w:val="005533FF"/>
    <w:rsid w:val="00553B15"/>
    <w:rsid w:val="005612AE"/>
    <w:rsid w:val="00575751"/>
    <w:rsid w:val="00582AE9"/>
    <w:rsid w:val="005873A6"/>
    <w:rsid w:val="005906AC"/>
    <w:rsid w:val="00592439"/>
    <w:rsid w:val="005A36F2"/>
    <w:rsid w:val="005C21E9"/>
    <w:rsid w:val="005D4F39"/>
    <w:rsid w:val="005E393C"/>
    <w:rsid w:val="005E7957"/>
    <w:rsid w:val="005F2DA4"/>
    <w:rsid w:val="0060619B"/>
    <w:rsid w:val="0060675D"/>
    <w:rsid w:val="006143C6"/>
    <w:rsid w:val="00615D8C"/>
    <w:rsid w:val="0062262F"/>
    <w:rsid w:val="00624C64"/>
    <w:rsid w:val="00626EB4"/>
    <w:rsid w:val="00640988"/>
    <w:rsid w:val="00642CEE"/>
    <w:rsid w:val="0064482A"/>
    <w:rsid w:val="006473DE"/>
    <w:rsid w:val="00650B97"/>
    <w:rsid w:val="00651B0D"/>
    <w:rsid w:val="00664A5E"/>
    <w:rsid w:val="0067744A"/>
    <w:rsid w:val="00684376"/>
    <w:rsid w:val="00686D42"/>
    <w:rsid w:val="006A3C33"/>
    <w:rsid w:val="006B1578"/>
    <w:rsid w:val="006C0D9D"/>
    <w:rsid w:val="006D11BD"/>
    <w:rsid w:val="006D175B"/>
    <w:rsid w:val="006D5647"/>
    <w:rsid w:val="006D6FCC"/>
    <w:rsid w:val="006D7383"/>
    <w:rsid w:val="006D7AB3"/>
    <w:rsid w:val="006E06E1"/>
    <w:rsid w:val="006F5119"/>
    <w:rsid w:val="007012DF"/>
    <w:rsid w:val="00702A35"/>
    <w:rsid w:val="00711254"/>
    <w:rsid w:val="00712796"/>
    <w:rsid w:val="007136AE"/>
    <w:rsid w:val="00721E41"/>
    <w:rsid w:val="00731BF1"/>
    <w:rsid w:val="00733F25"/>
    <w:rsid w:val="00737266"/>
    <w:rsid w:val="00740FA9"/>
    <w:rsid w:val="007439B7"/>
    <w:rsid w:val="00751B7B"/>
    <w:rsid w:val="00761047"/>
    <w:rsid w:val="00761E6C"/>
    <w:rsid w:val="007620D1"/>
    <w:rsid w:val="00763DD2"/>
    <w:rsid w:val="007647F6"/>
    <w:rsid w:val="00770B31"/>
    <w:rsid w:val="00774819"/>
    <w:rsid w:val="007817C1"/>
    <w:rsid w:val="00781BF6"/>
    <w:rsid w:val="00783A5B"/>
    <w:rsid w:val="0078492E"/>
    <w:rsid w:val="00785CD9"/>
    <w:rsid w:val="00786A72"/>
    <w:rsid w:val="00792CB8"/>
    <w:rsid w:val="007945E0"/>
    <w:rsid w:val="00797442"/>
    <w:rsid w:val="007A7239"/>
    <w:rsid w:val="007B5F17"/>
    <w:rsid w:val="007C1F9E"/>
    <w:rsid w:val="007C5372"/>
    <w:rsid w:val="007D0645"/>
    <w:rsid w:val="007D51E6"/>
    <w:rsid w:val="007F1C17"/>
    <w:rsid w:val="007F72DF"/>
    <w:rsid w:val="00802A29"/>
    <w:rsid w:val="00814E83"/>
    <w:rsid w:val="008239E5"/>
    <w:rsid w:val="00834358"/>
    <w:rsid w:val="008354FE"/>
    <w:rsid w:val="008436F9"/>
    <w:rsid w:val="00844901"/>
    <w:rsid w:val="008549BA"/>
    <w:rsid w:val="00856716"/>
    <w:rsid w:val="00864A06"/>
    <w:rsid w:val="0086769F"/>
    <w:rsid w:val="00874A7B"/>
    <w:rsid w:val="0088357E"/>
    <w:rsid w:val="00886771"/>
    <w:rsid w:val="00892FCB"/>
    <w:rsid w:val="00894B9E"/>
    <w:rsid w:val="008951E7"/>
    <w:rsid w:val="008A68C1"/>
    <w:rsid w:val="008A6BC1"/>
    <w:rsid w:val="008C483A"/>
    <w:rsid w:val="008C5AE1"/>
    <w:rsid w:val="008C6A8A"/>
    <w:rsid w:val="008C7DB6"/>
    <w:rsid w:val="008D077F"/>
    <w:rsid w:val="008D0EF2"/>
    <w:rsid w:val="008D5C68"/>
    <w:rsid w:val="008D6B4E"/>
    <w:rsid w:val="008E0773"/>
    <w:rsid w:val="008E152E"/>
    <w:rsid w:val="008E2CDA"/>
    <w:rsid w:val="008F1D89"/>
    <w:rsid w:val="009312FB"/>
    <w:rsid w:val="009342F4"/>
    <w:rsid w:val="00936C53"/>
    <w:rsid w:val="009400E6"/>
    <w:rsid w:val="009416FC"/>
    <w:rsid w:val="00942781"/>
    <w:rsid w:val="00953B02"/>
    <w:rsid w:val="00953CC6"/>
    <w:rsid w:val="00957383"/>
    <w:rsid w:val="00963385"/>
    <w:rsid w:val="00972ED5"/>
    <w:rsid w:val="0098066B"/>
    <w:rsid w:val="009845D0"/>
    <w:rsid w:val="00995D23"/>
    <w:rsid w:val="009A0C92"/>
    <w:rsid w:val="009A1218"/>
    <w:rsid w:val="009A1D70"/>
    <w:rsid w:val="009A2097"/>
    <w:rsid w:val="009A4DDC"/>
    <w:rsid w:val="009A4F4E"/>
    <w:rsid w:val="009B1309"/>
    <w:rsid w:val="009B45B9"/>
    <w:rsid w:val="009C12B9"/>
    <w:rsid w:val="009C44E0"/>
    <w:rsid w:val="009D3537"/>
    <w:rsid w:val="009D638C"/>
    <w:rsid w:val="009D7F0F"/>
    <w:rsid w:val="009E2746"/>
    <w:rsid w:val="009E49D1"/>
    <w:rsid w:val="009E77C8"/>
    <w:rsid w:val="009E7FA2"/>
    <w:rsid w:val="009F148B"/>
    <w:rsid w:val="009F3B26"/>
    <w:rsid w:val="009F3FB9"/>
    <w:rsid w:val="009F4805"/>
    <w:rsid w:val="00A26E6A"/>
    <w:rsid w:val="00A3277B"/>
    <w:rsid w:val="00A367E9"/>
    <w:rsid w:val="00A463D8"/>
    <w:rsid w:val="00A554CF"/>
    <w:rsid w:val="00A573F4"/>
    <w:rsid w:val="00A60F94"/>
    <w:rsid w:val="00A613FB"/>
    <w:rsid w:val="00A61F12"/>
    <w:rsid w:val="00A6730C"/>
    <w:rsid w:val="00A8090B"/>
    <w:rsid w:val="00A83905"/>
    <w:rsid w:val="00A85BD4"/>
    <w:rsid w:val="00A870A4"/>
    <w:rsid w:val="00A963D0"/>
    <w:rsid w:val="00AA0AB5"/>
    <w:rsid w:val="00AB1E19"/>
    <w:rsid w:val="00AB3617"/>
    <w:rsid w:val="00AB4FB9"/>
    <w:rsid w:val="00AB58BB"/>
    <w:rsid w:val="00AB6E4A"/>
    <w:rsid w:val="00AB6F66"/>
    <w:rsid w:val="00AD0F37"/>
    <w:rsid w:val="00AD457D"/>
    <w:rsid w:val="00AE304C"/>
    <w:rsid w:val="00AE39F1"/>
    <w:rsid w:val="00AF1E15"/>
    <w:rsid w:val="00AF45C8"/>
    <w:rsid w:val="00AF7CD9"/>
    <w:rsid w:val="00B00557"/>
    <w:rsid w:val="00B02AC7"/>
    <w:rsid w:val="00B02B98"/>
    <w:rsid w:val="00B0726A"/>
    <w:rsid w:val="00B07CDF"/>
    <w:rsid w:val="00B12488"/>
    <w:rsid w:val="00B13723"/>
    <w:rsid w:val="00B24146"/>
    <w:rsid w:val="00B26CE5"/>
    <w:rsid w:val="00B30448"/>
    <w:rsid w:val="00B33C1D"/>
    <w:rsid w:val="00B41C56"/>
    <w:rsid w:val="00B41CBE"/>
    <w:rsid w:val="00B553AC"/>
    <w:rsid w:val="00B57DBF"/>
    <w:rsid w:val="00B605F5"/>
    <w:rsid w:val="00B62ED8"/>
    <w:rsid w:val="00B62F68"/>
    <w:rsid w:val="00B67C74"/>
    <w:rsid w:val="00B91460"/>
    <w:rsid w:val="00B960AA"/>
    <w:rsid w:val="00B96CBB"/>
    <w:rsid w:val="00BA2CF4"/>
    <w:rsid w:val="00BA5E2F"/>
    <w:rsid w:val="00BB0108"/>
    <w:rsid w:val="00BC0228"/>
    <w:rsid w:val="00BC5A9F"/>
    <w:rsid w:val="00BD627A"/>
    <w:rsid w:val="00BF3046"/>
    <w:rsid w:val="00BF6C48"/>
    <w:rsid w:val="00BF7523"/>
    <w:rsid w:val="00C044E1"/>
    <w:rsid w:val="00C050B6"/>
    <w:rsid w:val="00C07EB2"/>
    <w:rsid w:val="00C12F8C"/>
    <w:rsid w:val="00C171DF"/>
    <w:rsid w:val="00C218C5"/>
    <w:rsid w:val="00C26A37"/>
    <w:rsid w:val="00C32CAF"/>
    <w:rsid w:val="00C44CEA"/>
    <w:rsid w:val="00C45FB4"/>
    <w:rsid w:val="00C475E8"/>
    <w:rsid w:val="00C51846"/>
    <w:rsid w:val="00C52E27"/>
    <w:rsid w:val="00C54B9B"/>
    <w:rsid w:val="00C6052E"/>
    <w:rsid w:val="00C60977"/>
    <w:rsid w:val="00C7632B"/>
    <w:rsid w:val="00C80C76"/>
    <w:rsid w:val="00C833E1"/>
    <w:rsid w:val="00C93FE0"/>
    <w:rsid w:val="00CA3440"/>
    <w:rsid w:val="00CA4299"/>
    <w:rsid w:val="00CB459F"/>
    <w:rsid w:val="00CB7044"/>
    <w:rsid w:val="00CB73A9"/>
    <w:rsid w:val="00CC2B24"/>
    <w:rsid w:val="00CD4E90"/>
    <w:rsid w:val="00CD5150"/>
    <w:rsid w:val="00CD5413"/>
    <w:rsid w:val="00CD6773"/>
    <w:rsid w:val="00CF2448"/>
    <w:rsid w:val="00CF53B0"/>
    <w:rsid w:val="00CF664E"/>
    <w:rsid w:val="00D11C15"/>
    <w:rsid w:val="00D21672"/>
    <w:rsid w:val="00D25B1A"/>
    <w:rsid w:val="00D30417"/>
    <w:rsid w:val="00D50466"/>
    <w:rsid w:val="00D53DA0"/>
    <w:rsid w:val="00D552B7"/>
    <w:rsid w:val="00D55AD4"/>
    <w:rsid w:val="00D669D0"/>
    <w:rsid w:val="00D66A51"/>
    <w:rsid w:val="00D7695B"/>
    <w:rsid w:val="00D93BB5"/>
    <w:rsid w:val="00DA61B3"/>
    <w:rsid w:val="00DA6D3A"/>
    <w:rsid w:val="00DB26B3"/>
    <w:rsid w:val="00DB781F"/>
    <w:rsid w:val="00DC1975"/>
    <w:rsid w:val="00DC1E41"/>
    <w:rsid w:val="00DC2ABE"/>
    <w:rsid w:val="00DC348F"/>
    <w:rsid w:val="00DD40F9"/>
    <w:rsid w:val="00DE7D54"/>
    <w:rsid w:val="00DF3BD3"/>
    <w:rsid w:val="00E00DE8"/>
    <w:rsid w:val="00E016D6"/>
    <w:rsid w:val="00E03AA0"/>
    <w:rsid w:val="00E1066A"/>
    <w:rsid w:val="00E148AF"/>
    <w:rsid w:val="00E15E09"/>
    <w:rsid w:val="00E17D26"/>
    <w:rsid w:val="00E23A07"/>
    <w:rsid w:val="00E24E7F"/>
    <w:rsid w:val="00E252DD"/>
    <w:rsid w:val="00E359FE"/>
    <w:rsid w:val="00E428BC"/>
    <w:rsid w:val="00E5536F"/>
    <w:rsid w:val="00E559E0"/>
    <w:rsid w:val="00E55FB7"/>
    <w:rsid w:val="00E62563"/>
    <w:rsid w:val="00E63AEB"/>
    <w:rsid w:val="00E67F22"/>
    <w:rsid w:val="00E721E0"/>
    <w:rsid w:val="00E73524"/>
    <w:rsid w:val="00E748A0"/>
    <w:rsid w:val="00E76078"/>
    <w:rsid w:val="00E8777B"/>
    <w:rsid w:val="00E92CF8"/>
    <w:rsid w:val="00E96693"/>
    <w:rsid w:val="00EA1039"/>
    <w:rsid w:val="00EC7497"/>
    <w:rsid w:val="00ED234B"/>
    <w:rsid w:val="00ED24CF"/>
    <w:rsid w:val="00ED275C"/>
    <w:rsid w:val="00ED533E"/>
    <w:rsid w:val="00ED5C5C"/>
    <w:rsid w:val="00EE5FE1"/>
    <w:rsid w:val="00EE7882"/>
    <w:rsid w:val="00EF3E24"/>
    <w:rsid w:val="00F02003"/>
    <w:rsid w:val="00F1155C"/>
    <w:rsid w:val="00F17117"/>
    <w:rsid w:val="00F2274B"/>
    <w:rsid w:val="00F268FF"/>
    <w:rsid w:val="00F27F7B"/>
    <w:rsid w:val="00F42F00"/>
    <w:rsid w:val="00F46822"/>
    <w:rsid w:val="00F51D4D"/>
    <w:rsid w:val="00F55CCB"/>
    <w:rsid w:val="00F639A9"/>
    <w:rsid w:val="00F72E1C"/>
    <w:rsid w:val="00F730CB"/>
    <w:rsid w:val="00F7374B"/>
    <w:rsid w:val="00F73A08"/>
    <w:rsid w:val="00F74974"/>
    <w:rsid w:val="00F835B0"/>
    <w:rsid w:val="00F93034"/>
    <w:rsid w:val="00FA07E3"/>
    <w:rsid w:val="00FA54AC"/>
    <w:rsid w:val="00FB4568"/>
    <w:rsid w:val="00FB6769"/>
    <w:rsid w:val="00FB6C63"/>
    <w:rsid w:val="00FC2ABB"/>
    <w:rsid w:val="00FC33EB"/>
    <w:rsid w:val="00FC70BB"/>
    <w:rsid w:val="00FD0463"/>
    <w:rsid w:val="00FD31C3"/>
    <w:rsid w:val="00FD5429"/>
    <w:rsid w:val="00FD68E1"/>
    <w:rsid w:val="00FD7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3723"/>
    <w:rPr>
      <w:color w:val="0000FF" w:themeColor="hyperlink"/>
      <w:u w:val="single"/>
    </w:rPr>
  </w:style>
  <w:style w:type="paragraph" w:styleId="BalloonText">
    <w:name w:val="Balloon Text"/>
    <w:basedOn w:val="Normal"/>
    <w:link w:val="BalloonTextChar"/>
    <w:uiPriority w:val="99"/>
    <w:semiHidden/>
    <w:unhideWhenUsed/>
    <w:rsid w:val="00B137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7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3723"/>
    <w:rPr>
      <w:color w:val="0000FF" w:themeColor="hyperlink"/>
      <w:u w:val="single"/>
    </w:rPr>
  </w:style>
  <w:style w:type="paragraph" w:styleId="BalloonText">
    <w:name w:val="Balloon Text"/>
    <w:basedOn w:val="Normal"/>
    <w:link w:val="BalloonTextChar"/>
    <w:uiPriority w:val="99"/>
    <w:semiHidden/>
    <w:unhideWhenUsed/>
    <w:rsid w:val="00B137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37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106859">
      <w:bodyDiv w:val="1"/>
      <w:marLeft w:val="0"/>
      <w:marRight w:val="0"/>
      <w:marTop w:val="0"/>
      <w:marBottom w:val="0"/>
      <w:divBdr>
        <w:top w:val="none" w:sz="0" w:space="0" w:color="auto"/>
        <w:left w:val="none" w:sz="0" w:space="0" w:color="auto"/>
        <w:bottom w:val="none" w:sz="0" w:space="0" w:color="auto"/>
        <w:right w:val="none" w:sz="0" w:space="0" w:color="auto"/>
      </w:divBdr>
      <w:divsChild>
        <w:div w:id="114912808">
          <w:marLeft w:val="0"/>
          <w:marRight w:val="0"/>
          <w:marTop w:val="0"/>
          <w:marBottom w:val="0"/>
          <w:divBdr>
            <w:top w:val="none" w:sz="0" w:space="0" w:color="auto"/>
            <w:left w:val="none" w:sz="0" w:space="0" w:color="auto"/>
            <w:bottom w:val="none" w:sz="0" w:space="0" w:color="auto"/>
            <w:right w:val="none" w:sz="0" w:space="0" w:color="auto"/>
          </w:divBdr>
        </w:div>
        <w:div w:id="286200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hanaweb.com/GhanaHomePage/economy/Mining-firms-fail-to-pay-dividend-to-Gov-t-for-10yrs-424909?gallery=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2012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rlg</dc:creator>
  <cp:lastModifiedBy>rlg</cp:lastModifiedBy>
  <cp:revision>1</cp:revision>
  <dcterms:created xsi:type="dcterms:W3CDTF">2016-06-03T08:05:00Z</dcterms:created>
  <dcterms:modified xsi:type="dcterms:W3CDTF">2016-06-03T08:06:00Z</dcterms:modified>
</cp:coreProperties>
</file>