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drawings/drawing2.xml" ContentType="application/vnd.openxmlformats-officedocument.drawingml.chartshapes+xml"/>
  <Override PartName="/word/charts/chart13.xml" ContentType="application/vnd.openxmlformats-officedocument.drawingml.chart+xml"/>
  <Override PartName="/word/charts/chart1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A52" w:rsidRPr="006F2B12" w:rsidRDefault="00E53A52" w:rsidP="00523FAF">
      <w:pPr>
        <w:jc w:val="center"/>
        <w:rPr>
          <w:rFonts w:ascii="Calibri" w:hAnsi="Calibri"/>
          <w:b/>
          <w:sz w:val="20"/>
          <w:szCs w:val="20"/>
        </w:rPr>
      </w:pPr>
      <w:bookmarkStart w:id="0" w:name="_Toc17899833"/>
      <w:bookmarkStart w:id="1" w:name="_Toc226541481"/>
      <w:bookmarkStart w:id="2" w:name="_Toc288813942"/>
      <w:bookmarkStart w:id="3" w:name="_Toc288814892"/>
      <w:bookmarkStart w:id="4" w:name="_Toc515620075"/>
      <w:r w:rsidRPr="006F2B12">
        <w:rPr>
          <w:rFonts w:ascii="Calibri" w:hAnsi="Calibri"/>
          <w:b/>
          <w:sz w:val="20"/>
          <w:szCs w:val="20"/>
        </w:rPr>
        <w:t>REUNION DES MINISTRES</w:t>
      </w:r>
      <w:bookmarkEnd w:id="0"/>
    </w:p>
    <w:p w:rsidR="00E53A52" w:rsidRPr="006F2B12" w:rsidRDefault="00E53A52" w:rsidP="00523FAF">
      <w:pPr>
        <w:jc w:val="center"/>
        <w:rPr>
          <w:rFonts w:ascii="Calibri" w:hAnsi="Calibri"/>
          <w:b/>
          <w:sz w:val="20"/>
          <w:szCs w:val="20"/>
        </w:rPr>
      </w:pPr>
      <w:r w:rsidRPr="006F2B12">
        <w:rPr>
          <w:rFonts w:ascii="Calibri" w:hAnsi="Calibri"/>
          <w:b/>
          <w:sz w:val="20"/>
          <w:szCs w:val="20"/>
        </w:rPr>
        <w:t>DES FINANCES</w:t>
      </w:r>
    </w:p>
    <w:p w:rsidR="00E53A52" w:rsidRPr="006F2B12" w:rsidRDefault="00E53A52" w:rsidP="00523FAF">
      <w:pPr>
        <w:jc w:val="center"/>
        <w:rPr>
          <w:rFonts w:ascii="Calibri" w:hAnsi="Calibri"/>
          <w:b/>
          <w:sz w:val="20"/>
          <w:szCs w:val="20"/>
        </w:rPr>
      </w:pPr>
      <w:r w:rsidRPr="006F2B12">
        <w:rPr>
          <w:rFonts w:ascii="Calibri" w:hAnsi="Calibri"/>
          <w:b/>
          <w:sz w:val="20"/>
          <w:szCs w:val="20"/>
        </w:rPr>
        <w:t>DE LA ZONE FRANC</w:t>
      </w:r>
    </w:p>
    <w:p w:rsidR="00E53A52" w:rsidRPr="00A727BF" w:rsidRDefault="00E53A52" w:rsidP="00523FAF">
      <w:pPr>
        <w:jc w:val="center"/>
        <w:rPr>
          <w:rFonts w:ascii="Calibri" w:hAnsi="Calibri"/>
          <w:b/>
          <w:bCs/>
          <w:sz w:val="20"/>
          <w:szCs w:val="20"/>
        </w:rPr>
      </w:pPr>
    </w:p>
    <w:p w:rsidR="00E53A52" w:rsidRPr="00A727BF" w:rsidRDefault="00E53A52" w:rsidP="00523FAF">
      <w:pPr>
        <w:jc w:val="center"/>
        <w:rPr>
          <w:rFonts w:ascii="Calibri" w:hAnsi="Calibri"/>
          <w:b/>
          <w:bCs/>
          <w:sz w:val="20"/>
          <w:szCs w:val="20"/>
        </w:rPr>
      </w:pPr>
    </w:p>
    <w:p w:rsidR="00E53A52" w:rsidRPr="00523FAF" w:rsidRDefault="00E53A52" w:rsidP="007C79B5">
      <w:pPr>
        <w:jc w:val="center"/>
        <w:rPr>
          <w:rFonts w:ascii="Calibri" w:hAnsi="Calibri"/>
          <w:sz w:val="28"/>
          <w:szCs w:val="28"/>
        </w:rPr>
      </w:pPr>
    </w:p>
    <w:p w:rsidR="009040A0" w:rsidRDefault="009040A0" w:rsidP="007C79B5">
      <w:pPr>
        <w:jc w:val="right"/>
        <w:rPr>
          <w:rFonts w:ascii="Calibri" w:hAnsi="Calibri"/>
          <w:b/>
          <w:bCs/>
          <w:sz w:val="36"/>
          <w:szCs w:val="36"/>
        </w:rPr>
      </w:pPr>
    </w:p>
    <w:p w:rsidR="00224267" w:rsidRPr="00224267" w:rsidRDefault="00224267" w:rsidP="007C79B5">
      <w:pPr>
        <w:jc w:val="center"/>
        <w:rPr>
          <w:rFonts w:ascii="Calibri" w:hAnsi="Calibri"/>
          <w:b/>
          <w:bCs/>
          <w:sz w:val="36"/>
          <w:szCs w:val="36"/>
        </w:rPr>
      </w:pPr>
      <w:r w:rsidRPr="00224267">
        <w:rPr>
          <w:rFonts w:ascii="Calibri" w:hAnsi="Calibri"/>
          <w:b/>
          <w:bCs/>
          <w:sz w:val="36"/>
          <w:szCs w:val="36"/>
        </w:rPr>
        <w:t>COMITE DE CONVERGENCE</w:t>
      </w:r>
    </w:p>
    <w:p w:rsidR="00224267" w:rsidRDefault="00224267" w:rsidP="007C79B5">
      <w:pPr>
        <w:jc w:val="center"/>
        <w:rPr>
          <w:rFonts w:ascii="Calibri" w:hAnsi="Calibri"/>
          <w:b/>
          <w:bCs/>
          <w:sz w:val="28"/>
          <w:szCs w:val="28"/>
        </w:rPr>
      </w:pPr>
    </w:p>
    <w:p w:rsidR="00E53A52" w:rsidRDefault="00E53A52" w:rsidP="007C79B5">
      <w:pPr>
        <w:jc w:val="center"/>
        <w:rPr>
          <w:rFonts w:ascii="Calibri" w:hAnsi="Calibri"/>
          <w:b/>
          <w:bCs/>
          <w:sz w:val="28"/>
          <w:szCs w:val="28"/>
        </w:rPr>
      </w:pPr>
      <w:r w:rsidRPr="00523FAF">
        <w:rPr>
          <w:rFonts w:ascii="Calibri" w:hAnsi="Calibri"/>
          <w:b/>
          <w:bCs/>
          <w:sz w:val="28"/>
          <w:szCs w:val="28"/>
        </w:rPr>
        <w:t>RAPPORT D</w:t>
      </w:r>
      <w:r w:rsidR="00A67364">
        <w:rPr>
          <w:rFonts w:ascii="Calibri" w:hAnsi="Calibri"/>
          <w:b/>
          <w:bCs/>
          <w:sz w:val="28"/>
          <w:szCs w:val="28"/>
        </w:rPr>
        <w:t>E PRINTEMPS</w:t>
      </w:r>
    </w:p>
    <w:p w:rsidR="009040A0" w:rsidRPr="00523FAF" w:rsidRDefault="009040A0" w:rsidP="007C79B5">
      <w:pPr>
        <w:jc w:val="right"/>
        <w:rPr>
          <w:rFonts w:ascii="Calibri" w:hAnsi="Calibri"/>
          <w:b/>
          <w:bCs/>
          <w:sz w:val="28"/>
          <w:szCs w:val="28"/>
        </w:rPr>
      </w:pPr>
    </w:p>
    <w:p w:rsidR="00E53A52" w:rsidRPr="00523FAF" w:rsidRDefault="00E53A52" w:rsidP="00523FAF">
      <w:pPr>
        <w:jc w:val="center"/>
        <w:rPr>
          <w:rFonts w:ascii="Calibri" w:hAnsi="Calibri"/>
          <w:b/>
          <w:bCs/>
          <w:sz w:val="28"/>
          <w:szCs w:val="28"/>
        </w:rPr>
      </w:pPr>
    </w:p>
    <w:p w:rsidR="00E53A52" w:rsidRPr="00523FAF" w:rsidRDefault="00E53A52" w:rsidP="00523FAF">
      <w:pPr>
        <w:jc w:val="center"/>
        <w:rPr>
          <w:rFonts w:ascii="Calibri" w:hAnsi="Calibri"/>
          <w:b/>
          <w:bCs/>
          <w:sz w:val="28"/>
          <w:szCs w:val="28"/>
        </w:rPr>
      </w:pPr>
    </w:p>
    <w:p w:rsidR="00E53A52" w:rsidRPr="00523FAF" w:rsidRDefault="00976CC8" w:rsidP="00235A3E">
      <w:pPr>
        <w:jc w:val="both"/>
        <w:rPr>
          <w:rFonts w:ascii="Calibri" w:hAnsi="Calibri"/>
          <w:b/>
          <w:bCs/>
          <w:sz w:val="28"/>
          <w:szCs w:val="28"/>
        </w:rPr>
      </w:pPr>
      <w:r>
        <w:rPr>
          <w:noProof/>
          <w:lang w:val="de-DE" w:eastAsia="de-DE"/>
        </w:rPr>
        <mc:AlternateContent>
          <mc:Choice Requires="wps">
            <w:drawing>
              <wp:anchor distT="0" distB="0" distL="114300" distR="114300" simplePos="0" relativeHeight="251663360" behindDoc="0" locked="0" layoutInCell="1" allowOverlap="1">
                <wp:simplePos x="0" y="0"/>
                <wp:positionH relativeFrom="column">
                  <wp:posOffset>-376555</wp:posOffset>
                </wp:positionH>
                <wp:positionV relativeFrom="paragraph">
                  <wp:posOffset>4798060</wp:posOffset>
                </wp:positionV>
                <wp:extent cx="313055" cy="277495"/>
                <wp:effectExtent l="0" t="0" r="0" b="825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055" cy="277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774C" w:rsidRPr="00224267" w:rsidRDefault="00C8774C">
                            <w:pPr>
                              <w:rPr>
                                <w:rFonts w:asciiTheme="minorHAnsi" w:hAnsiTheme="minorHAnsi" w:cstheme="minorHAnsi"/>
                                <w:b/>
                                <w:color w:val="33CC33"/>
                                <w:sz w:val="24"/>
                                <w:szCs w:val="2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9.65pt;margin-top:377.8pt;width:24.65pt;height:21.8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" stroked="f">
                <v:textbox style="mso-fit-shape-to-text:t">
                  <w:txbxContent>
                    <w:p w:rsidR="00C8774C" w:rsidRPr="00224267" w:rsidRDefault="00C8774C">
                      <w:pPr>
                        <w:rPr>
                          <w:rFonts w:asciiTheme="minorHAnsi" w:hAnsiTheme="minorHAnsi" w:cstheme="minorHAnsi"/>
                          <w:b/>
                          <w:color w:val="33CC33"/>
                          <w:sz w:val="24"/>
                          <w:szCs w:val="24"/>
                        </w:rPr>
                      </w:pPr>
                    </w:p>
                  </w:txbxContent>
                </v:textbox>
              </v:shape>
            </w:pict>
          </mc:Fallback>
        </mc:AlternateContent>
      </w:r>
      <w:r w:rsidR="00F76CDD" w:rsidRPr="00F76CDD">
        <w:rPr>
          <w:rFonts w:ascii="Calibri" w:eastAsia="Calibri" w:hAnsi="Calibri"/>
          <w:noProof/>
          <w:lang w:val="de-DE" w:eastAsia="de-DE"/>
        </w:rPr>
        <w:drawing>
          <wp:inline distT="0" distB="0" distL="0" distR="0">
            <wp:extent cx="5760085" cy="551336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5513360"/>
                    </a:xfrm>
                    <a:prstGeom prst="rect">
                      <a:avLst/>
                    </a:prstGeom>
                    <a:noFill/>
                    <a:ln>
                      <a:noFill/>
                    </a:ln>
                  </pic:spPr>
                </pic:pic>
              </a:graphicData>
            </a:graphic>
          </wp:inline>
        </w:drawing>
      </w:r>
    </w:p>
    <w:p w:rsidR="00E53A52" w:rsidRPr="00523FAF" w:rsidRDefault="00E53A52" w:rsidP="00235A3E">
      <w:pPr>
        <w:jc w:val="both"/>
        <w:rPr>
          <w:rFonts w:ascii="Calibri" w:hAnsi="Calibri"/>
          <w:b/>
          <w:bCs/>
          <w:sz w:val="28"/>
          <w:szCs w:val="28"/>
        </w:rPr>
      </w:pPr>
    </w:p>
    <w:p w:rsidR="00E53A52" w:rsidRDefault="00E53A52" w:rsidP="00235A3E">
      <w:pPr>
        <w:jc w:val="both"/>
        <w:rPr>
          <w:rFonts w:ascii="Calibri" w:hAnsi="Calibri"/>
          <w:b/>
          <w:bCs/>
          <w:sz w:val="20"/>
          <w:szCs w:val="20"/>
        </w:rPr>
      </w:pPr>
    </w:p>
    <w:p w:rsidR="001B4572" w:rsidRDefault="00976CC8" w:rsidP="00F76CDD">
      <w:pPr>
        <w:tabs>
          <w:tab w:val="left" w:pos="10800"/>
        </w:tabs>
        <w:jc w:val="both"/>
        <w:rPr>
          <w:rFonts w:ascii="Calibri" w:hAnsi="Calibri"/>
          <w:b/>
          <w:bCs/>
          <w:sz w:val="20"/>
          <w:szCs w:val="20"/>
        </w:rPr>
      </w:pPr>
      <w:r>
        <w:rPr>
          <w:noProof/>
          <w:lang w:val="de-DE" w:eastAsia="de-DE"/>
        </w:rPr>
        <mc:AlternateContent>
          <mc:Choice Requires="wps">
            <w:drawing>
              <wp:anchor distT="0" distB="0" distL="114300" distR="114300" simplePos="0" relativeHeight="251661312" behindDoc="0" locked="0" layoutInCell="1" allowOverlap="1">
                <wp:simplePos x="0" y="0"/>
                <wp:positionH relativeFrom="column">
                  <wp:posOffset>-63500</wp:posOffset>
                </wp:positionH>
                <wp:positionV relativeFrom="paragraph">
                  <wp:posOffset>59055</wp:posOffset>
                </wp:positionV>
                <wp:extent cx="801370" cy="272415"/>
                <wp:effectExtent l="0" t="0" r="0" b="0"/>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774C" w:rsidRPr="00224267" w:rsidRDefault="00C8774C">
                            <w:pPr>
                              <w:rPr>
                                <w:rFonts w:asciiTheme="minorHAnsi" w:hAnsiTheme="minorHAnsi" w:cstheme="minorHAnsi"/>
                                <w:b/>
                                <w:color w:val="33CC33"/>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2" o:spid="_x0000_s1027" type="#_x0000_t202" style="position:absolute;left:0;text-align:left;margin-left:-5pt;margin-top:4.65pt;width:63.1pt;height:2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" stroked="f">
                <v:textbox>
                  <w:txbxContent>
                    <w:p w:rsidR="00C8774C" w:rsidRPr="00224267" w:rsidRDefault="00C8774C">
                      <w:pPr>
                        <w:rPr>
                          <w:rFonts w:asciiTheme="minorHAnsi" w:hAnsiTheme="minorHAnsi" w:cstheme="minorHAnsi"/>
                          <w:b/>
                          <w:color w:val="33CC33"/>
                          <w:sz w:val="24"/>
                          <w:szCs w:val="24"/>
                        </w:rPr>
                      </w:pPr>
                    </w:p>
                  </w:txbxContent>
                </v:textbox>
              </v:shape>
            </w:pict>
          </mc:Fallback>
        </mc:AlternateContent>
      </w:r>
      <w:r>
        <w:rPr>
          <w:noProof/>
          <w:lang w:val="de-DE" w:eastAsia="de-DE"/>
        </w:rPr>
        <mc:AlternateContent>
          <mc:Choice Requires="wps">
            <w:drawing>
              <wp:anchor distT="0" distB="0" distL="114300" distR="114300" simplePos="0" relativeHeight="251665408" behindDoc="0" locked="0" layoutInCell="1" allowOverlap="1">
                <wp:simplePos x="0" y="0"/>
                <wp:positionH relativeFrom="column">
                  <wp:posOffset>4619625</wp:posOffset>
                </wp:positionH>
                <wp:positionV relativeFrom="paragraph">
                  <wp:posOffset>65405</wp:posOffset>
                </wp:positionV>
                <wp:extent cx="906145" cy="241935"/>
                <wp:effectExtent l="0" t="0" r="8255" b="571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145"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774C" w:rsidRPr="00224267" w:rsidRDefault="00C8774C">
                            <w:pPr>
                              <w:rPr>
                                <w:rFonts w:asciiTheme="minorHAnsi" w:hAnsiTheme="minorHAnsi" w:cstheme="minorHAnsi"/>
                                <w:b/>
                                <w:color w:val="92D05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left:0;text-align:left;margin-left:363.75pt;margin-top:5.15pt;width:71.35pt;height:19.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" stroked="f">
                <v:textbox>
                  <w:txbxContent>
                    <w:p w:rsidR="00C8774C" w:rsidRPr="00224267" w:rsidRDefault="00C8774C">
                      <w:pPr>
                        <w:rPr>
                          <w:rFonts w:asciiTheme="minorHAnsi" w:hAnsiTheme="minorHAnsi" w:cstheme="minorHAnsi"/>
                          <w:b/>
                          <w:color w:val="92D050"/>
                          <w:sz w:val="24"/>
                          <w:szCs w:val="24"/>
                        </w:rPr>
                      </w:pPr>
                    </w:p>
                  </w:txbxContent>
                </v:textbox>
              </v:shape>
            </w:pict>
          </mc:Fallback>
        </mc:AlternateContent>
      </w:r>
    </w:p>
    <w:p w:rsidR="00E53A52" w:rsidRPr="00A727BF" w:rsidRDefault="00E53A52" w:rsidP="00523FAF">
      <w:pPr>
        <w:tabs>
          <w:tab w:val="left" w:pos="10800"/>
        </w:tabs>
        <w:jc w:val="center"/>
        <w:rPr>
          <w:rFonts w:ascii="Calibri" w:hAnsi="Calibri"/>
          <w:b/>
          <w:bCs/>
          <w:sz w:val="20"/>
          <w:szCs w:val="20"/>
        </w:rPr>
      </w:pPr>
      <w:r w:rsidRPr="00A727BF">
        <w:rPr>
          <w:rFonts w:ascii="Calibri" w:hAnsi="Calibri"/>
          <w:b/>
          <w:bCs/>
          <w:sz w:val="20"/>
          <w:szCs w:val="20"/>
        </w:rPr>
        <w:t>REUNION DES MINISTRES DES FINANCES DE LA ZONE FRANC</w:t>
      </w:r>
    </w:p>
    <w:p w:rsidR="00E53A52" w:rsidRDefault="00C1362C" w:rsidP="00523FAF">
      <w:pPr>
        <w:tabs>
          <w:tab w:val="left" w:pos="10800"/>
        </w:tabs>
        <w:jc w:val="center"/>
      </w:pPr>
      <w:r>
        <w:rPr>
          <w:rFonts w:ascii="Calibri" w:hAnsi="Calibri"/>
          <w:b/>
          <w:bCs/>
          <w:sz w:val="20"/>
          <w:szCs w:val="20"/>
        </w:rPr>
        <w:t xml:space="preserve">9 </w:t>
      </w:r>
      <w:r w:rsidR="00A67364">
        <w:rPr>
          <w:rFonts w:ascii="Calibri" w:hAnsi="Calibri"/>
          <w:b/>
          <w:bCs/>
          <w:sz w:val="20"/>
          <w:szCs w:val="20"/>
        </w:rPr>
        <w:t xml:space="preserve">avril </w:t>
      </w:r>
      <w:r w:rsidR="00E53A52" w:rsidRPr="00A727BF">
        <w:rPr>
          <w:rFonts w:ascii="Calibri" w:hAnsi="Calibri"/>
          <w:b/>
          <w:bCs/>
          <w:sz w:val="20"/>
          <w:szCs w:val="20"/>
        </w:rPr>
        <w:t>201</w:t>
      </w:r>
      <w:r>
        <w:rPr>
          <w:rFonts w:ascii="Calibri" w:hAnsi="Calibri"/>
          <w:b/>
          <w:bCs/>
          <w:sz w:val="20"/>
          <w:szCs w:val="20"/>
        </w:rPr>
        <w:t>6</w:t>
      </w:r>
    </w:p>
    <w:p w:rsidR="001B4572" w:rsidRDefault="001B4572"/>
    <w:p w:rsidR="001B4572" w:rsidRDefault="001B4572" w:rsidP="00EE7BF7">
      <w:pPr>
        <w:pStyle w:val="En-ttedetabledesmatires"/>
        <w:tabs>
          <w:tab w:val="clear" w:pos="720"/>
        </w:tabs>
        <w:ind w:left="0" w:firstLine="720"/>
        <w:rPr>
          <w:rFonts w:ascii="Times New Roman" w:hAnsi="Times New Roman"/>
          <w:b w:val="0"/>
          <w:bCs w:val="0"/>
          <w:smallCaps w:val="0"/>
          <w:sz w:val="22"/>
          <w:szCs w:val="22"/>
          <w:lang w:eastAsia="fr-FR" w:bidi="ar-SA"/>
        </w:rPr>
      </w:pPr>
    </w:p>
    <w:sdt>
      <w:sdtPr>
        <w:rPr>
          <w:rFonts w:ascii="Times New Roman" w:hAnsi="Times New Roman"/>
          <w:b w:val="0"/>
          <w:bCs w:val="0"/>
          <w:smallCaps w:val="0"/>
          <w:sz w:val="22"/>
          <w:szCs w:val="22"/>
          <w:lang w:eastAsia="fr-FR" w:bidi="ar-SA"/>
        </w:rPr>
        <w:id w:val="464743366"/>
        <w:docPartObj>
          <w:docPartGallery w:val="Table of Contents"/>
          <w:docPartUnique/>
        </w:docPartObj>
      </w:sdtPr>
      <w:sdtEndPr/>
      <w:sdtContent>
        <w:p w:rsidR="00B64020" w:rsidRPr="00BE4353" w:rsidRDefault="00B64020" w:rsidP="00224267">
          <w:pPr>
            <w:pStyle w:val="En-ttedetabledesmatires"/>
            <w:tabs>
              <w:tab w:val="clear" w:pos="720"/>
            </w:tabs>
            <w:ind w:left="0" w:firstLine="0"/>
            <w:jc w:val="left"/>
            <w:rPr>
              <w:rFonts w:asciiTheme="minorHAnsi" w:hAnsiTheme="minorHAnsi" w:cstheme="minorHAnsi"/>
              <w:sz w:val="36"/>
              <w:szCs w:val="36"/>
            </w:rPr>
          </w:pPr>
          <w:r w:rsidRPr="00BE4353">
            <w:rPr>
              <w:rFonts w:asciiTheme="minorHAnsi" w:hAnsiTheme="minorHAnsi" w:cstheme="minorHAnsi"/>
              <w:sz w:val="36"/>
              <w:szCs w:val="36"/>
            </w:rPr>
            <w:t>Table des matières</w:t>
          </w:r>
        </w:p>
        <w:p w:rsidR="00B64020" w:rsidRPr="00B64020" w:rsidRDefault="00B64020" w:rsidP="00235A3E">
          <w:pPr>
            <w:jc w:val="both"/>
            <w:rPr>
              <w:lang w:eastAsia="en-US" w:bidi="en-US"/>
            </w:rPr>
          </w:pPr>
        </w:p>
        <w:p w:rsidR="00656BBF" w:rsidRDefault="00AD7D99">
          <w:pPr>
            <w:pStyle w:val="TM1"/>
            <w:tabs>
              <w:tab w:val="left" w:pos="708"/>
            </w:tabs>
            <w:rPr>
              <w:rFonts w:eastAsiaTheme="minorEastAsia" w:cstheme="minorBidi"/>
              <w:b w:val="0"/>
              <w:bCs w:val="0"/>
              <w:i w:val="0"/>
              <w:iCs w:val="0"/>
              <w:noProof/>
              <w:sz w:val="22"/>
              <w:szCs w:val="22"/>
            </w:rPr>
          </w:pPr>
          <w:r>
            <w:fldChar w:fldCharType="begin"/>
          </w:r>
          <w:r w:rsidR="00B64020">
            <w:instrText xml:space="preserve"> TOC \o "1-3" \h \z \u </w:instrText>
          </w:r>
          <w:r>
            <w:fldChar w:fldCharType="separate"/>
          </w:r>
          <w:hyperlink w:anchor="_Toc444614013" w:history="1">
            <w:r w:rsidR="00656BBF" w:rsidRPr="00BF6541">
              <w:rPr>
                <w:rStyle w:val="Lienhypertexte"/>
                <w:noProof/>
              </w:rPr>
              <w:t>1.</w:t>
            </w:r>
            <w:r w:rsidR="00656BBF">
              <w:rPr>
                <w:rFonts w:eastAsiaTheme="minorEastAsia" w:cstheme="minorBidi"/>
                <w:b w:val="0"/>
                <w:bCs w:val="0"/>
                <w:i w:val="0"/>
                <w:iCs w:val="0"/>
                <w:noProof/>
                <w:sz w:val="22"/>
                <w:szCs w:val="22"/>
              </w:rPr>
              <w:tab/>
            </w:r>
            <w:r w:rsidR="00656BBF" w:rsidRPr="00BF6541">
              <w:rPr>
                <w:rStyle w:val="Lienhypertexte"/>
                <w:noProof/>
              </w:rPr>
              <w:t>INTRODUCTION ET SITUATION ECONOMIQUE</w:t>
            </w:r>
            <w:r w:rsidR="00656BBF">
              <w:rPr>
                <w:noProof/>
                <w:webHidden/>
              </w:rPr>
              <w:tab/>
            </w:r>
            <w:r>
              <w:rPr>
                <w:noProof/>
                <w:webHidden/>
              </w:rPr>
              <w:fldChar w:fldCharType="begin"/>
            </w:r>
            <w:r w:rsidR="00656BBF">
              <w:rPr>
                <w:noProof/>
                <w:webHidden/>
              </w:rPr>
              <w:instrText xml:space="preserve"> PAGEREF _Toc444614013 \h </w:instrText>
            </w:r>
            <w:r>
              <w:rPr>
                <w:noProof/>
                <w:webHidden/>
              </w:rPr>
            </w:r>
            <w:r>
              <w:rPr>
                <w:noProof/>
                <w:webHidden/>
              </w:rPr>
              <w:fldChar w:fldCharType="separate"/>
            </w:r>
            <w:r w:rsidR="00656BBF">
              <w:rPr>
                <w:noProof/>
                <w:webHidden/>
              </w:rPr>
              <w:t>3</w:t>
            </w:r>
            <w:r>
              <w:rPr>
                <w:noProof/>
                <w:webHidden/>
              </w:rPr>
              <w:fldChar w:fldCharType="end"/>
            </w:r>
          </w:hyperlink>
        </w:p>
        <w:p w:rsidR="00656BBF" w:rsidRDefault="00805F1A">
          <w:pPr>
            <w:pStyle w:val="TM2"/>
            <w:rPr>
              <w:rFonts w:eastAsiaTheme="minorEastAsia" w:cstheme="minorBidi"/>
              <w:b w:val="0"/>
              <w:bCs w:val="0"/>
              <w:noProof/>
            </w:rPr>
          </w:pPr>
          <w:hyperlink w:anchor="_Toc444614014" w:history="1">
            <w:r w:rsidR="00656BBF" w:rsidRPr="00BF6541">
              <w:rPr>
                <w:rStyle w:val="Lienhypertexte"/>
                <w:noProof/>
              </w:rPr>
              <w:t>1.1.</w:t>
            </w:r>
            <w:r w:rsidR="00656BBF" w:rsidRPr="00BF6541">
              <w:rPr>
                <w:rStyle w:val="Lienhypertexte"/>
                <w:rFonts w:cstheme="minorHAnsi"/>
                <w:noProof/>
              </w:rPr>
              <w:t xml:space="preserve"> Environnement extérieur</w:t>
            </w:r>
            <w:r w:rsidR="00656BBF">
              <w:rPr>
                <w:noProof/>
                <w:webHidden/>
              </w:rPr>
              <w:tab/>
            </w:r>
            <w:r w:rsidR="00AD7D99">
              <w:rPr>
                <w:noProof/>
                <w:webHidden/>
              </w:rPr>
              <w:fldChar w:fldCharType="begin"/>
            </w:r>
            <w:r w:rsidR="00656BBF">
              <w:rPr>
                <w:noProof/>
                <w:webHidden/>
              </w:rPr>
              <w:instrText xml:space="preserve"> PAGEREF _Toc444614014 \h </w:instrText>
            </w:r>
            <w:r w:rsidR="00AD7D99">
              <w:rPr>
                <w:noProof/>
                <w:webHidden/>
              </w:rPr>
            </w:r>
            <w:r w:rsidR="00AD7D99">
              <w:rPr>
                <w:noProof/>
                <w:webHidden/>
              </w:rPr>
              <w:fldChar w:fldCharType="separate"/>
            </w:r>
            <w:r w:rsidR="00656BBF">
              <w:rPr>
                <w:noProof/>
                <w:webHidden/>
              </w:rPr>
              <w:t>3</w:t>
            </w:r>
            <w:r w:rsidR="00AD7D99">
              <w:rPr>
                <w:noProof/>
                <w:webHidden/>
              </w:rPr>
              <w:fldChar w:fldCharType="end"/>
            </w:r>
          </w:hyperlink>
        </w:p>
        <w:p w:rsidR="00656BBF" w:rsidRDefault="00805F1A">
          <w:pPr>
            <w:pStyle w:val="TM2"/>
            <w:rPr>
              <w:rFonts w:eastAsiaTheme="minorEastAsia" w:cstheme="minorBidi"/>
              <w:b w:val="0"/>
              <w:bCs w:val="0"/>
              <w:noProof/>
            </w:rPr>
          </w:pPr>
          <w:hyperlink w:anchor="_Toc444614015" w:history="1">
            <w:r w:rsidR="00656BBF" w:rsidRPr="00BF6541">
              <w:rPr>
                <w:rStyle w:val="Lienhypertexte"/>
                <w:noProof/>
              </w:rPr>
              <w:t>1.2.</w:t>
            </w:r>
            <w:r w:rsidR="00656BBF" w:rsidRPr="00BF6541">
              <w:rPr>
                <w:rStyle w:val="Lienhypertexte"/>
                <w:rFonts w:cstheme="minorHAnsi"/>
                <w:noProof/>
              </w:rPr>
              <w:t xml:space="preserve"> Situation économique de l’UEMOA</w:t>
            </w:r>
            <w:r w:rsidR="00656BBF">
              <w:rPr>
                <w:noProof/>
                <w:webHidden/>
              </w:rPr>
              <w:tab/>
            </w:r>
            <w:r w:rsidR="00AD7D99">
              <w:rPr>
                <w:noProof/>
                <w:webHidden/>
              </w:rPr>
              <w:fldChar w:fldCharType="begin"/>
            </w:r>
            <w:r w:rsidR="00656BBF">
              <w:rPr>
                <w:noProof/>
                <w:webHidden/>
              </w:rPr>
              <w:instrText xml:space="preserve"> PAGEREF _Toc444614015 \h </w:instrText>
            </w:r>
            <w:r w:rsidR="00AD7D99">
              <w:rPr>
                <w:noProof/>
                <w:webHidden/>
              </w:rPr>
            </w:r>
            <w:r w:rsidR="00AD7D99">
              <w:rPr>
                <w:noProof/>
                <w:webHidden/>
              </w:rPr>
              <w:fldChar w:fldCharType="separate"/>
            </w:r>
            <w:r w:rsidR="00656BBF">
              <w:rPr>
                <w:noProof/>
                <w:webHidden/>
              </w:rPr>
              <w:t>6</w:t>
            </w:r>
            <w:r w:rsidR="00AD7D99">
              <w:rPr>
                <w:noProof/>
                <w:webHidden/>
              </w:rPr>
              <w:fldChar w:fldCharType="end"/>
            </w:r>
          </w:hyperlink>
        </w:p>
        <w:p w:rsidR="00656BBF" w:rsidRDefault="00805F1A">
          <w:pPr>
            <w:pStyle w:val="TM2"/>
            <w:rPr>
              <w:rFonts w:eastAsiaTheme="minorEastAsia" w:cstheme="minorBidi"/>
              <w:b w:val="0"/>
              <w:bCs w:val="0"/>
              <w:noProof/>
            </w:rPr>
          </w:pPr>
          <w:hyperlink w:anchor="_Toc444614016" w:history="1">
            <w:r w:rsidR="00656BBF" w:rsidRPr="0034701E">
              <w:rPr>
                <w:rStyle w:val="Lienhypertexte"/>
                <w:noProof/>
              </w:rPr>
              <w:t>1.3.</w:t>
            </w:r>
            <w:r w:rsidR="00656BBF" w:rsidRPr="0034701E">
              <w:rPr>
                <w:rStyle w:val="Lienhypertexte"/>
                <w:rFonts w:cstheme="minorHAnsi"/>
                <w:noProof/>
              </w:rPr>
              <w:t xml:space="preserve"> Situation économique dans la CEMAC</w:t>
            </w:r>
            <w:r w:rsidR="00656BBF">
              <w:rPr>
                <w:noProof/>
                <w:webHidden/>
              </w:rPr>
              <w:tab/>
            </w:r>
            <w:r w:rsidR="00AD7D99">
              <w:rPr>
                <w:noProof/>
                <w:webHidden/>
              </w:rPr>
              <w:fldChar w:fldCharType="begin"/>
            </w:r>
            <w:r w:rsidR="00656BBF">
              <w:rPr>
                <w:noProof/>
                <w:webHidden/>
              </w:rPr>
              <w:instrText xml:space="preserve"> PAGEREF _Toc444614016 \h </w:instrText>
            </w:r>
            <w:r w:rsidR="00AD7D99">
              <w:rPr>
                <w:noProof/>
                <w:webHidden/>
              </w:rPr>
            </w:r>
            <w:r w:rsidR="00AD7D99">
              <w:rPr>
                <w:noProof/>
                <w:webHidden/>
              </w:rPr>
              <w:fldChar w:fldCharType="separate"/>
            </w:r>
            <w:r w:rsidR="00656BBF">
              <w:rPr>
                <w:noProof/>
                <w:webHidden/>
              </w:rPr>
              <w:t>12</w:t>
            </w:r>
            <w:r w:rsidR="00AD7D99">
              <w:rPr>
                <w:noProof/>
                <w:webHidden/>
              </w:rPr>
              <w:fldChar w:fldCharType="end"/>
            </w:r>
          </w:hyperlink>
        </w:p>
        <w:p w:rsidR="00656BBF" w:rsidRDefault="00805F1A">
          <w:pPr>
            <w:pStyle w:val="TM2"/>
            <w:rPr>
              <w:rFonts w:eastAsiaTheme="minorEastAsia" w:cstheme="minorBidi"/>
              <w:b w:val="0"/>
              <w:bCs w:val="0"/>
              <w:noProof/>
            </w:rPr>
          </w:pPr>
          <w:hyperlink w:anchor="_Toc444614017" w:history="1">
            <w:r w:rsidR="00656BBF" w:rsidRPr="00BF6541">
              <w:rPr>
                <w:rStyle w:val="Lienhypertexte"/>
                <w:noProof/>
              </w:rPr>
              <w:t>1.4.</w:t>
            </w:r>
            <w:r w:rsidR="00656BBF" w:rsidRPr="00BF6541">
              <w:rPr>
                <w:rStyle w:val="Lienhypertexte"/>
                <w:rFonts w:cstheme="minorHAnsi"/>
                <w:noProof/>
              </w:rPr>
              <w:t xml:space="preserve"> Situation économique aux Comores</w:t>
            </w:r>
            <w:r w:rsidR="00656BBF">
              <w:rPr>
                <w:noProof/>
                <w:webHidden/>
              </w:rPr>
              <w:tab/>
            </w:r>
            <w:r w:rsidR="00AD7D99">
              <w:rPr>
                <w:noProof/>
                <w:webHidden/>
              </w:rPr>
              <w:fldChar w:fldCharType="begin"/>
            </w:r>
            <w:r w:rsidR="00656BBF">
              <w:rPr>
                <w:noProof/>
                <w:webHidden/>
              </w:rPr>
              <w:instrText xml:space="preserve"> PAGEREF _Toc444614017 \h </w:instrText>
            </w:r>
            <w:r w:rsidR="00AD7D99">
              <w:rPr>
                <w:noProof/>
                <w:webHidden/>
              </w:rPr>
            </w:r>
            <w:r w:rsidR="00AD7D99">
              <w:rPr>
                <w:noProof/>
                <w:webHidden/>
              </w:rPr>
              <w:fldChar w:fldCharType="separate"/>
            </w:r>
            <w:r w:rsidR="00656BBF">
              <w:rPr>
                <w:noProof/>
                <w:webHidden/>
              </w:rPr>
              <w:t>12</w:t>
            </w:r>
            <w:r w:rsidR="00AD7D99">
              <w:rPr>
                <w:noProof/>
                <w:webHidden/>
              </w:rPr>
              <w:fldChar w:fldCharType="end"/>
            </w:r>
          </w:hyperlink>
        </w:p>
        <w:p w:rsidR="00656BBF" w:rsidRDefault="00805F1A">
          <w:pPr>
            <w:pStyle w:val="TM1"/>
            <w:tabs>
              <w:tab w:val="left" w:pos="708"/>
            </w:tabs>
            <w:rPr>
              <w:rFonts w:eastAsiaTheme="minorEastAsia" w:cstheme="minorBidi"/>
              <w:b w:val="0"/>
              <w:bCs w:val="0"/>
              <w:i w:val="0"/>
              <w:iCs w:val="0"/>
              <w:noProof/>
              <w:sz w:val="22"/>
              <w:szCs w:val="22"/>
            </w:rPr>
          </w:pPr>
          <w:hyperlink w:anchor="_Toc444614018" w:history="1">
            <w:r w:rsidR="00656BBF" w:rsidRPr="00BF6541">
              <w:rPr>
                <w:rStyle w:val="Lienhypertexte"/>
                <w:noProof/>
              </w:rPr>
              <w:t>2.</w:t>
            </w:r>
            <w:r w:rsidR="00656BBF">
              <w:rPr>
                <w:rFonts w:eastAsiaTheme="minorEastAsia" w:cstheme="minorBidi"/>
                <w:b w:val="0"/>
                <w:bCs w:val="0"/>
                <w:i w:val="0"/>
                <w:iCs w:val="0"/>
                <w:noProof/>
                <w:sz w:val="22"/>
                <w:szCs w:val="22"/>
              </w:rPr>
              <w:tab/>
            </w:r>
            <w:r w:rsidR="00656BBF" w:rsidRPr="00BF6541">
              <w:rPr>
                <w:rStyle w:val="Lienhypertexte"/>
                <w:noProof/>
              </w:rPr>
              <w:t>ÉTAT DE LA CONVERGENCE EN 2015 ET PERSPECTIVES POUR 2016</w:t>
            </w:r>
            <w:r w:rsidR="00656BBF">
              <w:rPr>
                <w:noProof/>
                <w:webHidden/>
              </w:rPr>
              <w:tab/>
            </w:r>
            <w:r w:rsidR="00AD7D99">
              <w:rPr>
                <w:noProof/>
                <w:webHidden/>
              </w:rPr>
              <w:fldChar w:fldCharType="begin"/>
            </w:r>
            <w:r w:rsidR="00656BBF">
              <w:rPr>
                <w:noProof/>
                <w:webHidden/>
              </w:rPr>
              <w:instrText xml:space="preserve"> PAGEREF _Toc444614018 \h </w:instrText>
            </w:r>
            <w:r w:rsidR="00AD7D99">
              <w:rPr>
                <w:noProof/>
                <w:webHidden/>
              </w:rPr>
            </w:r>
            <w:r w:rsidR="00AD7D99">
              <w:rPr>
                <w:noProof/>
                <w:webHidden/>
              </w:rPr>
              <w:fldChar w:fldCharType="separate"/>
            </w:r>
            <w:r w:rsidR="00656BBF">
              <w:rPr>
                <w:noProof/>
                <w:webHidden/>
              </w:rPr>
              <w:t>16</w:t>
            </w:r>
            <w:r w:rsidR="00AD7D99">
              <w:rPr>
                <w:noProof/>
                <w:webHidden/>
              </w:rPr>
              <w:fldChar w:fldCharType="end"/>
            </w:r>
          </w:hyperlink>
        </w:p>
        <w:p w:rsidR="00656BBF" w:rsidRDefault="00805F1A">
          <w:pPr>
            <w:pStyle w:val="TM2"/>
            <w:tabs>
              <w:tab w:val="left" w:pos="1100"/>
            </w:tabs>
            <w:rPr>
              <w:rFonts w:eastAsiaTheme="minorEastAsia" w:cstheme="minorBidi"/>
              <w:b w:val="0"/>
              <w:bCs w:val="0"/>
              <w:noProof/>
            </w:rPr>
          </w:pPr>
          <w:hyperlink w:anchor="_Toc444614019" w:history="1">
            <w:r w:rsidR="00656BBF" w:rsidRPr="00BF6541">
              <w:rPr>
                <w:rStyle w:val="Lienhypertexte"/>
                <w:rFonts w:ascii="Symbol" w:hAnsi="Symbol" w:cstheme="minorHAnsi"/>
                <w:noProof/>
              </w:rPr>
              <w:t></w:t>
            </w:r>
            <w:r w:rsidR="00656BBF">
              <w:rPr>
                <w:rFonts w:eastAsiaTheme="minorEastAsia" w:cstheme="minorBidi"/>
                <w:b w:val="0"/>
                <w:bCs w:val="0"/>
                <w:noProof/>
              </w:rPr>
              <w:tab/>
            </w:r>
            <w:r w:rsidR="00656BBF" w:rsidRPr="00BF6541">
              <w:rPr>
                <w:rStyle w:val="Lienhypertexte"/>
                <w:rFonts w:cstheme="minorHAnsi"/>
                <w:noProof/>
              </w:rPr>
              <w:t>le taux d’inflation moyen est estimé à 1,3% contre des taux de 1,5% en 2014 et de 1,6% en 2013 (norme &lt;= 3%) ;</w:t>
            </w:r>
            <w:r w:rsidR="00656BBF">
              <w:rPr>
                <w:noProof/>
                <w:webHidden/>
              </w:rPr>
              <w:tab/>
            </w:r>
            <w:r w:rsidR="00AD7D99">
              <w:rPr>
                <w:noProof/>
                <w:webHidden/>
              </w:rPr>
              <w:fldChar w:fldCharType="begin"/>
            </w:r>
            <w:r w:rsidR="00656BBF">
              <w:rPr>
                <w:noProof/>
                <w:webHidden/>
              </w:rPr>
              <w:instrText xml:space="preserve"> PAGEREF _Toc444614019 \h </w:instrText>
            </w:r>
            <w:r w:rsidR="00AD7D99">
              <w:rPr>
                <w:noProof/>
                <w:webHidden/>
              </w:rPr>
            </w:r>
            <w:r w:rsidR="00AD7D99">
              <w:rPr>
                <w:noProof/>
                <w:webHidden/>
              </w:rPr>
              <w:fldChar w:fldCharType="separate"/>
            </w:r>
            <w:r w:rsidR="00656BBF">
              <w:rPr>
                <w:noProof/>
                <w:webHidden/>
              </w:rPr>
              <w:t>20</w:t>
            </w:r>
            <w:r w:rsidR="00AD7D99">
              <w:rPr>
                <w:noProof/>
                <w:webHidden/>
              </w:rPr>
              <w:fldChar w:fldCharType="end"/>
            </w:r>
          </w:hyperlink>
        </w:p>
        <w:p w:rsidR="00656BBF" w:rsidRDefault="00805F1A">
          <w:pPr>
            <w:pStyle w:val="TM2"/>
            <w:tabs>
              <w:tab w:val="left" w:pos="1100"/>
            </w:tabs>
            <w:rPr>
              <w:rFonts w:eastAsiaTheme="minorEastAsia" w:cstheme="minorBidi"/>
              <w:b w:val="0"/>
              <w:bCs w:val="0"/>
              <w:noProof/>
            </w:rPr>
          </w:pPr>
          <w:hyperlink w:anchor="_Toc444614020" w:history="1">
            <w:r w:rsidR="00656BBF" w:rsidRPr="00BF6541">
              <w:rPr>
                <w:rStyle w:val="Lienhypertexte"/>
                <w:rFonts w:ascii="Symbol" w:hAnsi="Symbol" w:cstheme="minorHAnsi"/>
                <w:noProof/>
              </w:rPr>
              <w:t></w:t>
            </w:r>
            <w:r w:rsidR="00656BBF">
              <w:rPr>
                <w:rFonts w:eastAsiaTheme="minorEastAsia" w:cstheme="minorBidi"/>
                <w:b w:val="0"/>
                <w:bCs w:val="0"/>
                <w:noProof/>
              </w:rPr>
              <w:tab/>
            </w:r>
            <w:r w:rsidR="00656BBF" w:rsidRPr="00BF6541">
              <w:rPr>
                <w:rStyle w:val="Lienhypertexte"/>
                <w:rFonts w:cstheme="minorHAnsi"/>
                <w:noProof/>
              </w:rPr>
              <w:t>l’encours de la dette publique représente 21,3% du PIB après 25,9% en 2014 et 26,3% en 2013 (norme&lt;=70%) ;</w:t>
            </w:r>
            <w:r w:rsidR="00656BBF">
              <w:rPr>
                <w:noProof/>
                <w:webHidden/>
              </w:rPr>
              <w:tab/>
            </w:r>
            <w:r w:rsidR="00AD7D99">
              <w:rPr>
                <w:noProof/>
                <w:webHidden/>
              </w:rPr>
              <w:fldChar w:fldCharType="begin"/>
            </w:r>
            <w:r w:rsidR="00656BBF">
              <w:rPr>
                <w:noProof/>
                <w:webHidden/>
              </w:rPr>
              <w:instrText xml:space="preserve"> PAGEREF _Toc444614020 \h </w:instrText>
            </w:r>
            <w:r w:rsidR="00AD7D99">
              <w:rPr>
                <w:noProof/>
                <w:webHidden/>
              </w:rPr>
            </w:r>
            <w:r w:rsidR="00AD7D99">
              <w:rPr>
                <w:noProof/>
                <w:webHidden/>
              </w:rPr>
              <w:fldChar w:fldCharType="separate"/>
            </w:r>
            <w:r w:rsidR="00656BBF">
              <w:rPr>
                <w:noProof/>
                <w:webHidden/>
              </w:rPr>
              <w:t>20</w:t>
            </w:r>
            <w:r w:rsidR="00AD7D99">
              <w:rPr>
                <w:noProof/>
                <w:webHidden/>
              </w:rPr>
              <w:fldChar w:fldCharType="end"/>
            </w:r>
          </w:hyperlink>
        </w:p>
        <w:p w:rsidR="00656BBF" w:rsidRDefault="00805F1A">
          <w:pPr>
            <w:pStyle w:val="TM2"/>
            <w:tabs>
              <w:tab w:val="left" w:pos="1100"/>
            </w:tabs>
            <w:rPr>
              <w:rFonts w:eastAsiaTheme="minorEastAsia" w:cstheme="minorBidi"/>
              <w:b w:val="0"/>
              <w:bCs w:val="0"/>
              <w:noProof/>
            </w:rPr>
          </w:pPr>
          <w:hyperlink w:anchor="_Toc444614021" w:history="1">
            <w:r w:rsidR="00656BBF" w:rsidRPr="00BF6541">
              <w:rPr>
                <w:rStyle w:val="Lienhypertexte"/>
                <w:rFonts w:ascii="Symbol" w:hAnsi="Symbol" w:cstheme="minorHAnsi"/>
                <w:noProof/>
              </w:rPr>
              <w:t></w:t>
            </w:r>
            <w:r w:rsidR="00656BBF">
              <w:rPr>
                <w:rFonts w:eastAsiaTheme="minorEastAsia" w:cstheme="minorBidi"/>
                <w:b w:val="0"/>
                <w:bCs w:val="0"/>
                <w:noProof/>
              </w:rPr>
              <w:tab/>
            </w:r>
            <w:r w:rsidR="00656BBF" w:rsidRPr="00BF6541">
              <w:rPr>
                <w:rStyle w:val="Lienhypertexte"/>
                <w:rFonts w:cstheme="minorHAnsi"/>
                <w:noProof/>
              </w:rPr>
              <w:t>aucune accumulation d’arriérés n’a été enregistrée en fin d’année.</w:t>
            </w:r>
            <w:r w:rsidR="00656BBF">
              <w:rPr>
                <w:noProof/>
                <w:webHidden/>
              </w:rPr>
              <w:tab/>
            </w:r>
            <w:r w:rsidR="00AD7D99">
              <w:rPr>
                <w:noProof/>
                <w:webHidden/>
              </w:rPr>
              <w:fldChar w:fldCharType="begin"/>
            </w:r>
            <w:r w:rsidR="00656BBF">
              <w:rPr>
                <w:noProof/>
                <w:webHidden/>
              </w:rPr>
              <w:instrText xml:space="preserve"> PAGEREF _Toc444614021 \h </w:instrText>
            </w:r>
            <w:r w:rsidR="00AD7D99">
              <w:rPr>
                <w:noProof/>
                <w:webHidden/>
              </w:rPr>
            </w:r>
            <w:r w:rsidR="00AD7D99">
              <w:rPr>
                <w:noProof/>
                <w:webHidden/>
              </w:rPr>
              <w:fldChar w:fldCharType="separate"/>
            </w:r>
            <w:r w:rsidR="00656BBF">
              <w:rPr>
                <w:noProof/>
                <w:webHidden/>
              </w:rPr>
              <w:t>20</w:t>
            </w:r>
            <w:r w:rsidR="00AD7D99">
              <w:rPr>
                <w:noProof/>
                <w:webHidden/>
              </w:rPr>
              <w:fldChar w:fldCharType="end"/>
            </w:r>
          </w:hyperlink>
        </w:p>
        <w:p w:rsidR="00656BBF" w:rsidRDefault="00805F1A">
          <w:pPr>
            <w:pStyle w:val="TM2"/>
            <w:rPr>
              <w:rFonts w:eastAsiaTheme="minorEastAsia" w:cstheme="minorBidi"/>
              <w:b w:val="0"/>
              <w:bCs w:val="0"/>
              <w:noProof/>
            </w:rPr>
          </w:pPr>
          <w:hyperlink w:anchor="_Toc444614022" w:history="1">
            <w:r w:rsidR="00656BBF" w:rsidRPr="00BF6541">
              <w:rPr>
                <w:rStyle w:val="Lienhypertexte"/>
                <w:rFonts w:cstheme="minorHAnsi"/>
                <w:i/>
                <w:noProof/>
              </w:rPr>
              <w:t>Les autres critères</w:t>
            </w:r>
            <w:r w:rsidR="00656BBF">
              <w:rPr>
                <w:noProof/>
                <w:webHidden/>
              </w:rPr>
              <w:tab/>
            </w:r>
            <w:r w:rsidR="00AD7D99">
              <w:rPr>
                <w:noProof/>
                <w:webHidden/>
              </w:rPr>
              <w:fldChar w:fldCharType="begin"/>
            </w:r>
            <w:r w:rsidR="00656BBF">
              <w:rPr>
                <w:noProof/>
                <w:webHidden/>
              </w:rPr>
              <w:instrText xml:space="preserve"> PAGEREF _Toc444614022 \h </w:instrText>
            </w:r>
            <w:r w:rsidR="00AD7D99">
              <w:rPr>
                <w:noProof/>
                <w:webHidden/>
              </w:rPr>
            </w:r>
            <w:r w:rsidR="00AD7D99">
              <w:rPr>
                <w:noProof/>
                <w:webHidden/>
              </w:rPr>
              <w:fldChar w:fldCharType="separate"/>
            </w:r>
            <w:r w:rsidR="00656BBF">
              <w:rPr>
                <w:noProof/>
                <w:webHidden/>
              </w:rPr>
              <w:t>20</w:t>
            </w:r>
            <w:r w:rsidR="00AD7D99">
              <w:rPr>
                <w:noProof/>
                <w:webHidden/>
              </w:rPr>
              <w:fldChar w:fldCharType="end"/>
            </w:r>
          </w:hyperlink>
        </w:p>
        <w:p w:rsidR="00656BBF" w:rsidRDefault="00805F1A">
          <w:pPr>
            <w:pStyle w:val="TM1"/>
            <w:tabs>
              <w:tab w:val="left" w:pos="708"/>
            </w:tabs>
            <w:rPr>
              <w:rFonts w:eastAsiaTheme="minorEastAsia" w:cstheme="minorBidi"/>
              <w:b w:val="0"/>
              <w:bCs w:val="0"/>
              <w:i w:val="0"/>
              <w:iCs w:val="0"/>
              <w:noProof/>
              <w:sz w:val="22"/>
              <w:szCs w:val="22"/>
            </w:rPr>
          </w:pPr>
          <w:hyperlink w:anchor="_Toc444614023" w:history="1">
            <w:r w:rsidR="00656BBF" w:rsidRPr="00BF6541">
              <w:rPr>
                <w:rStyle w:val="Lienhypertexte"/>
                <w:noProof/>
                <w:lang w:eastAsia="en-US" w:bidi="en-US"/>
              </w:rPr>
              <w:t>3.</w:t>
            </w:r>
            <w:r w:rsidR="00656BBF">
              <w:rPr>
                <w:rFonts w:eastAsiaTheme="minorEastAsia" w:cstheme="minorBidi"/>
                <w:b w:val="0"/>
                <w:bCs w:val="0"/>
                <w:i w:val="0"/>
                <w:iCs w:val="0"/>
                <w:noProof/>
                <w:sz w:val="22"/>
                <w:szCs w:val="22"/>
              </w:rPr>
              <w:tab/>
            </w:r>
            <w:r w:rsidR="00656BBF" w:rsidRPr="00BF6541">
              <w:rPr>
                <w:rStyle w:val="Lienhypertexte"/>
                <w:noProof/>
                <w:lang w:eastAsia="en-US" w:bidi="en-US"/>
              </w:rPr>
              <w:t>CONCLUSIONS ET RECOMMANDATIONS DE POLITIQUE ECONOMIQUE</w:t>
            </w:r>
            <w:r w:rsidR="00656BBF">
              <w:rPr>
                <w:noProof/>
                <w:webHidden/>
              </w:rPr>
              <w:tab/>
            </w:r>
            <w:r w:rsidR="00AD7D99">
              <w:rPr>
                <w:noProof/>
                <w:webHidden/>
              </w:rPr>
              <w:fldChar w:fldCharType="begin"/>
            </w:r>
            <w:r w:rsidR="00656BBF">
              <w:rPr>
                <w:noProof/>
                <w:webHidden/>
              </w:rPr>
              <w:instrText xml:space="preserve"> PAGEREF _Toc444614023 \h </w:instrText>
            </w:r>
            <w:r w:rsidR="00AD7D99">
              <w:rPr>
                <w:noProof/>
                <w:webHidden/>
              </w:rPr>
            </w:r>
            <w:r w:rsidR="00AD7D99">
              <w:rPr>
                <w:noProof/>
                <w:webHidden/>
              </w:rPr>
              <w:fldChar w:fldCharType="separate"/>
            </w:r>
            <w:r w:rsidR="00656BBF">
              <w:rPr>
                <w:noProof/>
                <w:webHidden/>
              </w:rPr>
              <w:t>21</w:t>
            </w:r>
            <w:r w:rsidR="00AD7D99">
              <w:rPr>
                <w:noProof/>
                <w:webHidden/>
              </w:rPr>
              <w:fldChar w:fldCharType="end"/>
            </w:r>
          </w:hyperlink>
        </w:p>
        <w:p w:rsidR="00656BBF" w:rsidRDefault="00805F1A">
          <w:pPr>
            <w:pStyle w:val="TM1"/>
            <w:rPr>
              <w:rFonts w:eastAsiaTheme="minorEastAsia" w:cstheme="minorBidi"/>
              <w:b w:val="0"/>
              <w:bCs w:val="0"/>
              <w:i w:val="0"/>
              <w:iCs w:val="0"/>
              <w:noProof/>
              <w:sz w:val="22"/>
              <w:szCs w:val="22"/>
            </w:rPr>
          </w:pPr>
          <w:hyperlink w:anchor="_Toc444614024" w:history="1">
            <w:r w:rsidR="00656BBF" w:rsidRPr="00BF6541">
              <w:rPr>
                <w:rStyle w:val="Lienhypertexte"/>
                <w:noProof/>
              </w:rPr>
              <w:t>ANNEXE 1 : Évolution des critères de convergence</w:t>
            </w:r>
            <w:r w:rsidR="00656BBF">
              <w:rPr>
                <w:noProof/>
                <w:webHidden/>
              </w:rPr>
              <w:tab/>
            </w:r>
            <w:r w:rsidR="00AD7D99">
              <w:rPr>
                <w:noProof/>
                <w:webHidden/>
              </w:rPr>
              <w:fldChar w:fldCharType="begin"/>
            </w:r>
            <w:r w:rsidR="00656BBF">
              <w:rPr>
                <w:noProof/>
                <w:webHidden/>
              </w:rPr>
              <w:instrText xml:space="preserve"> PAGEREF _Toc444614024 \h </w:instrText>
            </w:r>
            <w:r w:rsidR="00AD7D99">
              <w:rPr>
                <w:noProof/>
                <w:webHidden/>
              </w:rPr>
            </w:r>
            <w:r w:rsidR="00AD7D99">
              <w:rPr>
                <w:noProof/>
                <w:webHidden/>
              </w:rPr>
              <w:fldChar w:fldCharType="separate"/>
            </w:r>
            <w:r w:rsidR="00656BBF">
              <w:rPr>
                <w:noProof/>
                <w:webHidden/>
              </w:rPr>
              <w:t>23</w:t>
            </w:r>
            <w:r w:rsidR="00AD7D99">
              <w:rPr>
                <w:noProof/>
                <w:webHidden/>
              </w:rPr>
              <w:fldChar w:fldCharType="end"/>
            </w:r>
          </w:hyperlink>
        </w:p>
        <w:p w:rsidR="00656BBF" w:rsidRDefault="00805F1A">
          <w:pPr>
            <w:pStyle w:val="TM1"/>
            <w:rPr>
              <w:rFonts w:eastAsiaTheme="minorEastAsia" w:cstheme="minorBidi"/>
              <w:b w:val="0"/>
              <w:bCs w:val="0"/>
              <w:i w:val="0"/>
              <w:iCs w:val="0"/>
              <w:noProof/>
              <w:sz w:val="22"/>
              <w:szCs w:val="22"/>
            </w:rPr>
          </w:pPr>
          <w:hyperlink w:anchor="_Toc444614025" w:history="1">
            <w:r w:rsidR="00656BBF" w:rsidRPr="00BF6541">
              <w:rPr>
                <w:rStyle w:val="Lienhypertexte"/>
                <w:noProof/>
              </w:rPr>
              <w:t>ANNEXE 2 : La situation économique et financière des pays membres de l’UEMOA</w:t>
            </w:r>
            <w:r w:rsidR="00656BBF">
              <w:rPr>
                <w:noProof/>
                <w:webHidden/>
              </w:rPr>
              <w:tab/>
            </w:r>
            <w:r w:rsidR="00AD7D99">
              <w:rPr>
                <w:noProof/>
                <w:webHidden/>
              </w:rPr>
              <w:fldChar w:fldCharType="begin"/>
            </w:r>
            <w:r w:rsidR="00656BBF">
              <w:rPr>
                <w:noProof/>
                <w:webHidden/>
              </w:rPr>
              <w:instrText xml:space="preserve"> PAGEREF _Toc444614025 \h </w:instrText>
            </w:r>
            <w:r w:rsidR="00AD7D99">
              <w:rPr>
                <w:noProof/>
                <w:webHidden/>
              </w:rPr>
            </w:r>
            <w:r w:rsidR="00AD7D99">
              <w:rPr>
                <w:noProof/>
                <w:webHidden/>
              </w:rPr>
              <w:fldChar w:fldCharType="separate"/>
            </w:r>
            <w:r w:rsidR="00656BBF">
              <w:rPr>
                <w:noProof/>
                <w:webHidden/>
              </w:rPr>
              <w:t>26</w:t>
            </w:r>
            <w:r w:rsidR="00AD7D99">
              <w:rPr>
                <w:noProof/>
                <w:webHidden/>
              </w:rPr>
              <w:fldChar w:fldCharType="end"/>
            </w:r>
          </w:hyperlink>
        </w:p>
        <w:p w:rsidR="00656BBF" w:rsidRDefault="00805F1A">
          <w:pPr>
            <w:pStyle w:val="TM1"/>
            <w:rPr>
              <w:rFonts w:eastAsiaTheme="minorEastAsia" w:cstheme="minorBidi"/>
              <w:b w:val="0"/>
              <w:bCs w:val="0"/>
              <w:i w:val="0"/>
              <w:iCs w:val="0"/>
              <w:noProof/>
              <w:sz w:val="22"/>
              <w:szCs w:val="22"/>
            </w:rPr>
          </w:pPr>
          <w:hyperlink w:anchor="_Toc444614026" w:history="1">
            <w:r w:rsidR="00656BBF" w:rsidRPr="00BF6541">
              <w:rPr>
                <w:rStyle w:val="Lienhypertexte"/>
                <w:noProof/>
              </w:rPr>
              <w:t>ANNEXE 3 : La situation économique et financière des pays membres de la CEMAC</w:t>
            </w:r>
            <w:r w:rsidR="00656BBF">
              <w:rPr>
                <w:noProof/>
                <w:webHidden/>
              </w:rPr>
              <w:tab/>
            </w:r>
            <w:r w:rsidR="00AD7D99">
              <w:rPr>
                <w:noProof/>
                <w:webHidden/>
              </w:rPr>
              <w:fldChar w:fldCharType="begin"/>
            </w:r>
            <w:r w:rsidR="00656BBF">
              <w:rPr>
                <w:noProof/>
                <w:webHidden/>
              </w:rPr>
              <w:instrText xml:space="preserve"> PAGEREF _Toc444614026 \h </w:instrText>
            </w:r>
            <w:r w:rsidR="00AD7D99">
              <w:rPr>
                <w:noProof/>
                <w:webHidden/>
              </w:rPr>
            </w:r>
            <w:r w:rsidR="00AD7D99">
              <w:rPr>
                <w:noProof/>
                <w:webHidden/>
              </w:rPr>
              <w:fldChar w:fldCharType="separate"/>
            </w:r>
            <w:r w:rsidR="00656BBF">
              <w:rPr>
                <w:noProof/>
                <w:webHidden/>
              </w:rPr>
              <w:t>36</w:t>
            </w:r>
            <w:r w:rsidR="00AD7D99">
              <w:rPr>
                <w:noProof/>
                <w:webHidden/>
              </w:rPr>
              <w:fldChar w:fldCharType="end"/>
            </w:r>
          </w:hyperlink>
        </w:p>
        <w:p w:rsidR="00656BBF" w:rsidRDefault="00805F1A">
          <w:pPr>
            <w:pStyle w:val="TM1"/>
            <w:rPr>
              <w:rFonts w:eastAsiaTheme="minorEastAsia" w:cstheme="minorBidi"/>
              <w:b w:val="0"/>
              <w:bCs w:val="0"/>
              <w:i w:val="0"/>
              <w:iCs w:val="0"/>
              <w:noProof/>
              <w:sz w:val="22"/>
              <w:szCs w:val="22"/>
            </w:rPr>
          </w:pPr>
          <w:hyperlink w:anchor="_Toc444614027" w:history="1">
            <w:r w:rsidR="00656BBF" w:rsidRPr="00BF6541">
              <w:rPr>
                <w:rStyle w:val="Lienhypertexte"/>
                <w:noProof/>
              </w:rPr>
              <w:t>ANNEXE 4 : La situation économique et financière des Comores</w:t>
            </w:r>
            <w:r w:rsidR="00656BBF">
              <w:rPr>
                <w:noProof/>
                <w:webHidden/>
              </w:rPr>
              <w:tab/>
            </w:r>
            <w:r w:rsidR="00AD7D99">
              <w:rPr>
                <w:noProof/>
                <w:webHidden/>
              </w:rPr>
              <w:fldChar w:fldCharType="begin"/>
            </w:r>
            <w:r w:rsidR="00656BBF">
              <w:rPr>
                <w:noProof/>
                <w:webHidden/>
              </w:rPr>
              <w:instrText xml:space="preserve"> PAGEREF _Toc444614027 \h </w:instrText>
            </w:r>
            <w:r w:rsidR="00AD7D99">
              <w:rPr>
                <w:noProof/>
                <w:webHidden/>
              </w:rPr>
            </w:r>
            <w:r w:rsidR="00AD7D99">
              <w:rPr>
                <w:noProof/>
                <w:webHidden/>
              </w:rPr>
              <w:fldChar w:fldCharType="separate"/>
            </w:r>
            <w:r w:rsidR="00656BBF">
              <w:rPr>
                <w:noProof/>
                <w:webHidden/>
              </w:rPr>
              <w:t>37</w:t>
            </w:r>
            <w:r w:rsidR="00AD7D99">
              <w:rPr>
                <w:noProof/>
                <w:webHidden/>
              </w:rPr>
              <w:fldChar w:fldCharType="end"/>
            </w:r>
          </w:hyperlink>
        </w:p>
        <w:p w:rsidR="00B64020" w:rsidRDefault="00AD7D99" w:rsidP="00235A3E">
          <w:pPr>
            <w:jc w:val="both"/>
          </w:pPr>
          <w:r>
            <w:fldChar w:fldCharType="end"/>
          </w:r>
        </w:p>
      </w:sdtContent>
    </w:sdt>
    <w:p w:rsidR="00C97495" w:rsidRDefault="00523FAF" w:rsidP="00AA1D7D">
      <w:r>
        <w:br w:type="page"/>
      </w:r>
    </w:p>
    <w:p w:rsidR="00E25029" w:rsidRPr="009040A0" w:rsidRDefault="00E25029" w:rsidP="00635191">
      <w:pPr>
        <w:pStyle w:val="RAPPORTCONVNOMT1"/>
      </w:pPr>
      <w:bookmarkStart w:id="5" w:name="_Toc444614013"/>
      <w:r w:rsidRPr="009040A0">
        <w:lastRenderedPageBreak/>
        <w:t>INTRODUCTION</w:t>
      </w:r>
      <w:bookmarkEnd w:id="1"/>
      <w:r w:rsidRPr="009040A0">
        <w:t xml:space="preserve"> ET SITUATION ECONOMIQUE</w:t>
      </w:r>
      <w:bookmarkEnd w:id="2"/>
      <w:bookmarkEnd w:id="3"/>
      <w:bookmarkEnd w:id="5"/>
    </w:p>
    <w:p w:rsidR="00BB7AC7" w:rsidRDefault="00BB7AC7" w:rsidP="00BE4353">
      <w:pPr>
        <w:spacing w:before="120" w:after="120"/>
        <w:jc w:val="both"/>
        <w:rPr>
          <w:rFonts w:ascii="Calibri" w:hAnsi="Calibri"/>
          <w:sz w:val="24"/>
          <w:szCs w:val="24"/>
        </w:rPr>
      </w:pPr>
    </w:p>
    <w:p w:rsidR="00BE4353" w:rsidRPr="00D77400" w:rsidRDefault="00BE4353" w:rsidP="00BE4353">
      <w:pPr>
        <w:spacing w:before="120" w:after="120"/>
        <w:jc w:val="both"/>
        <w:rPr>
          <w:rFonts w:ascii="Calibri" w:hAnsi="Calibri"/>
          <w:sz w:val="24"/>
          <w:szCs w:val="24"/>
        </w:rPr>
      </w:pPr>
      <w:r w:rsidRPr="00D77400">
        <w:rPr>
          <w:rFonts w:ascii="Calibri" w:hAnsi="Calibri"/>
          <w:sz w:val="24"/>
          <w:szCs w:val="24"/>
        </w:rPr>
        <w:t>Le Comité de convergence de la Zone franc est une structure de réflexion et de proposition créée lors de la réunion des Ministres des finances de la Zone franc en 1999 avec pour objectif principal le renforcement de la surveillance multilatérale dans cette zone.</w:t>
      </w:r>
    </w:p>
    <w:p w:rsidR="00BE4353" w:rsidRPr="00D77400" w:rsidRDefault="009040A0" w:rsidP="00BE4353">
      <w:pPr>
        <w:spacing w:before="120" w:after="120"/>
        <w:jc w:val="both"/>
        <w:rPr>
          <w:rFonts w:ascii="Calibri" w:hAnsi="Calibri"/>
          <w:sz w:val="24"/>
          <w:szCs w:val="24"/>
        </w:rPr>
      </w:pPr>
      <w:r w:rsidRPr="00D77400">
        <w:rPr>
          <w:rFonts w:ascii="Calibri" w:hAnsi="Calibri"/>
          <w:sz w:val="24"/>
          <w:szCs w:val="24"/>
        </w:rPr>
        <w:t>Il</w:t>
      </w:r>
      <w:r w:rsidR="00BE4353" w:rsidRPr="00D77400">
        <w:rPr>
          <w:rFonts w:ascii="Calibri" w:hAnsi="Calibri"/>
          <w:sz w:val="24"/>
          <w:szCs w:val="24"/>
        </w:rPr>
        <w:t xml:space="preserve"> a pour mission de rendre compte de l’évolution de la situation économique et monétaire de la Zone franc, de suivre le fonctionnement de la surveillance multilatérale dans chaque sous-région, de rendre compte des progrès réalisés en la matière et de formuler des recommandations propres à consolider ce processus.</w:t>
      </w:r>
    </w:p>
    <w:p w:rsidR="00BE4353" w:rsidRPr="00D77400" w:rsidRDefault="00BE4353" w:rsidP="00BE4353">
      <w:pPr>
        <w:spacing w:before="120" w:after="120"/>
        <w:jc w:val="both"/>
        <w:rPr>
          <w:rFonts w:ascii="Calibri" w:hAnsi="Calibri"/>
          <w:sz w:val="24"/>
          <w:szCs w:val="24"/>
        </w:rPr>
      </w:pPr>
      <w:r w:rsidRPr="00D77400">
        <w:rPr>
          <w:rFonts w:ascii="Calibri" w:hAnsi="Calibri"/>
          <w:sz w:val="24"/>
          <w:szCs w:val="24"/>
        </w:rPr>
        <w:t>Le Comité comprend quatre parties, à savoir l’UEMOA (Commission, BCEAO et BOAD), la CEMAC (Commission, BEAC et BDEAC), les Comores (Union des Comores et BCC) et la France (Direction Générale du Trésor et Banque de France). AFRISTAT apporte également son expertise au Comité.</w:t>
      </w:r>
    </w:p>
    <w:p w:rsidR="00BE4353" w:rsidRPr="00D77400" w:rsidRDefault="00BE4353" w:rsidP="00BE4353">
      <w:pPr>
        <w:spacing w:before="120" w:after="120"/>
        <w:jc w:val="both"/>
        <w:rPr>
          <w:rFonts w:ascii="Calibri" w:hAnsi="Calibri"/>
          <w:sz w:val="24"/>
          <w:szCs w:val="24"/>
        </w:rPr>
      </w:pPr>
      <w:r w:rsidRPr="00D77400">
        <w:rPr>
          <w:rFonts w:ascii="Calibri" w:hAnsi="Calibri"/>
          <w:sz w:val="24"/>
          <w:szCs w:val="24"/>
        </w:rPr>
        <w:t xml:space="preserve">Le Comité organise au moins une réunion semestrielle préparatoire à la réunion des Ministres des finances, présidée alternativement par la Commission de l’UEMOA et la Commission de la CEMAC. Le Secrétariat du Comité est assuré par la DG Trésor. </w:t>
      </w:r>
    </w:p>
    <w:p w:rsidR="00BE4353" w:rsidRPr="00D77400" w:rsidRDefault="00BE4353" w:rsidP="00BE4353">
      <w:pPr>
        <w:spacing w:before="120" w:after="120"/>
        <w:jc w:val="both"/>
        <w:rPr>
          <w:rFonts w:ascii="Calibri" w:hAnsi="Calibri"/>
          <w:sz w:val="24"/>
          <w:szCs w:val="24"/>
        </w:rPr>
      </w:pPr>
      <w:r w:rsidRPr="00D77400">
        <w:rPr>
          <w:rFonts w:ascii="Calibri" w:hAnsi="Calibri"/>
          <w:sz w:val="24"/>
          <w:szCs w:val="24"/>
        </w:rPr>
        <w:t xml:space="preserve">Depuis la mise en œuvre du Comité en 1999, celui-ci s’est acquitté de sa mission en présentant à chaque réunion des Ministres un rapport sur l’état de convergence de la Zone franc assorti de résolutions. Les analyses de ce rapport s'appuient sur les données chiffrées produites par les trois sous-régions et validées en Conseil des Ministres. </w:t>
      </w:r>
    </w:p>
    <w:p w:rsidR="00BE4353" w:rsidRPr="00D77400" w:rsidRDefault="00BE4353" w:rsidP="00BE4353">
      <w:pPr>
        <w:spacing w:before="120" w:after="120"/>
        <w:jc w:val="both"/>
        <w:rPr>
          <w:rFonts w:ascii="Calibri" w:hAnsi="Calibri"/>
          <w:sz w:val="24"/>
          <w:szCs w:val="24"/>
        </w:rPr>
      </w:pPr>
      <w:r w:rsidRPr="00D77400">
        <w:rPr>
          <w:rFonts w:ascii="Calibri" w:hAnsi="Calibri"/>
          <w:sz w:val="24"/>
          <w:szCs w:val="24"/>
        </w:rPr>
        <w:t>L'intérêt de ces travaux a amené les Ministres à décider, en septembre 2004, la publication du rapport du Comité, traduisant ainsi leur attachement au principe de transparence et au souci de partager l’expérience de la Zone franc en matière de surveillance réciproque des politiques économiques nationales, souci repris par les États africains dans le cadre du mécanisme de la revue par les pairs du NEPAD</w:t>
      </w:r>
      <w:r w:rsidR="009040A0" w:rsidRPr="00D77400">
        <w:rPr>
          <w:rFonts w:ascii="Calibri" w:hAnsi="Calibri"/>
          <w:sz w:val="24"/>
          <w:szCs w:val="24"/>
        </w:rPr>
        <w:t xml:space="preserve"> (Nouveau Partenariat pour le Développement de l’Afrique)</w:t>
      </w:r>
      <w:r w:rsidRPr="00D77400">
        <w:rPr>
          <w:rFonts w:ascii="Calibri" w:hAnsi="Calibri"/>
          <w:sz w:val="24"/>
          <w:szCs w:val="24"/>
        </w:rPr>
        <w:t>.</w:t>
      </w:r>
    </w:p>
    <w:p w:rsidR="00BE4353" w:rsidRPr="004C11A3" w:rsidRDefault="00BE4353" w:rsidP="00BE4353">
      <w:pPr>
        <w:spacing w:before="120" w:after="120"/>
        <w:ind w:right="-1"/>
        <w:jc w:val="both"/>
        <w:rPr>
          <w:rFonts w:ascii="Calibri" w:hAnsi="Calibri"/>
          <w:sz w:val="24"/>
          <w:szCs w:val="24"/>
        </w:rPr>
      </w:pPr>
      <w:r w:rsidRPr="00D77400">
        <w:rPr>
          <w:rFonts w:ascii="Calibri" w:hAnsi="Calibri"/>
          <w:sz w:val="24"/>
          <w:szCs w:val="24"/>
        </w:rPr>
        <w:t xml:space="preserve">Le présent rapport synthétise les travaux du Comité de convergence de la Zone franc qui s’est réuni à </w:t>
      </w:r>
      <w:r w:rsidR="0080795C">
        <w:rPr>
          <w:rFonts w:ascii="Calibri" w:hAnsi="Calibri"/>
          <w:sz w:val="24"/>
          <w:szCs w:val="24"/>
        </w:rPr>
        <w:t xml:space="preserve">Ouagadougou </w:t>
      </w:r>
      <w:r w:rsidRPr="00D77400">
        <w:rPr>
          <w:rFonts w:ascii="Calibri" w:hAnsi="Calibri"/>
          <w:sz w:val="24"/>
          <w:szCs w:val="24"/>
        </w:rPr>
        <w:t>(</w:t>
      </w:r>
      <w:r w:rsidR="0080795C">
        <w:rPr>
          <w:rFonts w:ascii="Calibri" w:hAnsi="Calibri"/>
          <w:sz w:val="24"/>
          <w:szCs w:val="24"/>
        </w:rPr>
        <w:t>Burkina Faso</w:t>
      </w:r>
      <w:r w:rsidR="009040A0" w:rsidRPr="00D77400">
        <w:rPr>
          <w:rFonts w:ascii="Calibri" w:hAnsi="Calibri"/>
          <w:sz w:val="24"/>
          <w:szCs w:val="24"/>
        </w:rPr>
        <w:t xml:space="preserve">), le </w:t>
      </w:r>
      <w:r w:rsidR="0080795C">
        <w:rPr>
          <w:rFonts w:ascii="Calibri" w:hAnsi="Calibri"/>
          <w:sz w:val="24"/>
          <w:szCs w:val="24"/>
        </w:rPr>
        <w:t>4</w:t>
      </w:r>
      <w:r w:rsidR="009040A0" w:rsidRPr="00D77400">
        <w:rPr>
          <w:rFonts w:ascii="Calibri" w:hAnsi="Calibri"/>
          <w:sz w:val="24"/>
          <w:szCs w:val="24"/>
        </w:rPr>
        <w:t xml:space="preserve"> mars 201</w:t>
      </w:r>
      <w:r w:rsidR="0080795C">
        <w:rPr>
          <w:rFonts w:ascii="Calibri" w:hAnsi="Calibri"/>
          <w:sz w:val="24"/>
          <w:szCs w:val="24"/>
        </w:rPr>
        <w:t>6</w:t>
      </w:r>
      <w:r w:rsidRPr="00D77400">
        <w:rPr>
          <w:rFonts w:ascii="Calibri" w:hAnsi="Calibri"/>
          <w:sz w:val="24"/>
          <w:szCs w:val="24"/>
        </w:rPr>
        <w:t xml:space="preserve">, conformément à son mandat. Il fait un bilan de la convergence à la date du 31 décembre </w:t>
      </w:r>
      <w:r w:rsidR="00DD59F8" w:rsidRPr="00D77400">
        <w:rPr>
          <w:rFonts w:ascii="Calibri" w:hAnsi="Calibri"/>
          <w:sz w:val="24"/>
          <w:szCs w:val="24"/>
        </w:rPr>
        <w:t>201</w:t>
      </w:r>
      <w:r w:rsidR="00DD59F8">
        <w:rPr>
          <w:rFonts w:ascii="Calibri" w:hAnsi="Calibri"/>
          <w:sz w:val="24"/>
          <w:szCs w:val="24"/>
        </w:rPr>
        <w:t>5</w:t>
      </w:r>
      <w:r w:rsidR="00DD59F8" w:rsidRPr="00D77400">
        <w:rPr>
          <w:rFonts w:ascii="Calibri" w:hAnsi="Calibri"/>
          <w:sz w:val="24"/>
          <w:szCs w:val="24"/>
        </w:rPr>
        <w:t xml:space="preserve"> </w:t>
      </w:r>
      <w:r w:rsidRPr="00D77400">
        <w:rPr>
          <w:rFonts w:ascii="Calibri" w:hAnsi="Calibri"/>
          <w:sz w:val="24"/>
          <w:szCs w:val="24"/>
        </w:rPr>
        <w:t>et présente les prévisions disponibles pour 201</w:t>
      </w:r>
      <w:r w:rsidR="0080795C">
        <w:rPr>
          <w:rFonts w:ascii="Calibri" w:hAnsi="Calibri"/>
          <w:sz w:val="24"/>
          <w:szCs w:val="24"/>
        </w:rPr>
        <w:t>6</w:t>
      </w:r>
      <w:r w:rsidRPr="00D77400">
        <w:rPr>
          <w:rFonts w:ascii="Calibri" w:hAnsi="Calibri"/>
          <w:sz w:val="24"/>
          <w:szCs w:val="24"/>
        </w:rPr>
        <w:t xml:space="preserve">. </w:t>
      </w:r>
    </w:p>
    <w:p w:rsidR="00BE4353" w:rsidRDefault="00BE4353" w:rsidP="00813AA3">
      <w:pPr>
        <w:spacing w:before="120" w:after="120"/>
        <w:jc w:val="both"/>
        <w:rPr>
          <w:rFonts w:ascii="Calibri" w:hAnsi="Calibri"/>
          <w:sz w:val="24"/>
          <w:szCs w:val="24"/>
          <w:highlight w:val="yellow"/>
        </w:rPr>
      </w:pPr>
    </w:p>
    <w:p w:rsidR="00BE4353" w:rsidRPr="00DA26F3" w:rsidRDefault="00BE4353" w:rsidP="00DA26F3">
      <w:pPr>
        <w:pStyle w:val="RAPPORTCONVNOMT2"/>
        <w:rPr>
          <w:rFonts w:asciiTheme="minorHAnsi" w:hAnsiTheme="minorHAnsi" w:cstheme="minorHAnsi"/>
          <w:b/>
        </w:rPr>
      </w:pPr>
      <w:bookmarkStart w:id="6" w:name="_Toc444614014"/>
      <w:r w:rsidRPr="00DA26F3">
        <w:rPr>
          <w:rFonts w:asciiTheme="minorHAnsi" w:hAnsiTheme="minorHAnsi" w:cstheme="minorHAnsi"/>
          <w:b/>
        </w:rPr>
        <w:t xml:space="preserve">Environnement </w:t>
      </w:r>
      <w:r w:rsidR="00662993" w:rsidRPr="00DA26F3">
        <w:rPr>
          <w:rFonts w:asciiTheme="minorHAnsi" w:hAnsiTheme="minorHAnsi" w:cstheme="minorHAnsi"/>
          <w:b/>
        </w:rPr>
        <w:t>extérieur</w:t>
      </w:r>
      <w:bookmarkEnd w:id="6"/>
    </w:p>
    <w:p w:rsidR="00DA26F3" w:rsidRDefault="00DA26F3" w:rsidP="00DA26F3">
      <w:pPr>
        <w:spacing w:before="120" w:after="120"/>
        <w:jc w:val="both"/>
        <w:rPr>
          <w:rFonts w:ascii="Calibri" w:hAnsi="Calibri"/>
          <w:sz w:val="24"/>
          <w:szCs w:val="24"/>
        </w:rPr>
      </w:pPr>
      <w:bookmarkStart w:id="7" w:name="_Toc288813943"/>
      <w:bookmarkStart w:id="8" w:name="_Toc288814893"/>
    </w:p>
    <w:p w:rsidR="00DA26F3" w:rsidRDefault="00DA26F3" w:rsidP="00DA26F3">
      <w:pPr>
        <w:spacing w:before="120" w:after="120"/>
        <w:jc w:val="both"/>
        <w:rPr>
          <w:rFonts w:ascii="Calibri" w:hAnsi="Calibri"/>
          <w:sz w:val="24"/>
          <w:szCs w:val="24"/>
        </w:rPr>
      </w:pPr>
      <w:r w:rsidRPr="00DA26F3">
        <w:rPr>
          <w:rFonts w:ascii="Calibri" w:hAnsi="Calibri"/>
          <w:sz w:val="24"/>
          <w:szCs w:val="24"/>
        </w:rPr>
        <w:t xml:space="preserve">La croissance mondiale </w:t>
      </w:r>
      <w:r w:rsidR="004721BB">
        <w:rPr>
          <w:rFonts w:ascii="Calibri" w:hAnsi="Calibri"/>
          <w:sz w:val="24"/>
          <w:szCs w:val="24"/>
        </w:rPr>
        <w:t>est resté</w:t>
      </w:r>
      <w:r w:rsidR="008E22CA">
        <w:rPr>
          <w:rFonts w:ascii="Calibri" w:hAnsi="Calibri"/>
          <w:sz w:val="24"/>
          <w:szCs w:val="24"/>
        </w:rPr>
        <w:t>e</w:t>
      </w:r>
      <w:r w:rsidR="004721BB">
        <w:rPr>
          <w:rFonts w:ascii="Calibri" w:hAnsi="Calibri"/>
          <w:sz w:val="24"/>
          <w:szCs w:val="24"/>
        </w:rPr>
        <w:t xml:space="preserve"> </w:t>
      </w:r>
      <w:r w:rsidRPr="00DA26F3">
        <w:rPr>
          <w:rFonts w:ascii="Calibri" w:hAnsi="Calibri"/>
          <w:sz w:val="24"/>
          <w:szCs w:val="24"/>
        </w:rPr>
        <w:t>modérée et inégalement répartie</w:t>
      </w:r>
      <w:r w:rsidR="004721BB">
        <w:rPr>
          <w:rFonts w:ascii="Calibri" w:hAnsi="Calibri"/>
          <w:sz w:val="24"/>
          <w:szCs w:val="24"/>
        </w:rPr>
        <w:t xml:space="preserve"> en 2015</w:t>
      </w:r>
      <w:r w:rsidRPr="00DA26F3">
        <w:rPr>
          <w:rFonts w:ascii="Calibri" w:hAnsi="Calibri"/>
          <w:sz w:val="24"/>
          <w:szCs w:val="24"/>
        </w:rPr>
        <w:t xml:space="preserve">. Tandis que l’activité </w:t>
      </w:r>
      <w:r w:rsidR="004721BB">
        <w:rPr>
          <w:rFonts w:ascii="Calibri" w:hAnsi="Calibri"/>
          <w:sz w:val="24"/>
          <w:szCs w:val="24"/>
        </w:rPr>
        <w:t>a continué</w:t>
      </w:r>
      <w:r w:rsidR="004721BB" w:rsidRPr="00DA26F3">
        <w:rPr>
          <w:rFonts w:ascii="Calibri" w:hAnsi="Calibri"/>
          <w:sz w:val="24"/>
          <w:szCs w:val="24"/>
        </w:rPr>
        <w:t xml:space="preserve"> </w:t>
      </w:r>
      <w:r w:rsidRPr="00DA26F3">
        <w:rPr>
          <w:rFonts w:ascii="Calibri" w:hAnsi="Calibri"/>
          <w:sz w:val="24"/>
          <w:szCs w:val="24"/>
        </w:rPr>
        <w:t>de progresser dans les économies avancées, les évolutions observées dans les économies émergentes demeurent globalement faibles et plus diverses. Après un premier semestre 2015 très médiocre, les</w:t>
      </w:r>
      <w:r w:rsidR="003D4A78">
        <w:rPr>
          <w:rFonts w:ascii="Calibri" w:hAnsi="Calibri"/>
          <w:sz w:val="24"/>
          <w:szCs w:val="24"/>
        </w:rPr>
        <w:t xml:space="preserve"> </w:t>
      </w:r>
      <w:r w:rsidRPr="00DA26F3">
        <w:rPr>
          <w:rFonts w:ascii="Calibri" w:hAnsi="Calibri"/>
          <w:sz w:val="24"/>
          <w:szCs w:val="24"/>
        </w:rPr>
        <w:t xml:space="preserve">échanges mondiaux se </w:t>
      </w:r>
      <w:r w:rsidR="004721BB">
        <w:rPr>
          <w:rFonts w:ascii="Calibri" w:hAnsi="Calibri"/>
          <w:sz w:val="24"/>
          <w:szCs w:val="24"/>
        </w:rPr>
        <w:t>sont redressés</w:t>
      </w:r>
      <w:r w:rsidRPr="00DA26F3">
        <w:rPr>
          <w:rFonts w:ascii="Calibri" w:hAnsi="Calibri"/>
          <w:sz w:val="24"/>
          <w:szCs w:val="24"/>
        </w:rPr>
        <w:t xml:space="preserve">, mais à un rythme lent. </w:t>
      </w:r>
    </w:p>
    <w:p w:rsidR="00F44AEF" w:rsidRPr="003D4A78" w:rsidRDefault="00F44AEF" w:rsidP="00F44AEF">
      <w:pPr>
        <w:spacing w:before="120" w:after="120"/>
        <w:jc w:val="both"/>
        <w:rPr>
          <w:rFonts w:ascii="Calibri" w:hAnsi="Calibri"/>
          <w:sz w:val="24"/>
          <w:szCs w:val="24"/>
        </w:rPr>
      </w:pPr>
      <w:r>
        <w:rPr>
          <w:rFonts w:ascii="Calibri" w:hAnsi="Calibri"/>
          <w:sz w:val="24"/>
          <w:szCs w:val="24"/>
        </w:rPr>
        <w:t>Parmi les pays avancés, l</w:t>
      </w:r>
      <w:r w:rsidRPr="003D4A78">
        <w:rPr>
          <w:rFonts w:ascii="Calibri" w:hAnsi="Calibri"/>
          <w:sz w:val="24"/>
          <w:szCs w:val="24"/>
        </w:rPr>
        <w:t xml:space="preserve">a progression de l’activité aux États-Unis </w:t>
      </w:r>
      <w:r w:rsidR="004721BB">
        <w:rPr>
          <w:rFonts w:ascii="Calibri" w:hAnsi="Calibri"/>
          <w:sz w:val="24"/>
          <w:szCs w:val="24"/>
        </w:rPr>
        <w:t>a semblé s’être</w:t>
      </w:r>
      <w:r w:rsidRPr="003D4A78">
        <w:rPr>
          <w:rFonts w:ascii="Calibri" w:hAnsi="Calibri"/>
          <w:sz w:val="24"/>
          <w:szCs w:val="24"/>
        </w:rPr>
        <w:t xml:space="preserve"> modérée au quatrième trimestre. Après une croissance soutenue à un rythme annuel de 2,0% au troisième trimestre 2015, l’activité économique a montré des signes de ralentissement au </w:t>
      </w:r>
      <w:r>
        <w:rPr>
          <w:rFonts w:ascii="Calibri" w:hAnsi="Calibri"/>
          <w:sz w:val="24"/>
          <w:szCs w:val="24"/>
        </w:rPr>
        <w:t>dernier</w:t>
      </w:r>
      <w:r w:rsidRPr="003D4A78">
        <w:rPr>
          <w:rFonts w:ascii="Calibri" w:hAnsi="Calibri"/>
          <w:sz w:val="24"/>
          <w:szCs w:val="24"/>
        </w:rPr>
        <w:t xml:space="preserve"> trimestre </w:t>
      </w:r>
      <w:r>
        <w:rPr>
          <w:rFonts w:ascii="Calibri" w:hAnsi="Calibri"/>
          <w:sz w:val="24"/>
          <w:szCs w:val="24"/>
        </w:rPr>
        <w:t xml:space="preserve">de l’année, </w:t>
      </w:r>
      <w:r w:rsidRPr="003D4A78">
        <w:rPr>
          <w:rFonts w:ascii="Calibri" w:hAnsi="Calibri"/>
          <w:sz w:val="24"/>
          <w:szCs w:val="24"/>
        </w:rPr>
        <w:t xml:space="preserve">d’autant plus que la faiblesse de la croissance mondiale et le raffermissement du dollar </w:t>
      </w:r>
      <w:r>
        <w:rPr>
          <w:rFonts w:ascii="Calibri" w:hAnsi="Calibri"/>
          <w:sz w:val="24"/>
          <w:szCs w:val="24"/>
        </w:rPr>
        <w:t>ont continué</w:t>
      </w:r>
      <w:r w:rsidRPr="003D4A78">
        <w:rPr>
          <w:rFonts w:ascii="Calibri" w:hAnsi="Calibri"/>
          <w:sz w:val="24"/>
          <w:szCs w:val="24"/>
        </w:rPr>
        <w:t xml:space="preserve"> de peser sur les exportations américaines. Toutefois, </w:t>
      </w:r>
      <w:r w:rsidRPr="003D4A78">
        <w:rPr>
          <w:rFonts w:ascii="Calibri" w:hAnsi="Calibri"/>
          <w:sz w:val="24"/>
          <w:szCs w:val="24"/>
        </w:rPr>
        <w:lastRenderedPageBreak/>
        <w:t xml:space="preserve">la poursuite des fortes améliorations constatées sur le marché du travail laisse penser que les fondamentaux de l’économie restent solides et que la faiblesse de la demande intérieure </w:t>
      </w:r>
      <w:r w:rsidR="0038648B">
        <w:rPr>
          <w:rFonts w:ascii="Calibri" w:hAnsi="Calibri"/>
          <w:sz w:val="24"/>
          <w:szCs w:val="24"/>
        </w:rPr>
        <w:t xml:space="preserve">pourrait </w:t>
      </w:r>
      <w:r w:rsidRPr="003D4A78">
        <w:rPr>
          <w:rFonts w:ascii="Calibri" w:hAnsi="Calibri"/>
          <w:sz w:val="24"/>
          <w:szCs w:val="24"/>
        </w:rPr>
        <w:t>s’avérer t temporaire.</w:t>
      </w:r>
    </w:p>
    <w:p w:rsidR="004A2077" w:rsidRDefault="004A2077" w:rsidP="004A2077">
      <w:pPr>
        <w:spacing w:before="120" w:after="120"/>
        <w:ind w:right="-1"/>
        <w:jc w:val="both"/>
        <w:rPr>
          <w:rFonts w:ascii="Calibri" w:hAnsi="Calibri"/>
          <w:b/>
          <w:color w:val="365F91" w:themeColor="accent1" w:themeShade="BF"/>
          <w:sz w:val="24"/>
          <w:szCs w:val="24"/>
        </w:rPr>
      </w:pPr>
    </w:p>
    <w:p w:rsidR="004A2077" w:rsidRPr="003B39B4" w:rsidRDefault="004A2077" w:rsidP="004A2077">
      <w:pPr>
        <w:spacing w:before="120" w:after="120"/>
        <w:ind w:right="-1"/>
        <w:jc w:val="both"/>
        <w:rPr>
          <w:rFonts w:ascii="Calibri" w:hAnsi="Calibri"/>
          <w:b/>
          <w:color w:val="365F91" w:themeColor="accent1" w:themeShade="BF"/>
          <w:sz w:val="24"/>
          <w:szCs w:val="24"/>
        </w:rPr>
      </w:pPr>
      <w:r w:rsidRPr="003B39B4">
        <w:rPr>
          <w:rFonts w:ascii="Calibri" w:hAnsi="Calibri"/>
          <w:b/>
          <w:color w:val="365F91" w:themeColor="accent1" w:themeShade="BF"/>
          <w:sz w:val="24"/>
          <w:szCs w:val="24"/>
        </w:rPr>
        <w:t xml:space="preserve">Tableau 1. Croissance du PIB </w:t>
      </w:r>
      <w:r w:rsidRPr="0054732A">
        <w:rPr>
          <w:rFonts w:ascii="Calibri" w:hAnsi="Calibri"/>
          <w:i/>
          <w:color w:val="365F91" w:themeColor="accent1" w:themeShade="BF"/>
          <w:sz w:val="24"/>
          <w:szCs w:val="24"/>
        </w:rPr>
        <w:t>(en glissement annuel)</w:t>
      </w:r>
    </w:p>
    <w:tbl>
      <w:tblPr>
        <w:tblStyle w:val="Listeclaire-Accent11"/>
        <w:tblW w:w="9180" w:type="dxa"/>
        <w:tblLayout w:type="fixed"/>
        <w:tblLook w:val="04A0" w:firstRow="1" w:lastRow="0" w:firstColumn="1" w:lastColumn="0" w:noHBand="0" w:noVBand="1"/>
      </w:tblPr>
      <w:tblGrid>
        <w:gridCol w:w="3510"/>
        <w:gridCol w:w="1417"/>
        <w:gridCol w:w="1418"/>
        <w:gridCol w:w="1417"/>
        <w:gridCol w:w="1418"/>
      </w:tblGrid>
      <w:tr w:rsidR="004A2077" w:rsidRPr="003B39B4" w:rsidTr="00015D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4A2077" w:rsidRPr="003B39B4" w:rsidRDefault="004A2077" w:rsidP="00015DAD">
            <w:pPr>
              <w:ind w:right="-1"/>
              <w:rPr>
                <w:rFonts w:asciiTheme="minorHAnsi" w:hAnsiTheme="minorHAnsi" w:cstheme="minorHAnsi"/>
                <w:sz w:val="20"/>
                <w:szCs w:val="20"/>
              </w:rPr>
            </w:pPr>
          </w:p>
        </w:tc>
        <w:tc>
          <w:tcPr>
            <w:tcW w:w="1417" w:type="dxa"/>
          </w:tcPr>
          <w:p w:rsidR="004A2077" w:rsidRPr="003B39B4" w:rsidRDefault="004A2077" w:rsidP="00015DAD">
            <w:pPr>
              <w:ind w:right="-1"/>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B39B4">
              <w:rPr>
                <w:rFonts w:asciiTheme="minorHAnsi" w:hAnsiTheme="minorHAnsi" w:cstheme="minorHAnsi"/>
                <w:sz w:val="20"/>
                <w:szCs w:val="20"/>
              </w:rPr>
              <w:t>201</w:t>
            </w:r>
            <w:r>
              <w:rPr>
                <w:rFonts w:asciiTheme="minorHAnsi" w:hAnsiTheme="minorHAnsi" w:cstheme="minorHAnsi"/>
                <w:sz w:val="20"/>
                <w:szCs w:val="20"/>
              </w:rPr>
              <w:t>3</w:t>
            </w:r>
          </w:p>
        </w:tc>
        <w:tc>
          <w:tcPr>
            <w:tcW w:w="1418" w:type="dxa"/>
          </w:tcPr>
          <w:p w:rsidR="004A2077" w:rsidRPr="003B39B4" w:rsidRDefault="004A2077" w:rsidP="00015DAD">
            <w:pPr>
              <w:ind w:right="-1"/>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B39B4">
              <w:rPr>
                <w:rFonts w:asciiTheme="minorHAnsi" w:hAnsiTheme="minorHAnsi" w:cstheme="minorHAnsi"/>
                <w:sz w:val="20"/>
                <w:szCs w:val="20"/>
              </w:rPr>
              <w:t>201</w:t>
            </w:r>
            <w:r>
              <w:rPr>
                <w:rFonts w:asciiTheme="minorHAnsi" w:hAnsiTheme="minorHAnsi" w:cstheme="minorHAnsi"/>
                <w:sz w:val="20"/>
                <w:szCs w:val="20"/>
              </w:rPr>
              <w:t>4</w:t>
            </w:r>
          </w:p>
        </w:tc>
        <w:tc>
          <w:tcPr>
            <w:tcW w:w="1417" w:type="dxa"/>
          </w:tcPr>
          <w:p w:rsidR="004A2077" w:rsidRPr="003B39B4" w:rsidRDefault="004A2077" w:rsidP="00015DAD">
            <w:pPr>
              <w:ind w:right="-1"/>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2015 (est.)</w:t>
            </w:r>
          </w:p>
        </w:tc>
        <w:tc>
          <w:tcPr>
            <w:tcW w:w="1418" w:type="dxa"/>
          </w:tcPr>
          <w:p w:rsidR="004A2077" w:rsidRPr="003B39B4" w:rsidRDefault="004A2077" w:rsidP="00015DAD">
            <w:pPr>
              <w:ind w:right="-1"/>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2016 (prév.)</w:t>
            </w:r>
          </w:p>
        </w:tc>
      </w:tr>
      <w:tr w:rsidR="004A2077" w:rsidRPr="00AF11FB" w:rsidTr="00015DAD">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3510" w:type="dxa"/>
          </w:tcPr>
          <w:p w:rsidR="004A2077" w:rsidRPr="00AF11FB" w:rsidRDefault="004A2077" w:rsidP="00015DAD">
            <w:pPr>
              <w:ind w:right="-1"/>
              <w:rPr>
                <w:rFonts w:asciiTheme="minorHAnsi" w:hAnsiTheme="minorHAnsi" w:cstheme="minorHAnsi"/>
                <w:sz w:val="20"/>
                <w:szCs w:val="20"/>
              </w:rPr>
            </w:pPr>
            <w:r w:rsidRPr="00AF11FB">
              <w:rPr>
                <w:rFonts w:asciiTheme="minorHAnsi" w:hAnsiTheme="minorHAnsi" w:cstheme="minorHAnsi"/>
                <w:sz w:val="20"/>
                <w:szCs w:val="20"/>
              </w:rPr>
              <w:t>Monde</w:t>
            </w:r>
          </w:p>
        </w:tc>
        <w:tc>
          <w:tcPr>
            <w:tcW w:w="1417" w:type="dxa"/>
          </w:tcPr>
          <w:p w:rsidR="004A2077" w:rsidRPr="00AF11FB"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AF11FB">
              <w:rPr>
                <w:rFonts w:asciiTheme="minorHAnsi" w:hAnsiTheme="minorHAnsi" w:cstheme="minorHAnsi"/>
                <w:b/>
                <w:sz w:val="20"/>
                <w:szCs w:val="20"/>
              </w:rPr>
              <w:t>3</w:t>
            </w:r>
            <w:r>
              <w:rPr>
                <w:rFonts w:asciiTheme="minorHAnsi" w:hAnsiTheme="minorHAnsi" w:cstheme="minorHAnsi"/>
                <w:b/>
                <w:sz w:val="20"/>
                <w:szCs w:val="20"/>
              </w:rPr>
              <w:t>,</w:t>
            </w:r>
            <w:r w:rsidRPr="00AF11FB">
              <w:rPr>
                <w:rFonts w:asciiTheme="minorHAnsi" w:hAnsiTheme="minorHAnsi" w:cstheme="minorHAnsi"/>
                <w:b/>
                <w:sz w:val="20"/>
                <w:szCs w:val="20"/>
              </w:rPr>
              <w:t>3</w:t>
            </w:r>
          </w:p>
        </w:tc>
        <w:tc>
          <w:tcPr>
            <w:tcW w:w="1418" w:type="dxa"/>
          </w:tcPr>
          <w:p w:rsidR="004A2077" w:rsidRPr="00AF11FB"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Pr>
                <w:rFonts w:asciiTheme="minorHAnsi" w:hAnsiTheme="minorHAnsi" w:cstheme="minorHAnsi"/>
                <w:b/>
                <w:sz w:val="20"/>
                <w:szCs w:val="20"/>
              </w:rPr>
              <w:t>3,4</w:t>
            </w:r>
          </w:p>
        </w:tc>
        <w:tc>
          <w:tcPr>
            <w:tcW w:w="1417" w:type="dxa"/>
          </w:tcPr>
          <w:p w:rsidR="004A2077" w:rsidRPr="00AF11FB"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Pr>
                <w:rFonts w:asciiTheme="minorHAnsi" w:hAnsiTheme="minorHAnsi" w:cstheme="minorHAnsi"/>
                <w:b/>
                <w:sz w:val="20"/>
                <w:szCs w:val="20"/>
              </w:rPr>
              <w:t>3,1</w:t>
            </w:r>
          </w:p>
        </w:tc>
        <w:tc>
          <w:tcPr>
            <w:tcW w:w="1418" w:type="dxa"/>
          </w:tcPr>
          <w:p w:rsidR="004A2077" w:rsidRPr="00AF11FB"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Pr>
                <w:rFonts w:asciiTheme="minorHAnsi" w:hAnsiTheme="minorHAnsi" w:cstheme="minorHAnsi"/>
                <w:b/>
                <w:sz w:val="20"/>
                <w:szCs w:val="20"/>
              </w:rPr>
              <w:t>3,4</w:t>
            </w:r>
          </w:p>
        </w:tc>
      </w:tr>
      <w:tr w:rsidR="004A2077" w:rsidRPr="003B39B4" w:rsidTr="00015DAD">
        <w:tc>
          <w:tcPr>
            <w:cnfStyle w:val="001000000000" w:firstRow="0" w:lastRow="0" w:firstColumn="1" w:lastColumn="0" w:oddVBand="0" w:evenVBand="0" w:oddHBand="0" w:evenHBand="0" w:firstRowFirstColumn="0" w:firstRowLastColumn="0" w:lastRowFirstColumn="0" w:lastRowLastColumn="0"/>
            <w:tcW w:w="3510" w:type="dxa"/>
          </w:tcPr>
          <w:p w:rsidR="004A2077" w:rsidRPr="0054732A" w:rsidRDefault="004A2077" w:rsidP="00015DAD">
            <w:pPr>
              <w:ind w:right="-1"/>
              <w:rPr>
                <w:rFonts w:asciiTheme="minorHAnsi" w:hAnsiTheme="minorHAnsi" w:cstheme="minorHAnsi"/>
                <w:b w:val="0"/>
                <w:sz w:val="20"/>
                <w:szCs w:val="20"/>
              </w:rPr>
            </w:pPr>
            <w:r w:rsidRPr="0054732A">
              <w:rPr>
                <w:rFonts w:asciiTheme="minorHAnsi" w:hAnsiTheme="minorHAnsi" w:cstheme="minorHAnsi"/>
                <w:b w:val="0"/>
                <w:sz w:val="20"/>
                <w:szCs w:val="20"/>
              </w:rPr>
              <w:t>États-</w:t>
            </w:r>
            <w:r>
              <w:rPr>
                <w:rFonts w:asciiTheme="minorHAnsi" w:hAnsiTheme="minorHAnsi" w:cstheme="minorHAnsi"/>
                <w:b w:val="0"/>
                <w:sz w:val="20"/>
                <w:szCs w:val="20"/>
              </w:rPr>
              <w:t>U</w:t>
            </w:r>
            <w:r w:rsidRPr="0054732A">
              <w:rPr>
                <w:rFonts w:asciiTheme="minorHAnsi" w:hAnsiTheme="minorHAnsi" w:cstheme="minorHAnsi"/>
                <w:b w:val="0"/>
                <w:sz w:val="20"/>
                <w:szCs w:val="20"/>
              </w:rPr>
              <w:t>nis</w:t>
            </w:r>
          </w:p>
        </w:tc>
        <w:tc>
          <w:tcPr>
            <w:tcW w:w="1417" w:type="dxa"/>
          </w:tcPr>
          <w:p w:rsidR="004A2077" w:rsidRPr="003B39B4" w:rsidRDefault="004A2077" w:rsidP="00015DAD">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1,5</w:t>
            </w:r>
          </w:p>
        </w:tc>
        <w:tc>
          <w:tcPr>
            <w:tcW w:w="1418" w:type="dxa"/>
          </w:tcPr>
          <w:p w:rsidR="004A2077" w:rsidRPr="003B39B4" w:rsidRDefault="004A2077" w:rsidP="00015DAD">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2,4</w:t>
            </w:r>
          </w:p>
        </w:tc>
        <w:tc>
          <w:tcPr>
            <w:tcW w:w="1417" w:type="dxa"/>
          </w:tcPr>
          <w:p w:rsidR="004A2077" w:rsidRPr="003B39B4" w:rsidRDefault="004A2077" w:rsidP="00015DAD">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2,5</w:t>
            </w:r>
          </w:p>
        </w:tc>
        <w:tc>
          <w:tcPr>
            <w:tcW w:w="1418" w:type="dxa"/>
          </w:tcPr>
          <w:p w:rsidR="004A2077" w:rsidRPr="003B39B4" w:rsidRDefault="004A2077" w:rsidP="00015DAD">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2,6</w:t>
            </w:r>
          </w:p>
        </w:tc>
      </w:tr>
      <w:tr w:rsidR="004A2077" w:rsidRPr="003B39B4" w:rsidTr="00015D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4A2077" w:rsidRPr="0054732A" w:rsidRDefault="004A2077" w:rsidP="00015DAD">
            <w:pPr>
              <w:ind w:right="-1"/>
              <w:rPr>
                <w:rFonts w:asciiTheme="minorHAnsi" w:hAnsiTheme="minorHAnsi" w:cstheme="minorHAnsi"/>
                <w:b w:val="0"/>
                <w:sz w:val="20"/>
                <w:szCs w:val="20"/>
              </w:rPr>
            </w:pPr>
            <w:r w:rsidRPr="0054732A">
              <w:rPr>
                <w:rFonts w:asciiTheme="minorHAnsi" w:hAnsiTheme="minorHAnsi" w:cstheme="minorHAnsi"/>
                <w:b w:val="0"/>
                <w:sz w:val="20"/>
                <w:szCs w:val="20"/>
              </w:rPr>
              <w:t>Royaume-</w:t>
            </w:r>
            <w:r>
              <w:rPr>
                <w:rFonts w:asciiTheme="minorHAnsi" w:hAnsiTheme="minorHAnsi" w:cstheme="minorHAnsi"/>
                <w:b w:val="0"/>
                <w:sz w:val="20"/>
                <w:szCs w:val="20"/>
              </w:rPr>
              <w:t>U</w:t>
            </w:r>
            <w:r w:rsidRPr="0054732A">
              <w:rPr>
                <w:rFonts w:asciiTheme="minorHAnsi" w:hAnsiTheme="minorHAnsi" w:cstheme="minorHAnsi"/>
                <w:b w:val="0"/>
                <w:sz w:val="20"/>
                <w:szCs w:val="20"/>
              </w:rPr>
              <w:t>ni</w:t>
            </w:r>
          </w:p>
        </w:tc>
        <w:tc>
          <w:tcPr>
            <w:tcW w:w="1417" w:type="dxa"/>
          </w:tcPr>
          <w:p w:rsidR="004A2077" w:rsidRPr="003B39B4"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1,7</w:t>
            </w:r>
          </w:p>
        </w:tc>
        <w:tc>
          <w:tcPr>
            <w:tcW w:w="1418" w:type="dxa"/>
          </w:tcPr>
          <w:p w:rsidR="004A2077" w:rsidRPr="003B39B4"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2,9</w:t>
            </w:r>
          </w:p>
        </w:tc>
        <w:tc>
          <w:tcPr>
            <w:tcW w:w="1417" w:type="dxa"/>
          </w:tcPr>
          <w:p w:rsidR="004A2077" w:rsidRPr="003B39B4"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2,2</w:t>
            </w:r>
          </w:p>
        </w:tc>
        <w:tc>
          <w:tcPr>
            <w:tcW w:w="1418" w:type="dxa"/>
          </w:tcPr>
          <w:p w:rsidR="004A2077" w:rsidRPr="003B39B4"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2,2</w:t>
            </w:r>
          </w:p>
        </w:tc>
      </w:tr>
      <w:tr w:rsidR="004A2077" w:rsidRPr="003B39B4" w:rsidTr="00015DAD">
        <w:tc>
          <w:tcPr>
            <w:cnfStyle w:val="001000000000" w:firstRow="0" w:lastRow="0" w:firstColumn="1" w:lastColumn="0" w:oddVBand="0" w:evenVBand="0" w:oddHBand="0" w:evenHBand="0" w:firstRowFirstColumn="0" w:firstRowLastColumn="0" w:lastRowFirstColumn="0" w:lastRowLastColumn="0"/>
            <w:tcW w:w="3510" w:type="dxa"/>
          </w:tcPr>
          <w:p w:rsidR="004A2077" w:rsidRPr="0054732A" w:rsidRDefault="004A2077" w:rsidP="00015DAD">
            <w:pPr>
              <w:ind w:right="-1"/>
              <w:rPr>
                <w:rFonts w:asciiTheme="minorHAnsi" w:hAnsiTheme="minorHAnsi" w:cstheme="minorHAnsi"/>
                <w:b w:val="0"/>
                <w:sz w:val="20"/>
                <w:szCs w:val="20"/>
              </w:rPr>
            </w:pPr>
            <w:r w:rsidRPr="0054732A">
              <w:rPr>
                <w:rFonts w:asciiTheme="minorHAnsi" w:hAnsiTheme="minorHAnsi" w:cstheme="minorHAnsi"/>
                <w:b w:val="0"/>
                <w:sz w:val="20"/>
                <w:szCs w:val="20"/>
              </w:rPr>
              <w:t>Japon</w:t>
            </w:r>
          </w:p>
        </w:tc>
        <w:tc>
          <w:tcPr>
            <w:tcW w:w="1417" w:type="dxa"/>
          </w:tcPr>
          <w:p w:rsidR="004A2077" w:rsidRPr="003B39B4" w:rsidRDefault="004A2077" w:rsidP="00015DAD">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1,6</w:t>
            </w:r>
          </w:p>
        </w:tc>
        <w:tc>
          <w:tcPr>
            <w:tcW w:w="1418" w:type="dxa"/>
          </w:tcPr>
          <w:p w:rsidR="004A2077" w:rsidRPr="003B39B4" w:rsidRDefault="004A2077" w:rsidP="00015DAD">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0,0</w:t>
            </w:r>
          </w:p>
        </w:tc>
        <w:tc>
          <w:tcPr>
            <w:tcW w:w="1417" w:type="dxa"/>
          </w:tcPr>
          <w:p w:rsidR="004A2077" w:rsidRPr="003B39B4" w:rsidRDefault="004A2077" w:rsidP="00015DAD">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1,0</w:t>
            </w:r>
          </w:p>
        </w:tc>
        <w:tc>
          <w:tcPr>
            <w:tcW w:w="1418" w:type="dxa"/>
          </w:tcPr>
          <w:p w:rsidR="004A2077" w:rsidRPr="003B39B4" w:rsidRDefault="004A2077" w:rsidP="00015DAD">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0,3</w:t>
            </w:r>
          </w:p>
        </w:tc>
      </w:tr>
      <w:tr w:rsidR="004A2077" w:rsidRPr="003B39B4" w:rsidTr="00015D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4A2077" w:rsidRPr="0054732A" w:rsidRDefault="004A2077" w:rsidP="00015DAD">
            <w:pPr>
              <w:ind w:right="-1"/>
              <w:rPr>
                <w:rFonts w:asciiTheme="minorHAnsi" w:hAnsiTheme="minorHAnsi" w:cstheme="minorHAnsi"/>
                <w:b w:val="0"/>
                <w:sz w:val="20"/>
                <w:szCs w:val="20"/>
              </w:rPr>
            </w:pPr>
            <w:r w:rsidRPr="0054732A">
              <w:rPr>
                <w:rFonts w:asciiTheme="minorHAnsi" w:hAnsiTheme="minorHAnsi" w:cstheme="minorHAnsi"/>
                <w:b w:val="0"/>
                <w:sz w:val="20"/>
                <w:szCs w:val="20"/>
              </w:rPr>
              <w:t>Zone euro</w:t>
            </w:r>
          </w:p>
        </w:tc>
        <w:tc>
          <w:tcPr>
            <w:tcW w:w="1417" w:type="dxa"/>
          </w:tcPr>
          <w:p w:rsidR="004A2077" w:rsidRPr="003B39B4"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-0,3</w:t>
            </w:r>
          </w:p>
        </w:tc>
        <w:tc>
          <w:tcPr>
            <w:tcW w:w="1418" w:type="dxa"/>
          </w:tcPr>
          <w:p w:rsidR="004A2077" w:rsidRPr="003B39B4"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0,9</w:t>
            </w:r>
          </w:p>
        </w:tc>
        <w:tc>
          <w:tcPr>
            <w:tcW w:w="1417" w:type="dxa"/>
          </w:tcPr>
          <w:p w:rsidR="004A2077" w:rsidRPr="003B39B4"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1,5</w:t>
            </w:r>
          </w:p>
        </w:tc>
        <w:tc>
          <w:tcPr>
            <w:tcW w:w="1418" w:type="dxa"/>
          </w:tcPr>
          <w:p w:rsidR="004A2077" w:rsidRPr="003B39B4"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1,7</w:t>
            </w:r>
          </w:p>
        </w:tc>
      </w:tr>
      <w:tr w:rsidR="004A2077" w:rsidRPr="00AF11FB" w:rsidTr="00015DAD">
        <w:tc>
          <w:tcPr>
            <w:cnfStyle w:val="001000000000" w:firstRow="0" w:lastRow="0" w:firstColumn="1" w:lastColumn="0" w:oddVBand="0" w:evenVBand="0" w:oddHBand="0" w:evenHBand="0" w:firstRowFirstColumn="0" w:firstRowLastColumn="0" w:lastRowFirstColumn="0" w:lastRowLastColumn="0"/>
            <w:tcW w:w="3510" w:type="dxa"/>
          </w:tcPr>
          <w:p w:rsidR="004A2077" w:rsidRPr="00AF11FB" w:rsidRDefault="004A2077" w:rsidP="00015DAD">
            <w:pPr>
              <w:ind w:right="-1"/>
              <w:rPr>
                <w:rFonts w:asciiTheme="minorHAnsi" w:hAnsiTheme="minorHAnsi" w:cstheme="minorHAnsi"/>
                <w:sz w:val="20"/>
                <w:szCs w:val="20"/>
              </w:rPr>
            </w:pPr>
            <w:r w:rsidRPr="00AF11FB">
              <w:rPr>
                <w:rFonts w:asciiTheme="minorHAnsi" w:hAnsiTheme="minorHAnsi" w:cstheme="minorHAnsi"/>
                <w:sz w:val="20"/>
                <w:szCs w:val="20"/>
              </w:rPr>
              <w:t>Pays émergents et en développement</w:t>
            </w:r>
          </w:p>
        </w:tc>
        <w:tc>
          <w:tcPr>
            <w:tcW w:w="1417" w:type="dxa"/>
          </w:tcPr>
          <w:p w:rsidR="004A2077" w:rsidRPr="00AF11FB" w:rsidRDefault="004A2077" w:rsidP="00015DAD">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Pr>
                <w:rFonts w:asciiTheme="minorHAnsi" w:hAnsiTheme="minorHAnsi" w:cstheme="minorHAnsi"/>
                <w:b/>
                <w:sz w:val="20"/>
                <w:szCs w:val="20"/>
              </w:rPr>
              <w:t>5,0</w:t>
            </w:r>
          </w:p>
        </w:tc>
        <w:tc>
          <w:tcPr>
            <w:tcW w:w="1418" w:type="dxa"/>
          </w:tcPr>
          <w:p w:rsidR="004A2077" w:rsidRPr="00AF11FB" w:rsidRDefault="004A2077" w:rsidP="00015DAD">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Pr>
                <w:rFonts w:asciiTheme="minorHAnsi" w:hAnsiTheme="minorHAnsi" w:cstheme="minorHAnsi"/>
                <w:b/>
                <w:sz w:val="20"/>
                <w:szCs w:val="20"/>
              </w:rPr>
              <w:t>4,6</w:t>
            </w:r>
          </w:p>
        </w:tc>
        <w:tc>
          <w:tcPr>
            <w:tcW w:w="1417" w:type="dxa"/>
          </w:tcPr>
          <w:p w:rsidR="004A2077" w:rsidRPr="00AF11FB" w:rsidRDefault="004A2077" w:rsidP="00015DAD">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Pr>
                <w:rFonts w:asciiTheme="minorHAnsi" w:hAnsiTheme="minorHAnsi" w:cstheme="minorHAnsi"/>
                <w:b/>
                <w:sz w:val="20"/>
                <w:szCs w:val="20"/>
              </w:rPr>
              <w:t>4,0</w:t>
            </w:r>
          </w:p>
        </w:tc>
        <w:tc>
          <w:tcPr>
            <w:tcW w:w="1418" w:type="dxa"/>
          </w:tcPr>
          <w:p w:rsidR="004A2077" w:rsidRPr="00AF11FB" w:rsidRDefault="004A2077" w:rsidP="00015DAD">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Pr>
                <w:rFonts w:asciiTheme="minorHAnsi" w:hAnsiTheme="minorHAnsi" w:cstheme="minorHAnsi"/>
                <w:b/>
                <w:sz w:val="20"/>
                <w:szCs w:val="20"/>
              </w:rPr>
              <w:t>4,3</w:t>
            </w:r>
          </w:p>
        </w:tc>
      </w:tr>
      <w:tr w:rsidR="004A2077" w:rsidRPr="003B39B4" w:rsidTr="00015D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4A2077" w:rsidRPr="0054732A" w:rsidRDefault="004A2077" w:rsidP="00015DAD">
            <w:pPr>
              <w:ind w:right="-1"/>
              <w:rPr>
                <w:rFonts w:asciiTheme="minorHAnsi" w:hAnsiTheme="minorHAnsi" w:cstheme="minorHAnsi"/>
                <w:b w:val="0"/>
                <w:sz w:val="20"/>
                <w:szCs w:val="20"/>
              </w:rPr>
            </w:pPr>
            <w:r w:rsidRPr="0054732A">
              <w:rPr>
                <w:rFonts w:asciiTheme="minorHAnsi" w:hAnsiTheme="minorHAnsi" w:cstheme="minorHAnsi"/>
                <w:b w:val="0"/>
                <w:sz w:val="20"/>
                <w:szCs w:val="20"/>
              </w:rPr>
              <w:t>Chine</w:t>
            </w:r>
          </w:p>
        </w:tc>
        <w:tc>
          <w:tcPr>
            <w:tcW w:w="1417" w:type="dxa"/>
          </w:tcPr>
          <w:p w:rsidR="004A2077" w:rsidRPr="003B39B4"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7,7</w:t>
            </w:r>
          </w:p>
        </w:tc>
        <w:tc>
          <w:tcPr>
            <w:tcW w:w="1418" w:type="dxa"/>
          </w:tcPr>
          <w:p w:rsidR="004A2077" w:rsidRPr="003B39B4"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7,3</w:t>
            </w:r>
          </w:p>
        </w:tc>
        <w:tc>
          <w:tcPr>
            <w:tcW w:w="1417" w:type="dxa"/>
          </w:tcPr>
          <w:p w:rsidR="004A2077" w:rsidRPr="003B39B4"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6,9</w:t>
            </w:r>
          </w:p>
        </w:tc>
        <w:tc>
          <w:tcPr>
            <w:tcW w:w="1418" w:type="dxa"/>
          </w:tcPr>
          <w:p w:rsidR="004A2077" w:rsidRPr="003B39B4"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6,3</w:t>
            </w:r>
          </w:p>
        </w:tc>
      </w:tr>
      <w:tr w:rsidR="004A2077" w:rsidRPr="003B39B4" w:rsidTr="00015DAD">
        <w:tc>
          <w:tcPr>
            <w:cnfStyle w:val="001000000000" w:firstRow="0" w:lastRow="0" w:firstColumn="1" w:lastColumn="0" w:oddVBand="0" w:evenVBand="0" w:oddHBand="0" w:evenHBand="0" w:firstRowFirstColumn="0" w:firstRowLastColumn="0" w:lastRowFirstColumn="0" w:lastRowLastColumn="0"/>
            <w:tcW w:w="3510" w:type="dxa"/>
          </w:tcPr>
          <w:p w:rsidR="004A2077" w:rsidRPr="0054732A" w:rsidRDefault="004A2077" w:rsidP="00015DAD">
            <w:pPr>
              <w:ind w:right="-1"/>
              <w:rPr>
                <w:rFonts w:asciiTheme="minorHAnsi" w:hAnsiTheme="minorHAnsi" w:cstheme="minorHAnsi"/>
                <w:b w:val="0"/>
                <w:sz w:val="20"/>
                <w:szCs w:val="20"/>
              </w:rPr>
            </w:pPr>
            <w:r w:rsidRPr="0054732A">
              <w:rPr>
                <w:rFonts w:asciiTheme="minorHAnsi" w:hAnsiTheme="minorHAnsi" w:cstheme="minorHAnsi"/>
                <w:b w:val="0"/>
                <w:sz w:val="20"/>
                <w:szCs w:val="20"/>
              </w:rPr>
              <w:t>Inde</w:t>
            </w:r>
          </w:p>
        </w:tc>
        <w:tc>
          <w:tcPr>
            <w:tcW w:w="1417" w:type="dxa"/>
          </w:tcPr>
          <w:p w:rsidR="004A2077" w:rsidRPr="003B39B4" w:rsidRDefault="004A2077" w:rsidP="00015DAD">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6,9</w:t>
            </w:r>
          </w:p>
        </w:tc>
        <w:tc>
          <w:tcPr>
            <w:tcW w:w="1418" w:type="dxa"/>
          </w:tcPr>
          <w:p w:rsidR="004A2077" w:rsidRPr="003B39B4" w:rsidRDefault="004A2077" w:rsidP="00015DAD">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7,3</w:t>
            </w:r>
          </w:p>
        </w:tc>
        <w:tc>
          <w:tcPr>
            <w:tcW w:w="1417" w:type="dxa"/>
          </w:tcPr>
          <w:p w:rsidR="004A2077" w:rsidRPr="003B39B4" w:rsidRDefault="004A2077" w:rsidP="00015DAD">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7,3</w:t>
            </w:r>
          </w:p>
        </w:tc>
        <w:tc>
          <w:tcPr>
            <w:tcW w:w="1418" w:type="dxa"/>
          </w:tcPr>
          <w:p w:rsidR="004A2077" w:rsidRPr="003B39B4" w:rsidRDefault="004A2077" w:rsidP="00015DAD">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7,5</w:t>
            </w:r>
          </w:p>
        </w:tc>
      </w:tr>
      <w:tr w:rsidR="004A2077" w:rsidRPr="003B39B4" w:rsidTr="00015D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4A2077" w:rsidRPr="00AF11FB" w:rsidRDefault="004A2077" w:rsidP="00015DAD">
            <w:pPr>
              <w:ind w:right="-1"/>
              <w:rPr>
                <w:rFonts w:asciiTheme="minorHAnsi" w:hAnsiTheme="minorHAnsi" w:cstheme="minorHAnsi"/>
                <w:b w:val="0"/>
                <w:sz w:val="20"/>
                <w:szCs w:val="20"/>
              </w:rPr>
            </w:pPr>
            <w:r>
              <w:rPr>
                <w:rFonts w:asciiTheme="minorHAnsi" w:hAnsiTheme="minorHAnsi" w:cstheme="minorHAnsi"/>
                <w:b w:val="0"/>
                <w:sz w:val="20"/>
                <w:szCs w:val="20"/>
              </w:rPr>
              <w:t>Afrique sub-saharienne</w:t>
            </w:r>
          </w:p>
        </w:tc>
        <w:tc>
          <w:tcPr>
            <w:tcW w:w="1417" w:type="dxa"/>
          </w:tcPr>
          <w:p w:rsidR="004A2077" w:rsidRPr="003B39B4"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5,2</w:t>
            </w:r>
          </w:p>
        </w:tc>
        <w:tc>
          <w:tcPr>
            <w:tcW w:w="1418" w:type="dxa"/>
          </w:tcPr>
          <w:p w:rsidR="004A2077" w:rsidRPr="003B39B4"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5,0</w:t>
            </w:r>
          </w:p>
        </w:tc>
        <w:tc>
          <w:tcPr>
            <w:tcW w:w="1417" w:type="dxa"/>
          </w:tcPr>
          <w:p w:rsidR="004A2077" w:rsidRPr="003B39B4"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3,5</w:t>
            </w:r>
          </w:p>
        </w:tc>
        <w:tc>
          <w:tcPr>
            <w:tcW w:w="1418" w:type="dxa"/>
          </w:tcPr>
          <w:p w:rsidR="004A2077" w:rsidRPr="003B39B4" w:rsidRDefault="004A2077" w:rsidP="00015DAD">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4,0</w:t>
            </w:r>
          </w:p>
        </w:tc>
      </w:tr>
    </w:tbl>
    <w:p w:rsidR="004A2077" w:rsidRDefault="004A2077" w:rsidP="004A2077">
      <w:pPr>
        <w:spacing w:before="120" w:after="120"/>
        <w:jc w:val="both"/>
        <w:rPr>
          <w:rFonts w:ascii="Calibri" w:hAnsi="Calibri"/>
          <w:sz w:val="20"/>
          <w:szCs w:val="20"/>
          <w:lang w:val="en-US"/>
        </w:rPr>
      </w:pPr>
      <w:r w:rsidRPr="00F44AEF">
        <w:rPr>
          <w:rFonts w:ascii="Calibri" w:hAnsi="Calibri"/>
          <w:sz w:val="20"/>
          <w:szCs w:val="20"/>
          <w:lang w:val="en-US"/>
        </w:rPr>
        <w:t>Source: FMI, World Economic Outlook, Janvier 2016</w:t>
      </w:r>
    </w:p>
    <w:p w:rsidR="004A2077" w:rsidRDefault="004A2077" w:rsidP="004A2077">
      <w:pPr>
        <w:spacing w:before="120" w:after="120"/>
        <w:jc w:val="both"/>
        <w:rPr>
          <w:rFonts w:ascii="Calibri" w:hAnsi="Calibri"/>
          <w:sz w:val="20"/>
          <w:szCs w:val="20"/>
          <w:lang w:val="en-US"/>
        </w:rPr>
      </w:pPr>
    </w:p>
    <w:p w:rsidR="008B6D10" w:rsidRDefault="00F44AEF" w:rsidP="004A2077">
      <w:pPr>
        <w:spacing w:before="120" w:after="120"/>
        <w:jc w:val="both"/>
        <w:rPr>
          <w:rFonts w:ascii="Calibri" w:hAnsi="Calibri"/>
          <w:sz w:val="24"/>
          <w:szCs w:val="24"/>
        </w:rPr>
      </w:pPr>
      <w:r>
        <w:rPr>
          <w:rFonts w:ascii="Calibri" w:hAnsi="Calibri"/>
          <w:sz w:val="24"/>
          <w:szCs w:val="24"/>
        </w:rPr>
        <w:t>Dans la zone euro, l</w:t>
      </w:r>
      <w:r w:rsidRPr="00DA26F3">
        <w:rPr>
          <w:rFonts w:ascii="Calibri" w:hAnsi="Calibri"/>
          <w:sz w:val="24"/>
          <w:szCs w:val="24"/>
        </w:rPr>
        <w:t xml:space="preserve">a reprise économique </w:t>
      </w:r>
      <w:r w:rsidR="004721BB">
        <w:rPr>
          <w:rFonts w:ascii="Calibri" w:hAnsi="Calibri"/>
          <w:sz w:val="24"/>
          <w:szCs w:val="24"/>
        </w:rPr>
        <w:t>s’est poursuite</w:t>
      </w:r>
      <w:r w:rsidRPr="00DA26F3">
        <w:rPr>
          <w:rFonts w:ascii="Calibri" w:hAnsi="Calibri"/>
          <w:sz w:val="24"/>
          <w:szCs w:val="24"/>
        </w:rPr>
        <w:t xml:space="preserve">, </w:t>
      </w:r>
      <w:r>
        <w:rPr>
          <w:rFonts w:ascii="Calibri" w:hAnsi="Calibri"/>
          <w:sz w:val="24"/>
          <w:szCs w:val="24"/>
        </w:rPr>
        <w:t xml:space="preserve">essentiellement </w:t>
      </w:r>
      <w:r w:rsidRPr="00DA26F3">
        <w:rPr>
          <w:rFonts w:ascii="Calibri" w:hAnsi="Calibri"/>
          <w:sz w:val="24"/>
          <w:szCs w:val="24"/>
        </w:rPr>
        <w:t>alimentée par le dynamisme de la consommation privée</w:t>
      </w:r>
      <w:r w:rsidR="00E45931">
        <w:rPr>
          <w:rFonts w:ascii="Calibri" w:hAnsi="Calibri"/>
          <w:sz w:val="24"/>
          <w:szCs w:val="24"/>
        </w:rPr>
        <w:t xml:space="preserve"> bien que</w:t>
      </w:r>
      <w:r w:rsidRPr="00DA26F3">
        <w:rPr>
          <w:rFonts w:ascii="Calibri" w:hAnsi="Calibri"/>
          <w:sz w:val="24"/>
          <w:szCs w:val="24"/>
        </w:rPr>
        <w:t xml:space="preserve">, plus récemment, la </w:t>
      </w:r>
      <w:r w:rsidR="007C4F79">
        <w:rPr>
          <w:rFonts w:ascii="Calibri" w:hAnsi="Calibri"/>
          <w:sz w:val="24"/>
          <w:szCs w:val="24"/>
        </w:rPr>
        <w:t>dynamique</w:t>
      </w:r>
      <w:r w:rsidR="007C4F79" w:rsidRPr="00DA26F3">
        <w:rPr>
          <w:rFonts w:ascii="Calibri" w:hAnsi="Calibri"/>
          <w:sz w:val="24"/>
          <w:szCs w:val="24"/>
        </w:rPr>
        <w:t xml:space="preserve"> </w:t>
      </w:r>
      <w:r w:rsidRPr="00DA26F3">
        <w:rPr>
          <w:rFonts w:ascii="Calibri" w:hAnsi="Calibri"/>
          <w:sz w:val="24"/>
          <w:szCs w:val="24"/>
        </w:rPr>
        <w:t>a</w:t>
      </w:r>
      <w:r w:rsidR="00015DAD">
        <w:rPr>
          <w:rFonts w:ascii="Calibri" w:hAnsi="Calibri"/>
          <w:sz w:val="24"/>
          <w:szCs w:val="24"/>
        </w:rPr>
        <w:t>it</w:t>
      </w:r>
      <w:r w:rsidRPr="00DA26F3">
        <w:rPr>
          <w:rFonts w:ascii="Calibri" w:hAnsi="Calibri"/>
          <w:sz w:val="24"/>
          <w:szCs w:val="24"/>
        </w:rPr>
        <w:t xml:space="preserve"> été quelque peu freinée par un ralentissement de la croissance des exportations. </w:t>
      </w:r>
      <w:r w:rsidR="00B92A22" w:rsidRPr="00B92A22">
        <w:rPr>
          <w:rFonts w:ascii="Calibri" w:hAnsi="Calibri"/>
          <w:sz w:val="24"/>
          <w:szCs w:val="24"/>
        </w:rPr>
        <w:t>Les dépenses de consommation ont bénéficié de l’augmentation du revenu réel disponible des ménages, qui reflète principalement la baisse des prix du pétrole et la hausse de l’emploi.</w:t>
      </w:r>
      <w:r w:rsidR="00E45931">
        <w:rPr>
          <w:rFonts w:ascii="Calibri" w:hAnsi="Calibri"/>
          <w:sz w:val="24"/>
          <w:szCs w:val="24"/>
        </w:rPr>
        <w:t xml:space="preserve"> </w:t>
      </w:r>
      <w:r w:rsidR="00B92A22" w:rsidRPr="00B92A22">
        <w:rPr>
          <w:rFonts w:ascii="Calibri" w:hAnsi="Calibri"/>
          <w:sz w:val="24"/>
          <w:szCs w:val="24"/>
        </w:rPr>
        <w:t xml:space="preserve">En revanche, la croissance de l’investissement </w:t>
      </w:r>
      <w:r w:rsidR="008B6D10">
        <w:rPr>
          <w:rFonts w:ascii="Calibri" w:hAnsi="Calibri"/>
          <w:sz w:val="24"/>
          <w:szCs w:val="24"/>
        </w:rPr>
        <w:t>est restée</w:t>
      </w:r>
      <w:r w:rsidR="00B92A22" w:rsidRPr="00B92A22">
        <w:rPr>
          <w:rFonts w:ascii="Calibri" w:hAnsi="Calibri"/>
          <w:sz w:val="24"/>
          <w:szCs w:val="24"/>
        </w:rPr>
        <w:t xml:space="preserve"> faible en</w:t>
      </w:r>
      <w:r w:rsidR="00E45931">
        <w:rPr>
          <w:rFonts w:ascii="Calibri" w:hAnsi="Calibri"/>
          <w:sz w:val="24"/>
          <w:szCs w:val="24"/>
        </w:rPr>
        <w:t xml:space="preserve"> </w:t>
      </w:r>
      <w:r w:rsidR="00B92A22" w:rsidRPr="00B92A22">
        <w:rPr>
          <w:rFonts w:ascii="Calibri" w:hAnsi="Calibri"/>
          <w:sz w:val="24"/>
          <w:szCs w:val="24"/>
        </w:rPr>
        <w:t>2015</w:t>
      </w:r>
      <w:r w:rsidR="00E45931">
        <w:rPr>
          <w:rFonts w:ascii="Calibri" w:hAnsi="Calibri"/>
          <w:sz w:val="24"/>
          <w:szCs w:val="24"/>
        </w:rPr>
        <w:t xml:space="preserve">. </w:t>
      </w:r>
      <w:r w:rsidR="008B6D10" w:rsidRPr="008B6D10">
        <w:rPr>
          <w:rFonts w:ascii="Calibri" w:hAnsi="Calibri"/>
          <w:sz w:val="24"/>
          <w:szCs w:val="24"/>
        </w:rPr>
        <w:t>La nécessaire poursuite du processus de désendettement des entreprises dans certains pays ainsi que la réduction des anticipations des investisseurs relatives à la croissance à long terme contribuent à freiner la reprise de l’investissement en dépit d’une amélioration de la confiance et des conditions de financement.</w:t>
      </w:r>
    </w:p>
    <w:p w:rsidR="008B6D10" w:rsidRPr="008B6D10" w:rsidRDefault="008B6D10" w:rsidP="004A2077">
      <w:pPr>
        <w:spacing w:before="120" w:after="120"/>
        <w:jc w:val="both"/>
        <w:rPr>
          <w:rFonts w:ascii="Calibri" w:hAnsi="Calibri"/>
          <w:sz w:val="24"/>
          <w:szCs w:val="24"/>
        </w:rPr>
      </w:pPr>
      <w:r w:rsidRPr="008B6D10">
        <w:rPr>
          <w:rFonts w:ascii="Calibri" w:hAnsi="Calibri"/>
          <w:sz w:val="24"/>
          <w:szCs w:val="24"/>
        </w:rPr>
        <w:t>La</w:t>
      </w:r>
      <w:r w:rsidRPr="004A2077">
        <w:rPr>
          <w:rFonts w:ascii="Calibri" w:hAnsi="Calibri"/>
          <w:sz w:val="24"/>
          <w:szCs w:val="24"/>
        </w:rPr>
        <w:t xml:space="preserve"> </w:t>
      </w:r>
      <w:r w:rsidRPr="008B6D10">
        <w:rPr>
          <w:rFonts w:ascii="Calibri" w:hAnsi="Calibri"/>
          <w:sz w:val="24"/>
          <w:szCs w:val="24"/>
        </w:rPr>
        <w:t>croissance des exportations de la zone</w:t>
      </w:r>
      <w:r w:rsidRPr="004A2077">
        <w:rPr>
          <w:rFonts w:ascii="Calibri" w:hAnsi="Calibri"/>
          <w:sz w:val="24"/>
          <w:szCs w:val="24"/>
        </w:rPr>
        <w:t xml:space="preserve"> </w:t>
      </w:r>
      <w:r w:rsidR="004A2077">
        <w:rPr>
          <w:rFonts w:ascii="Calibri" w:hAnsi="Calibri"/>
          <w:sz w:val="24"/>
          <w:szCs w:val="24"/>
        </w:rPr>
        <w:t>euro est demeurée modérée dans</w:t>
      </w:r>
      <w:r w:rsidRPr="004A2077">
        <w:rPr>
          <w:rFonts w:ascii="Calibri" w:hAnsi="Calibri"/>
          <w:sz w:val="24"/>
          <w:szCs w:val="24"/>
        </w:rPr>
        <w:t xml:space="preserve"> </w:t>
      </w:r>
      <w:r w:rsidRPr="008B6D10">
        <w:rPr>
          <w:rFonts w:ascii="Calibri" w:hAnsi="Calibri"/>
          <w:sz w:val="24"/>
          <w:szCs w:val="24"/>
        </w:rPr>
        <w:t>l’ensemble.</w:t>
      </w:r>
      <w:r w:rsidRPr="004A2077">
        <w:rPr>
          <w:rFonts w:ascii="Calibri" w:hAnsi="Calibri"/>
          <w:sz w:val="24"/>
          <w:szCs w:val="24"/>
        </w:rPr>
        <w:t xml:space="preserve"> </w:t>
      </w:r>
      <w:r w:rsidRPr="008B6D10">
        <w:rPr>
          <w:rFonts w:ascii="Calibri" w:hAnsi="Calibri"/>
          <w:sz w:val="24"/>
          <w:szCs w:val="24"/>
        </w:rPr>
        <w:t>Selon</w:t>
      </w:r>
      <w:r w:rsidRPr="004A2077">
        <w:rPr>
          <w:rFonts w:ascii="Calibri" w:hAnsi="Calibri"/>
          <w:sz w:val="24"/>
          <w:szCs w:val="24"/>
        </w:rPr>
        <w:t xml:space="preserve"> </w:t>
      </w:r>
      <w:r w:rsidRPr="008B6D10">
        <w:rPr>
          <w:rFonts w:ascii="Calibri" w:hAnsi="Calibri"/>
          <w:sz w:val="24"/>
          <w:szCs w:val="24"/>
        </w:rPr>
        <w:t>les données mensuelles relatives aux échanges commerciaux en octobre et novembre, les exportations ont commencé à se redresser vers la fin</w:t>
      </w:r>
      <w:r w:rsidRPr="004A2077">
        <w:rPr>
          <w:rFonts w:ascii="Calibri" w:hAnsi="Calibri"/>
          <w:sz w:val="24"/>
          <w:szCs w:val="24"/>
        </w:rPr>
        <w:t xml:space="preserve"> </w:t>
      </w:r>
      <w:r w:rsidRPr="008B6D10">
        <w:rPr>
          <w:rFonts w:ascii="Calibri" w:hAnsi="Calibri"/>
          <w:sz w:val="24"/>
          <w:szCs w:val="24"/>
        </w:rPr>
        <w:t>2015. La</w:t>
      </w:r>
      <w:r w:rsidRPr="004A2077">
        <w:rPr>
          <w:rFonts w:ascii="Calibri" w:hAnsi="Calibri"/>
          <w:sz w:val="24"/>
          <w:szCs w:val="24"/>
        </w:rPr>
        <w:t xml:space="preserve"> </w:t>
      </w:r>
      <w:r w:rsidRPr="008B6D10">
        <w:rPr>
          <w:rFonts w:ascii="Calibri" w:hAnsi="Calibri"/>
          <w:sz w:val="24"/>
          <w:szCs w:val="24"/>
        </w:rPr>
        <w:t>croissance des exportations a probablement résulté du renforcement de la dynamique de la croissance dans les économies avancées, avec des contributions toujours négatives de certaines économies de marché émergentes.</w:t>
      </w:r>
    </w:p>
    <w:p w:rsidR="008B6D10" w:rsidRPr="008B6D10" w:rsidRDefault="00C7455D" w:rsidP="004A2077">
      <w:pPr>
        <w:spacing w:before="120" w:after="120"/>
        <w:jc w:val="both"/>
        <w:rPr>
          <w:rFonts w:ascii="Calibri" w:hAnsi="Calibri"/>
          <w:sz w:val="24"/>
          <w:szCs w:val="24"/>
        </w:rPr>
      </w:pPr>
      <w:r>
        <w:rPr>
          <w:rFonts w:ascii="Calibri" w:hAnsi="Calibri"/>
          <w:sz w:val="24"/>
          <w:szCs w:val="24"/>
        </w:rPr>
        <w:t>La</w:t>
      </w:r>
      <w:r w:rsidR="008B6D10" w:rsidRPr="008B6D10">
        <w:rPr>
          <w:rFonts w:ascii="Calibri" w:hAnsi="Calibri"/>
          <w:sz w:val="24"/>
          <w:szCs w:val="24"/>
        </w:rPr>
        <w:t xml:space="preserve"> reprise économique devrait se poursuivre</w:t>
      </w:r>
      <w:r>
        <w:rPr>
          <w:rFonts w:ascii="Calibri" w:hAnsi="Calibri"/>
          <w:sz w:val="24"/>
          <w:szCs w:val="24"/>
        </w:rPr>
        <w:t xml:space="preserve"> en 2016</w:t>
      </w:r>
      <w:r w:rsidR="008B6D10" w:rsidRPr="008B6D10">
        <w:rPr>
          <w:rFonts w:ascii="Calibri" w:hAnsi="Calibri"/>
          <w:sz w:val="24"/>
          <w:szCs w:val="24"/>
        </w:rPr>
        <w:t>.</w:t>
      </w:r>
      <w:r w:rsidR="008B6D10" w:rsidRPr="004A2077">
        <w:rPr>
          <w:rFonts w:ascii="Calibri" w:hAnsi="Calibri"/>
          <w:sz w:val="24"/>
          <w:szCs w:val="24"/>
        </w:rPr>
        <w:t xml:space="preserve"> </w:t>
      </w:r>
      <w:r w:rsidR="008B6D10" w:rsidRPr="008B6D10">
        <w:rPr>
          <w:rFonts w:ascii="Calibri" w:hAnsi="Calibri"/>
          <w:sz w:val="24"/>
          <w:szCs w:val="24"/>
        </w:rPr>
        <w:t>La</w:t>
      </w:r>
      <w:r w:rsidR="008B6D10" w:rsidRPr="004A2077">
        <w:rPr>
          <w:rFonts w:ascii="Calibri" w:hAnsi="Calibri"/>
          <w:sz w:val="24"/>
          <w:szCs w:val="24"/>
        </w:rPr>
        <w:t xml:space="preserve"> </w:t>
      </w:r>
      <w:r w:rsidR="008B6D10" w:rsidRPr="008B6D10">
        <w:rPr>
          <w:rFonts w:ascii="Calibri" w:hAnsi="Calibri"/>
          <w:sz w:val="24"/>
          <w:szCs w:val="24"/>
        </w:rPr>
        <w:t xml:space="preserve">demande intérieure devrait être encore confortée par les mesures de politique monétaire </w:t>
      </w:r>
      <w:r w:rsidR="00015DAD">
        <w:rPr>
          <w:rFonts w:ascii="Calibri" w:hAnsi="Calibri"/>
          <w:sz w:val="24"/>
          <w:szCs w:val="24"/>
        </w:rPr>
        <w:t xml:space="preserve">de la Banque Centrale Européenne </w:t>
      </w:r>
      <w:r w:rsidR="008B6D10" w:rsidRPr="008B6D10">
        <w:rPr>
          <w:rFonts w:ascii="Calibri" w:hAnsi="Calibri"/>
          <w:sz w:val="24"/>
          <w:szCs w:val="24"/>
        </w:rPr>
        <w:t>et leur incidence favorable sur les conditions de financement ainsi que par les progrès réalisés en matière d’assainissement budgétaire et de réformes structurelles. Toutefois, la reprise économique dans la zone</w:t>
      </w:r>
      <w:r w:rsidR="008B6D10" w:rsidRPr="004A2077">
        <w:rPr>
          <w:rFonts w:ascii="Calibri" w:hAnsi="Calibri"/>
          <w:sz w:val="24"/>
          <w:szCs w:val="24"/>
        </w:rPr>
        <w:t xml:space="preserve"> </w:t>
      </w:r>
      <w:r w:rsidR="008B6D10" w:rsidRPr="008B6D10">
        <w:rPr>
          <w:rFonts w:ascii="Calibri" w:hAnsi="Calibri"/>
          <w:sz w:val="24"/>
          <w:szCs w:val="24"/>
        </w:rPr>
        <w:t xml:space="preserve">euro demeure freinée par les perspectives de croissance moroses dans les économies de marché émergentes, la volatilité des marchés financiers, le nécessaire ajustement des bilans dans un certain nombre de secteurs et la lenteur dans la mise en œuvre des réformes structurelles. </w:t>
      </w:r>
    </w:p>
    <w:p w:rsidR="00690083" w:rsidRPr="003D4A78" w:rsidRDefault="004721BB" w:rsidP="003D4A78">
      <w:pPr>
        <w:spacing w:before="120" w:after="120"/>
        <w:jc w:val="both"/>
        <w:rPr>
          <w:rFonts w:ascii="Calibri" w:hAnsi="Calibri"/>
          <w:sz w:val="24"/>
          <w:szCs w:val="24"/>
        </w:rPr>
      </w:pPr>
      <w:r>
        <w:rPr>
          <w:rFonts w:ascii="Calibri" w:hAnsi="Calibri"/>
          <w:sz w:val="24"/>
          <w:szCs w:val="24"/>
        </w:rPr>
        <w:t>La</w:t>
      </w:r>
      <w:r w:rsidR="003D4A78" w:rsidRPr="003D4A78">
        <w:rPr>
          <w:rFonts w:ascii="Calibri" w:hAnsi="Calibri"/>
          <w:sz w:val="24"/>
          <w:szCs w:val="24"/>
        </w:rPr>
        <w:t xml:space="preserve"> dynamique de croissance </w:t>
      </w:r>
      <w:r>
        <w:rPr>
          <w:rFonts w:ascii="Calibri" w:hAnsi="Calibri"/>
          <w:sz w:val="24"/>
          <w:szCs w:val="24"/>
        </w:rPr>
        <w:t>est en effet restée</w:t>
      </w:r>
      <w:r w:rsidRPr="003D4A78">
        <w:rPr>
          <w:rFonts w:ascii="Calibri" w:hAnsi="Calibri"/>
          <w:sz w:val="24"/>
          <w:szCs w:val="24"/>
        </w:rPr>
        <w:t xml:space="preserve"> </w:t>
      </w:r>
      <w:r w:rsidR="003D4A78" w:rsidRPr="003D4A78">
        <w:rPr>
          <w:rFonts w:ascii="Calibri" w:hAnsi="Calibri"/>
          <w:sz w:val="24"/>
          <w:szCs w:val="24"/>
        </w:rPr>
        <w:t xml:space="preserve">faible et hétérogène </w:t>
      </w:r>
      <w:r w:rsidR="004A2077">
        <w:rPr>
          <w:rFonts w:ascii="Calibri" w:hAnsi="Calibri"/>
          <w:sz w:val="24"/>
          <w:szCs w:val="24"/>
        </w:rPr>
        <w:t>dans la plupart des économies émergentes</w:t>
      </w:r>
      <w:r>
        <w:rPr>
          <w:rFonts w:ascii="Calibri" w:hAnsi="Calibri"/>
          <w:sz w:val="24"/>
          <w:szCs w:val="24"/>
        </w:rPr>
        <w:t xml:space="preserve"> en 2015</w:t>
      </w:r>
      <w:r w:rsidR="003D4A78" w:rsidRPr="003D4A78">
        <w:rPr>
          <w:rFonts w:ascii="Calibri" w:hAnsi="Calibri"/>
          <w:sz w:val="24"/>
          <w:szCs w:val="24"/>
        </w:rPr>
        <w:t xml:space="preserve">. Si l’activité a continué d’afficher une plus grande robustesse dans les pays importateurs de matières premières (notamment l’Inde, la Turquie et les pays d’Europe centrale et orientale n’appartenant pas à la zone euro), la croissance </w:t>
      </w:r>
      <w:r>
        <w:rPr>
          <w:rFonts w:ascii="Calibri" w:hAnsi="Calibri"/>
          <w:sz w:val="24"/>
          <w:szCs w:val="24"/>
        </w:rPr>
        <w:t>est restée</w:t>
      </w:r>
      <w:r w:rsidRPr="003D4A78">
        <w:rPr>
          <w:rFonts w:ascii="Calibri" w:hAnsi="Calibri"/>
          <w:sz w:val="24"/>
          <w:szCs w:val="24"/>
        </w:rPr>
        <w:t xml:space="preserve"> </w:t>
      </w:r>
      <w:r w:rsidR="003D4A78" w:rsidRPr="003D4A78">
        <w:rPr>
          <w:rFonts w:ascii="Calibri" w:hAnsi="Calibri"/>
          <w:sz w:val="24"/>
          <w:szCs w:val="24"/>
        </w:rPr>
        <w:t xml:space="preserve">très faible dans les pays exportateurs de matières premières. En particulier, les derniers indicateurs conjoncturels </w:t>
      </w:r>
      <w:r>
        <w:rPr>
          <w:rFonts w:ascii="Calibri" w:hAnsi="Calibri"/>
          <w:sz w:val="24"/>
          <w:szCs w:val="24"/>
        </w:rPr>
        <w:t>disponibles ont laissé</w:t>
      </w:r>
      <w:r w:rsidRPr="003D4A78">
        <w:rPr>
          <w:rFonts w:ascii="Calibri" w:hAnsi="Calibri"/>
          <w:sz w:val="24"/>
          <w:szCs w:val="24"/>
        </w:rPr>
        <w:t xml:space="preserve"> </w:t>
      </w:r>
      <w:r w:rsidR="003D4A78" w:rsidRPr="003D4A78">
        <w:rPr>
          <w:rFonts w:ascii="Calibri" w:hAnsi="Calibri"/>
          <w:sz w:val="24"/>
          <w:szCs w:val="24"/>
        </w:rPr>
        <w:t>penser que le ralentissement s’</w:t>
      </w:r>
      <w:r>
        <w:rPr>
          <w:rFonts w:ascii="Calibri" w:hAnsi="Calibri"/>
          <w:sz w:val="24"/>
          <w:szCs w:val="24"/>
        </w:rPr>
        <w:t>était</w:t>
      </w:r>
      <w:r w:rsidR="003D4A78" w:rsidRPr="003D4A78">
        <w:rPr>
          <w:rFonts w:ascii="Calibri" w:hAnsi="Calibri"/>
          <w:sz w:val="24"/>
          <w:szCs w:val="24"/>
        </w:rPr>
        <w:t xml:space="preserve"> </w:t>
      </w:r>
      <w:r w:rsidR="003D4A78" w:rsidRPr="003D4A78">
        <w:rPr>
          <w:rFonts w:ascii="Calibri" w:hAnsi="Calibri"/>
          <w:sz w:val="24"/>
          <w:szCs w:val="24"/>
        </w:rPr>
        <w:lastRenderedPageBreak/>
        <w:t xml:space="preserve">intensifié au Brésil, qui </w:t>
      </w:r>
      <w:r w:rsidR="00015DAD">
        <w:rPr>
          <w:rFonts w:ascii="Calibri" w:hAnsi="Calibri"/>
          <w:sz w:val="24"/>
          <w:szCs w:val="24"/>
        </w:rPr>
        <w:t>devrait</w:t>
      </w:r>
      <w:r w:rsidR="003D4A78" w:rsidRPr="003D4A78">
        <w:rPr>
          <w:rFonts w:ascii="Calibri" w:hAnsi="Calibri"/>
          <w:sz w:val="24"/>
          <w:szCs w:val="24"/>
        </w:rPr>
        <w:t xml:space="preserve"> se maintenir en récession en 201</w:t>
      </w:r>
      <w:r w:rsidR="004A2077">
        <w:rPr>
          <w:rFonts w:ascii="Calibri" w:hAnsi="Calibri"/>
          <w:sz w:val="24"/>
          <w:szCs w:val="24"/>
        </w:rPr>
        <w:t>6</w:t>
      </w:r>
      <w:r w:rsidR="003D4A78" w:rsidRPr="003D4A78">
        <w:rPr>
          <w:rFonts w:ascii="Calibri" w:hAnsi="Calibri"/>
          <w:sz w:val="24"/>
          <w:szCs w:val="24"/>
        </w:rPr>
        <w:t xml:space="preserve">. L’économie russe a affiché de modestes signes d’amélioration au troisième trimestre 2015 mais, compte </w:t>
      </w:r>
      <w:r w:rsidR="00015DAD">
        <w:rPr>
          <w:rFonts w:ascii="Calibri" w:hAnsi="Calibri"/>
          <w:sz w:val="24"/>
          <w:szCs w:val="24"/>
        </w:rPr>
        <w:t>tenu de sa forte dépendance vis-à-</w:t>
      </w:r>
      <w:r w:rsidR="003D4A78" w:rsidRPr="003D4A78">
        <w:rPr>
          <w:rFonts w:ascii="Calibri" w:hAnsi="Calibri"/>
          <w:sz w:val="24"/>
          <w:szCs w:val="24"/>
        </w:rPr>
        <w:t>vis du pétrole, la nouvelle baisse des prix du pétrole devrait peser sur les perspectives à court terme</w:t>
      </w:r>
      <w:r w:rsidR="00015DAD">
        <w:rPr>
          <w:rFonts w:ascii="Calibri" w:hAnsi="Calibri"/>
          <w:sz w:val="24"/>
          <w:szCs w:val="24"/>
        </w:rPr>
        <w:t>.</w:t>
      </w:r>
    </w:p>
    <w:p w:rsidR="00DA26F3" w:rsidRDefault="004721BB" w:rsidP="00DA26F3">
      <w:pPr>
        <w:spacing w:before="120" w:after="120"/>
        <w:jc w:val="both"/>
        <w:rPr>
          <w:rFonts w:ascii="Calibri" w:hAnsi="Calibri"/>
          <w:sz w:val="24"/>
          <w:szCs w:val="24"/>
        </w:rPr>
      </w:pPr>
      <w:r>
        <w:rPr>
          <w:rFonts w:ascii="Calibri" w:hAnsi="Calibri"/>
          <w:sz w:val="24"/>
          <w:szCs w:val="24"/>
        </w:rPr>
        <w:t xml:space="preserve">La </w:t>
      </w:r>
      <w:r w:rsidR="003D4A78" w:rsidRPr="003D4A78">
        <w:rPr>
          <w:rFonts w:ascii="Calibri" w:hAnsi="Calibri"/>
          <w:sz w:val="24"/>
          <w:szCs w:val="24"/>
        </w:rPr>
        <w:t>Chine a fait état d’une croissance trimestrielle de 1,6% au quatrième trimestre 2015. La croissance annuelle du PIB en volume s’est établie à 6,9% en 2015, niveau proc</w:t>
      </w:r>
      <w:r w:rsidR="00015DAD">
        <w:rPr>
          <w:rFonts w:ascii="Calibri" w:hAnsi="Calibri"/>
          <w:sz w:val="24"/>
          <w:szCs w:val="24"/>
        </w:rPr>
        <w:t xml:space="preserve">he de la cible du gouvernement. </w:t>
      </w:r>
      <w:r w:rsidR="003D4A78" w:rsidRPr="003D4A78">
        <w:rPr>
          <w:rFonts w:ascii="Calibri" w:hAnsi="Calibri"/>
          <w:sz w:val="24"/>
          <w:szCs w:val="24"/>
        </w:rPr>
        <w:t xml:space="preserve">Les indicateurs conjoncturels continuent d’aller dans le sens d’un ralentissement progressif de l’économie dans un contexte de rééquilibrage au profit des services et de la consommation. </w:t>
      </w:r>
      <w:r w:rsidRPr="00F41F15">
        <w:rPr>
          <w:rFonts w:ascii="Calibri" w:hAnsi="Calibri"/>
          <w:sz w:val="24"/>
          <w:szCs w:val="24"/>
        </w:rPr>
        <w:t xml:space="preserve">Les autorités </w:t>
      </w:r>
      <w:r>
        <w:rPr>
          <w:rFonts w:ascii="Calibri" w:hAnsi="Calibri"/>
          <w:sz w:val="24"/>
          <w:szCs w:val="24"/>
        </w:rPr>
        <w:t>ont mis</w:t>
      </w:r>
      <w:r w:rsidRPr="00F41F15">
        <w:rPr>
          <w:rFonts w:ascii="Calibri" w:hAnsi="Calibri"/>
          <w:sz w:val="24"/>
          <w:szCs w:val="24"/>
        </w:rPr>
        <w:t xml:space="preserve"> en œuvre un stimulus budgétaire et monétaire </w:t>
      </w:r>
      <w:r>
        <w:rPr>
          <w:rFonts w:ascii="Calibri" w:hAnsi="Calibri"/>
          <w:sz w:val="24"/>
          <w:szCs w:val="24"/>
        </w:rPr>
        <w:t>(estimé à 2,25</w:t>
      </w:r>
      <w:r w:rsidRPr="00F41F15">
        <w:rPr>
          <w:rFonts w:ascii="Calibri" w:hAnsi="Calibri"/>
          <w:sz w:val="24"/>
          <w:szCs w:val="24"/>
        </w:rPr>
        <w:t xml:space="preserve">% du PIB sur 2015-2017 selon l’OCDE) afin de limiter l’ampleur du ralentissement. Cela devrait se traduire par un soutien à l’activité au </w:t>
      </w:r>
      <w:r>
        <w:rPr>
          <w:rFonts w:ascii="Calibri" w:hAnsi="Calibri"/>
          <w:sz w:val="24"/>
          <w:szCs w:val="24"/>
        </w:rPr>
        <w:t>premier semestre</w:t>
      </w:r>
      <w:r w:rsidRPr="00F41F15">
        <w:rPr>
          <w:rFonts w:ascii="Calibri" w:hAnsi="Calibri"/>
          <w:sz w:val="24"/>
          <w:szCs w:val="24"/>
        </w:rPr>
        <w:t xml:space="preserve"> 2016</w:t>
      </w:r>
      <w:r>
        <w:rPr>
          <w:rFonts w:ascii="Calibri" w:hAnsi="Calibri"/>
          <w:sz w:val="24"/>
          <w:szCs w:val="24"/>
        </w:rPr>
        <w:t>. Les</w:t>
      </w:r>
      <w:r w:rsidRPr="008E22CA">
        <w:rPr>
          <w:rFonts w:ascii="Calibri" w:hAnsi="Calibri"/>
          <w:sz w:val="24"/>
          <w:szCs w:val="24"/>
        </w:rPr>
        <w:t xml:space="preserve"> retombées négatives</w:t>
      </w:r>
      <w:r>
        <w:rPr>
          <w:rFonts w:ascii="Calibri" w:hAnsi="Calibri"/>
          <w:sz w:val="24"/>
          <w:szCs w:val="24"/>
        </w:rPr>
        <w:t xml:space="preserve"> du ralentissement chinois</w:t>
      </w:r>
      <w:r w:rsidRPr="008E22CA">
        <w:rPr>
          <w:rFonts w:ascii="Calibri" w:hAnsi="Calibri"/>
          <w:sz w:val="24"/>
          <w:szCs w:val="24"/>
        </w:rPr>
        <w:t xml:space="preserve"> touchent </w:t>
      </w:r>
      <w:r>
        <w:rPr>
          <w:rFonts w:ascii="Calibri" w:hAnsi="Calibri"/>
          <w:sz w:val="24"/>
          <w:szCs w:val="24"/>
        </w:rPr>
        <w:t>néanmoins</w:t>
      </w:r>
      <w:r w:rsidRPr="008E22CA">
        <w:rPr>
          <w:rFonts w:ascii="Calibri" w:hAnsi="Calibri"/>
          <w:sz w:val="24"/>
          <w:szCs w:val="24"/>
        </w:rPr>
        <w:t xml:space="preserve"> les partenaires commerciaux asiatiques </w:t>
      </w:r>
      <w:r>
        <w:rPr>
          <w:rFonts w:ascii="Calibri" w:hAnsi="Calibri"/>
          <w:sz w:val="24"/>
          <w:szCs w:val="24"/>
        </w:rPr>
        <w:t xml:space="preserve">et </w:t>
      </w:r>
      <w:r w:rsidRPr="008E22CA">
        <w:rPr>
          <w:rFonts w:ascii="Calibri" w:hAnsi="Calibri"/>
          <w:sz w:val="24"/>
          <w:szCs w:val="24"/>
        </w:rPr>
        <w:t>les exportateurs de matières premières en Amérique latine</w:t>
      </w:r>
      <w:r>
        <w:rPr>
          <w:rFonts w:ascii="Calibri" w:hAnsi="Calibri"/>
          <w:sz w:val="24"/>
          <w:szCs w:val="24"/>
        </w:rPr>
        <w:t xml:space="preserve"> et en Afrique</w:t>
      </w:r>
      <w:r w:rsidRPr="008E22CA">
        <w:rPr>
          <w:rFonts w:ascii="Calibri" w:hAnsi="Calibri"/>
          <w:sz w:val="24"/>
          <w:szCs w:val="24"/>
        </w:rPr>
        <w:t xml:space="preserve">.  </w:t>
      </w:r>
      <w:r w:rsidR="00DA26F3" w:rsidRPr="00DA26F3">
        <w:rPr>
          <w:rFonts w:ascii="Calibri" w:hAnsi="Calibri"/>
          <w:sz w:val="24"/>
          <w:szCs w:val="24"/>
        </w:rPr>
        <w:t>.</w:t>
      </w:r>
    </w:p>
    <w:p w:rsidR="00690083" w:rsidRDefault="00690083" w:rsidP="00DA26F3">
      <w:pPr>
        <w:spacing w:before="120" w:after="120"/>
        <w:jc w:val="both"/>
        <w:rPr>
          <w:rFonts w:ascii="Calibri" w:hAnsi="Calibri"/>
          <w:sz w:val="24"/>
          <w:szCs w:val="24"/>
        </w:rPr>
      </w:pPr>
    </w:p>
    <w:p w:rsidR="00690083" w:rsidRPr="003B39B4" w:rsidRDefault="00220E46" w:rsidP="00690083">
      <w:pPr>
        <w:spacing w:before="120" w:after="120"/>
        <w:ind w:right="-1"/>
        <w:jc w:val="both"/>
        <w:rPr>
          <w:rFonts w:ascii="Calibri" w:hAnsi="Calibri"/>
          <w:b/>
          <w:color w:val="365F91" w:themeColor="accent1" w:themeShade="BF"/>
          <w:sz w:val="24"/>
          <w:szCs w:val="24"/>
        </w:rPr>
      </w:pPr>
      <w:r>
        <w:rPr>
          <w:rFonts w:ascii="Calibri" w:hAnsi="Calibri"/>
          <w:b/>
          <w:color w:val="365F91" w:themeColor="accent1" w:themeShade="BF"/>
          <w:sz w:val="24"/>
          <w:szCs w:val="24"/>
        </w:rPr>
        <w:t xml:space="preserve">Graphique 1 : </w:t>
      </w:r>
      <w:r w:rsidR="00690083" w:rsidRPr="003B39B4">
        <w:rPr>
          <w:rFonts w:ascii="Calibri" w:hAnsi="Calibri"/>
          <w:b/>
          <w:color w:val="365F91" w:themeColor="accent1" w:themeShade="BF"/>
          <w:sz w:val="24"/>
          <w:szCs w:val="24"/>
        </w:rPr>
        <w:t>Croissance du PIB</w:t>
      </w:r>
      <w:r w:rsidR="00690083">
        <w:rPr>
          <w:rFonts w:ascii="Calibri" w:hAnsi="Calibri"/>
          <w:b/>
          <w:color w:val="365F91" w:themeColor="accent1" w:themeShade="BF"/>
          <w:sz w:val="24"/>
          <w:szCs w:val="24"/>
        </w:rPr>
        <w:t xml:space="preserve"> selon les régions du monde </w:t>
      </w:r>
      <w:r w:rsidR="00690083" w:rsidRPr="0054732A">
        <w:rPr>
          <w:rFonts w:ascii="Calibri" w:hAnsi="Calibri"/>
          <w:i/>
          <w:color w:val="365F91" w:themeColor="accent1" w:themeShade="BF"/>
          <w:sz w:val="24"/>
          <w:szCs w:val="24"/>
        </w:rPr>
        <w:t>(en glissement annuel)</w:t>
      </w:r>
    </w:p>
    <w:p w:rsidR="00690083" w:rsidRDefault="00690083" w:rsidP="00690083">
      <w:pPr>
        <w:spacing w:before="120" w:after="120"/>
        <w:jc w:val="both"/>
        <w:rPr>
          <w:rFonts w:ascii="Calibri" w:hAnsi="Calibri"/>
          <w:sz w:val="20"/>
          <w:szCs w:val="20"/>
          <w:lang w:val="en-US"/>
        </w:rPr>
      </w:pPr>
      <w:r>
        <w:rPr>
          <w:noProof/>
          <w:lang w:val="de-DE" w:eastAsia="de-DE"/>
        </w:rPr>
        <w:drawing>
          <wp:inline distT="0" distB="0" distL="0" distR="0">
            <wp:extent cx="4369982" cy="3019646"/>
            <wp:effectExtent l="0" t="0" r="0" b="0"/>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90083" w:rsidRDefault="00690083" w:rsidP="00690083">
      <w:pPr>
        <w:spacing w:before="120" w:after="120"/>
        <w:jc w:val="both"/>
        <w:rPr>
          <w:rFonts w:ascii="Calibri" w:hAnsi="Calibri"/>
          <w:sz w:val="20"/>
          <w:szCs w:val="20"/>
          <w:lang w:val="en-US"/>
        </w:rPr>
      </w:pPr>
      <w:r>
        <w:rPr>
          <w:rFonts w:ascii="Calibri" w:hAnsi="Calibri"/>
          <w:sz w:val="20"/>
          <w:szCs w:val="20"/>
          <w:lang w:val="en-US"/>
        </w:rPr>
        <w:t>Source: FMI, World Economic Outlook, Janvier 2016.</w:t>
      </w:r>
    </w:p>
    <w:p w:rsidR="00690083" w:rsidRPr="00F44AEF" w:rsidRDefault="00690083" w:rsidP="00690083">
      <w:pPr>
        <w:spacing w:before="120" w:after="120"/>
        <w:jc w:val="both"/>
        <w:rPr>
          <w:rFonts w:ascii="Calibri" w:hAnsi="Calibri"/>
          <w:sz w:val="20"/>
          <w:szCs w:val="20"/>
          <w:lang w:val="en-US"/>
        </w:rPr>
      </w:pPr>
    </w:p>
    <w:p w:rsidR="00015DAD" w:rsidRDefault="007C4F79" w:rsidP="00015DAD">
      <w:pPr>
        <w:spacing w:before="120" w:after="120"/>
        <w:jc w:val="both"/>
        <w:rPr>
          <w:rFonts w:ascii="Calibri" w:hAnsi="Calibri"/>
          <w:sz w:val="24"/>
          <w:szCs w:val="24"/>
        </w:rPr>
      </w:pPr>
      <w:r>
        <w:rPr>
          <w:rFonts w:ascii="Calibri" w:hAnsi="Calibri"/>
          <w:sz w:val="24"/>
          <w:szCs w:val="24"/>
        </w:rPr>
        <w:t>L</w:t>
      </w:r>
      <w:r w:rsidR="00015DAD" w:rsidRPr="00015DAD">
        <w:rPr>
          <w:rFonts w:ascii="Calibri" w:hAnsi="Calibri"/>
          <w:sz w:val="24"/>
          <w:szCs w:val="24"/>
        </w:rPr>
        <w:t>’activité économique de l’Afrique sub-saharienne a sensiblement ralenti en 2015, avec un taux de croissance estimé à 3,8%, après 5% en 2014. D’après le FMI, cet affaiblissement s’explique principalement par la chute des cours de nombreux produits de base et le durcissement des conditions de financement sur les marchés internationaux (en lien avec la hausse attendue des taux d’intérêt aux États-Unis et la réévaluation des risques dans la région), dans un contexte de marges de manœuvre budgétaires restreintes.</w:t>
      </w:r>
    </w:p>
    <w:p w:rsidR="00015DAD" w:rsidRDefault="00015DAD" w:rsidP="00015DAD">
      <w:pPr>
        <w:spacing w:before="120" w:after="120"/>
        <w:jc w:val="both"/>
        <w:rPr>
          <w:rFonts w:ascii="Calibri" w:hAnsi="Calibri"/>
          <w:sz w:val="24"/>
          <w:szCs w:val="24"/>
        </w:rPr>
      </w:pPr>
      <w:r w:rsidRPr="00015DAD">
        <w:rPr>
          <w:rFonts w:ascii="Calibri" w:hAnsi="Calibri"/>
          <w:sz w:val="24"/>
          <w:szCs w:val="24"/>
        </w:rPr>
        <w:t xml:space="preserve">D’un côté, les pays les moins dépendants des exportations de matières premières </w:t>
      </w:r>
      <w:r>
        <w:rPr>
          <w:rFonts w:ascii="Calibri" w:hAnsi="Calibri"/>
          <w:sz w:val="24"/>
          <w:szCs w:val="24"/>
        </w:rPr>
        <w:t>ont bénéficié</w:t>
      </w:r>
      <w:r w:rsidRPr="00015DAD">
        <w:rPr>
          <w:rFonts w:ascii="Calibri" w:hAnsi="Calibri"/>
          <w:sz w:val="24"/>
          <w:szCs w:val="24"/>
        </w:rPr>
        <w:t xml:space="preserve"> de substantielles réductions de leurs factures d’importations qui leur </w:t>
      </w:r>
      <w:r>
        <w:rPr>
          <w:rFonts w:ascii="Calibri" w:hAnsi="Calibri"/>
          <w:sz w:val="24"/>
          <w:szCs w:val="24"/>
        </w:rPr>
        <w:t>ont permis de conserver</w:t>
      </w:r>
      <w:r w:rsidRPr="00015DAD">
        <w:rPr>
          <w:rFonts w:ascii="Calibri" w:hAnsi="Calibri"/>
          <w:sz w:val="24"/>
          <w:szCs w:val="24"/>
        </w:rPr>
        <w:t xml:space="preserve">  une croissance soutenue. De l’autre, les pays les plus dépendants </w:t>
      </w:r>
      <w:r>
        <w:rPr>
          <w:rFonts w:ascii="Calibri" w:hAnsi="Calibri"/>
          <w:sz w:val="24"/>
          <w:szCs w:val="24"/>
        </w:rPr>
        <w:t>ont accusé</w:t>
      </w:r>
      <w:r w:rsidRPr="00015DAD">
        <w:rPr>
          <w:rFonts w:ascii="Calibri" w:hAnsi="Calibri"/>
          <w:sz w:val="24"/>
          <w:szCs w:val="24"/>
        </w:rPr>
        <w:t xml:space="preserve"> de fortes réductions de leurs recettes d’exportations qui </w:t>
      </w:r>
      <w:r>
        <w:rPr>
          <w:rFonts w:ascii="Calibri" w:hAnsi="Calibri"/>
          <w:sz w:val="24"/>
          <w:szCs w:val="24"/>
        </w:rPr>
        <w:t>ont fragilisé</w:t>
      </w:r>
      <w:r w:rsidRPr="00015DAD">
        <w:rPr>
          <w:rFonts w:ascii="Calibri" w:hAnsi="Calibri"/>
          <w:sz w:val="24"/>
          <w:szCs w:val="24"/>
        </w:rPr>
        <w:t xml:space="preserve"> leurs comptes courants et leurs équilibres budgétaires..</w:t>
      </w:r>
    </w:p>
    <w:p w:rsidR="00015DAD" w:rsidRPr="00015DAD" w:rsidRDefault="00015DAD" w:rsidP="00015DAD">
      <w:pPr>
        <w:spacing w:before="120" w:after="120"/>
        <w:jc w:val="both"/>
        <w:rPr>
          <w:rFonts w:ascii="Calibri" w:hAnsi="Calibri"/>
          <w:sz w:val="24"/>
          <w:szCs w:val="24"/>
        </w:rPr>
      </w:pPr>
      <w:r w:rsidRPr="00015DAD">
        <w:rPr>
          <w:rFonts w:ascii="Calibri" w:hAnsi="Calibri"/>
          <w:sz w:val="24"/>
          <w:szCs w:val="24"/>
        </w:rPr>
        <w:lastRenderedPageBreak/>
        <w:t>D’après les prévisions du FMI, l’amélioration de la conjoncture économique mondiale devrait permettre une légère accélération de la croissance en Afrique sub-saharienne en 2016 (4,3%). Cette progression serait tirée par le dynamisme des pays africains à faible revenu (6,5%), tandis que les pays exportateurs de pétrole continueraient d’être affectés par la chute de leurs recettes pétrolières et l’impact de la mise en œuvre des mesures budgétaires restrictives.</w:t>
      </w:r>
    </w:p>
    <w:p w:rsidR="00DA26F3" w:rsidRDefault="00DA26F3" w:rsidP="00DA26F3">
      <w:pPr>
        <w:spacing w:before="120" w:after="120"/>
        <w:jc w:val="both"/>
        <w:rPr>
          <w:rFonts w:ascii="Calibri" w:hAnsi="Calibri"/>
          <w:sz w:val="24"/>
          <w:szCs w:val="24"/>
        </w:rPr>
      </w:pPr>
    </w:p>
    <w:p w:rsidR="00E25029" w:rsidRPr="00A821E7" w:rsidRDefault="00E25029" w:rsidP="007B1D8C">
      <w:pPr>
        <w:pStyle w:val="RAPPORTCONVNOMT2"/>
        <w:rPr>
          <w:rFonts w:asciiTheme="minorHAnsi" w:hAnsiTheme="minorHAnsi" w:cstheme="minorHAnsi"/>
          <w:b/>
        </w:rPr>
      </w:pPr>
      <w:bookmarkStart w:id="9" w:name="_Toc444614015"/>
      <w:bookmarkEnd w:id="7"/>
      <w:bookmarkEnd w:id="8"/>
      <w:r w:rsidRPr="00A821E7">
        <w:rPr>
          <w:rFonts w:asciiTheme="minorHAnsi" w:hAnsiTheme="minorHAnsi" w:cstheme="minorHAnsi"/>
          <w:b/>
        </w:rPr>
        <w:t>Situation économique de l’UEMOA</w:t>
      </w:r>
      <w:bookmarkEnd w:id="9"/>
    </w:p>
    <w:p w:rsidR="003D7F86" w:rsidRDefault="003D7F86" w:rsidP="003D7F86">
      <w:pPr>
        <w:spacing w:before="120" w:after="120"/>
        <w:jc w:val="both"/>
        <w:rPr>
          <w:rFonts w:asciiTheme="minorHAnsi" w:hAnsiTheme="minorHAnsi" w:cs="Arial"/>
          <w:sz w:val="24"/>
          <w:szCs w:val="24"/>
        </w:rPr>
      </w:pPr>
      <w:r w:rsidRPr="003D7F86">
        <w:rPr>
          <w:rFonts w:asciiTheme="minorHAnsi" w:hAnsiTheme="minorHAnsi" w:cs="Arial"/>
          <w:sz w:val="24"/>
          <w:szCs w:val="24"/>
        </w:rPr>
        <w:t xml:space="preserve">L’activité économique de l’Union a enregistré un taux de croissance de 6,5% en 2015 après 6,6% en 2014. Tous les États membres continuent d’enregistrer de bonnes performances. Toutefois, le taux de croissance est en dessous de 5% dans quatre États membres, notamment au Burkina Faso et au Niger. Au Burkina Faso, le faible taux de croissance est lié à la situation sociopolitique en 2014 et en 2015. Au Niger, la baisse du rythme de progression de l’activité économique est en rapport notamment avec la faible augmentation de la valeur ajoutée de l’agriculture et le repli des activités minière et pétrolière. Dans l’ensemble, l’activité économique a bénéficié d’une bonne tenue du secteur primaire dans la plupart des États, d’un dynamisme des BTP et d’un maintien des performances au niveau des transports et communications.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4"/>
        <w:gridCol w:w="4813"/>
      </w:tblGrid>
      <w:tr w:rsidR="000D2B26" w:rsidTr="008E22CA">
        <w:tc>
          <w:tcPr>
            <w:tcW w:w="4474" w:type="dxa"/>
          </w:tcPr>
          <w:p w:rsidR="000D2B26" w:rsidRPr="003D7F86" w:rsidRDefault="000D2B26" w:rsidP="000D2B26">
            <w:pPr>
              <w:spacing w:before="120" w:after="120"/>
              <w:jc w:val="both"/>
              <w:rPr>
                <w:rFonts w:asciiTheme="minorHAnsi" w:hAnsiTheme="minorHAnsi" w:cs="Arial"/>
                <w:sz w:val="24"/>
                <w:szCs w:val="24"/>
              </w:rPr>
            </w:pPr>
            <w:r w:rsidRPr="003D7F86">
              <w:rPr>
                <w:rFonts w:asciiTheme="minorHAnsi" w:hAnsiTheme="minorHAnsi" w:cs="Arial"/>
                <w:sz w:val="24"/>
                <w:szCs w:val="24"/>
              </w:rPr>
              <w:t>Par pays, le taux de croissance en 2015 se présente comme suit : Bénin (5,2%), Burkina Faso (4,4%), Côte d’Ivoire (9,5%), Guinée-Bissau (6,0%), Mali (4,9%), Niger (4,4%), Sénégal (5,4%) et Togo (5,5%).</w:t>
            </w:r>
          </w:p>
          <w:p w:rsidR="000D2B26" w:rsidRDefault="000D2B26" w:rsidP="003D7F86">
            <w:pPr>
              <w:spacing w:before="120" w:after="120"/>
              <w:jc w:val="both"/>
              <w:rPr>
                <w:rFonts w:asciiTheme="minorHAnsi" w:hAnsiTheme="minorHAnsi" w:cs="Arial"/>
                <w:sz w:val="24"/>
                <w:szCs w:val="24"/>
              </w:rPr>
            </w:pPr>
            <w:r w:rsidRPr="003D7F86">
              <w:rPr>
                <w:rFonts w:asciiTheme="minorHAnsi" w:hAnsiTheme="minorHAnsi" w:cs="Arial"/>
                <w:sz w:val="24"/>
                <w:szCs w:val="24"/>
              </w:rPr>
              <w:t>En 2015, l’activité économique s’est déroulée dans un contexte caractérisé par une évolution modérée des prix en rapport avec la bonne production céréalière enregistrée en 2014 et les mesures prises par les Gouvernements pour un meilleur approvisionnement des marchés en produits agricoles.</w:t>
            </w:r>
          </w:p>
        </w:tc>
        <w:tc>
          <w:tcPr>
            <w:tcW w:w="4813"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7"/>
            </w:tblGrid>
            <w:tr w:rsidR="000D2B26" w:rsidTr="00DA26F3">
              <w:tc>
                <w:tcPr>
                  <w:tcW w:w="4559" w:type="dxa"/>
                </w:tcPr>
                <w:p w:rsidR="000D2B26" w:rsidRDefault="000D2B26" w:rsidP="00220E46">
                  <w:pPr>
                    <w:spacing w:before="120"/>
                    <w:rPr>
                      <w:rFonts w:ascii="Calibri" w:hAnsi="Calibri"/>
                      <w:i/>
                      <w:color w:val="365F91" w:themeColor="accent1" w:themeShade="BF"/>
                      <w:sz w:val="24"/>
                      <w:szCs w:val="24"/>
                    </w:rPr>
                  </w:pPr>
                  <w:r>
                    <w:rPr>
                      <w:rFonts w:ascii="Calibri" w:hAnsi="Calibri"/>
                      <w:b/>
                      <w:color w:val="365F91" w:themeColor="accent1" w:themeShade="BF"/>
                      <w:sz w:val="24"/>
                      <w:szCs w:val="24"/>
                    </w:rPr>
                    <w:t>Tableau</w:t>
                  </w:r>
                  <w:r w:rsidR="00220E46">
                    <w:rPr>
                      <w:rFonts w:ascii="Calibri" w:hAnsi="Calibri"/>
                      <w:b/>
                      <w:color w:val="365F91" w:themeColor="accent1" w:themeShade="BF"/>
                      <w:sz w:val="24"/>
                      <w:szCs w:val="24"/>
                    </w:rPr>
                    <w:t xml:space="preserve"> 2 :</w:t>
                  </w:r>
                  <w:r>
                    <w:rPr>
                      <w:rFonts w:ascii="Calibri" w:hAnsi="Calibri"/>
                      <w:b/>
                      <w:color w:val="365F91" w:themeColor="accent1" w:themeShade="BF"/>
                      <w:sz w:val="24"/>
                      <w:szCs w:val="24"/>
                    </w:rPr>
                    <w:t xml:space="preserve"> Prévisions des</w:t>
                  </w:r>
                  <w:r w:rsidRPr="006B6C1B">
                    <w:rPr>
                      <w:rFonts w:ascii="Calibri" w:hAnsi="Calibri"/>
                      <w:b/>
                      <w:color w:val="365F91" w:themeColor="accent1" w:themeShade="BF"/>
                      <w:sz w:val="24"/>
                      <w:szCs w:val="24"/>
                    </w:rPr>
                    <w:t xml:space="preserve"> taux de croissance et du taux d’inflation </w:t>
                  </w:r>
                  <w:r>
                    <w:rPr>
                      <w:rFonts w:ascii="Calibri" w:hAnsi="Calibri"/>
                      <w:b/>
                      <w:color w:val="365F91" w:themeColor="accent1" w:themeShade="BF"/>
                      <w:sz w:val="24"/>
                      <w:szCs w:val="24"/>
                    </w:rPr>
                    <w:t>dans</w:t>
                  </w:r>
                  <w:r w:rsidRPr="006B6C1B">
                    <w:rPr>
                      <w:rFonts w:ascii="Calibri" w:hAnsi="Calibri"/>
                      <w:b/>
                      <w:color w:val="365F91" w:themeColor="accent1" w:themeShade="BF"/>
                      <w:sz w:val="24"/>
                      <w:szCs w:val="24"/>
                    </w:rPr>
                    <w:t xml:space="preserve"> </w:t>
                  </w:r>
                  <w:r>
                    <w:rPr>
                      <w:rFonts w:ascii="Calibri" w:hAnsi="Calibri"/>
                      <w:b/>
                      <w:color w:val="365F91" w:themeColor="accent1" w:themeShade="BF"/>
                      <w:sz w:val="24"/>
                      <w:szCs w:val="24"/>
                    </w:rPr>
                    <w:t xml:space="preserve">les pays de l’UEMOA en 2015 </w:t>
                  </w:r>
                  <w:r w:rsidRPr="00D35050">
                    <w:rPr>
                      <w:rFonts w:ascii="Calibri" w:hAnsi="Calibri"/>
                      <w:i/>
                      <w:color w:val="365F91" w:themeColor="accent1" w:themeShade="BF"/>
                      <w:sz w:val="20"/>
                      <w:szCs w:val="20"/>
                    </w:rPr>
                    <w:t xml:space="preserve">(en </w:t>
                  </w:r>
                  <w:r>
                    <w:rPr>
                      <w:rFonts w:ascii="Calibri" w:hAnsi="Calibri"/>
                      <w:i/>
                      <w:color w:val="365F91" w:themeColor="accent1" w:themeShade="BF"/>
                      <w:sz w:val="20"/>
                      <w:szCs w:val="20"/>
                    </w:rPr>
                    <w:t>g.a</w:t>
                  </w:r>
                  <w:r w:rsidRPr="00D35050">
                    <w:rPr>
                      <w:rFonts w:ascii="Calibri" w:hAnsi="Calibri"/>
                      <w:i/>
                      <w:color w:val="365F91" w:themeColor="accent1" w:themeShade="BF"/>
                      <w:sz w:val="20"/>
                      <w:szCs w:val="20"/>
                    </w:rPr>
                    <w:t>)</w:t>
                  </w:r>
                </w:p>
              </w:tc>
            </w:tr>
            <w:tr w:rsidR="000D2B26" w:rsidTr="00DA26F3">
              <w:tc>
                <w:tcPr>
                  <w:tcW w:w="4559" w:type="dxa"/>
                </w:tcPr>
                <w:tbl>
                  <w:tblPr>
                    <w:tblStyle w:val="Listeclaire-Accent11"/>
                    <w:tblW w:w="4253" w:type="dxa"/>
                    <w:tblInd w:w="108" w:type="dxa"/>
                    <w:tblLook w:val="04A0" w:firstRow="1" w:lastRow="0" w:firstColumn="1" w:lastColumn="0" w:noHBand="0" w:noVBand="1"/>
                  </w:tblPr>
                  <w:tblGrid>
                    <w:gridCol w:w="1560"/>
                    <w:gridCol w:w="1346"/>
                    <w:gridCol w:w="1347"/>
                  </w:tblGrid>
                  <w:tr w:rsidR="000D2B26" w:rsidRPr="003B39B4" w:rsidTr="00DA26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rsidR="000D2B26" w:rsidRPr="003B39B4" w:rsidRDefault="000D2B26" w:rsidP="00DA26F3">
                        <w:pPr>
                          <w:ind w:right="-1"/>
                          <w:rPr>
                            <w:rFonts w:asciiTheme="minorHAnsi" w:hAnsiTheme="minorHAnsi" w:cstheme="minorHAnsi"/>
                            <w:sz w:val="20"/>
                            <w:szCs w:val="20"/>
                          </w:rPr>
                        </w:pPr>
                      </w:p>
                    </w:tc>
                    <w:tc>
                      <w:tcPr>
                        <w:tcW w:w="1346" w:type="dxa"/>
                      </w:tcPr>
                      <w:p w:rsidR="000D2B26" w:rsidRPr="003B39B4" w:rsidRDefault="000D2B26" w:rsidP="00DA26F3">
                        <w:pPr>
                          <w:ind w:right="-1"/>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PIB</w:t>
                        </w:r>
                      </w:p>
                    </w:tc>
                    <w:tc>
                      <w:tcPr>
                        <w:tcW w:w="1347" w:type="dxa"/>
                      </w:tcPr>
                      <w:p w:rsidR="000D2B26" w:rsidRPr="003B39B4" w:rsidRDefault="000D2B26" w:rsidP="00DA26F3">
                        <w:pPr>
                          <w:ind w:right="-1"/>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Inflation</w:t>
                        </w:r>
                      </w:p>
                    </w:tc>
                  </w:tr>
                  <w:tr w:rsidR="000D2B26" w:rsidRPr="00432264" w:rsidTr="00DA2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rsidR="000D2B26" w:rsidRPr="00432264" w:rsidRDefault="000D2B26" w:rsidP="00DA26F3">
                        <w:pPr>
                          <w:ind w:right="-1"/>
                          <w:rPr>
                            <w:rFonts w:asciiTheme="minorHAnsi" w:hAnsiTheme="minorHAnsi" w:cstheme="minorHAnsi"/>
                            <w:b w:val="0"/>
                            <w:sz w:val="20"/>
                            <w:szCs w:val="20"/>
                          </w:rPr>
                        </w:pPr>
                        <w:r w:rsidRPr="00432264">
                          <w:rPr>
                            <w:rFonts w:asciiTheme="minorHAnsi" w:hAnsiTheme="minorHAnsi" w:cstheme="minorHAnsi"/>
                            <w:b w:val="0"/>
                            <w:sz w:val="20"/>
                            <w:szCs w:val="20"/>
                          </w:rPr>
                          <w:t>Bénin</w:t>
                        </w:r>
                      </w:p>
                    </w:tc>
                    <w:tc>
                      <w:tcPr>
                        <w:tcW w:w="1346" w:type="dxa"/>
                      </w:tcPr>
                      <w:p w:rsidR="000D2B26" w:rsidRPr="00432264" w:rsidRDefault="000D2B26" w:rsidP="00DA26F3">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432264">
                          <w:rPr>
                            <w:rFonts w:asciiTheme="minorHAnsi" w:hAnsiTheme="minorHAnsi" w:cstheme="minorHAnsi"/>
                            <w:sz w:val="20"/>
                            <w:szCs w:val="20"/>
                          </w:rPr>
                          <w:t>5.</w:t>
                        </w:r>
                        <w:r>
                          <w:rPr>
                            <w:rFonts w:asciiTheme="minorHAnsi" w:hAnsiTheme="minorHAnsi" w:cstheme="minorHAnsi"/>
                            <w:sz w:val="20"/>
                            <w:szCs w:val="20"/>
                          </w:rPr>
                          <w:t>2</w:t>
                        </w:r>
                      </w:p>
                    </w:tc>
                    <w:tc>
                      <w:tcPr>
                        <w:tcW w:w="1347" w:type="dxa"/>
                      </w:tcPr>
                      <w:p w:rsidR="000D2B26" w:rsidRPr="00432264" w:rsidRDefault="000D2B26" w:rsidP="00DA26F3">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0,0</w:t>
                        </w:r>
                      </w:p>
                    </w:tc>
                  </w:tr>
                  <w:tr w:rsidR="000D2B26" w:rsidRPr="00432264" w:rsidTr="00DA26F3">
                    <w:tc>
                      <w:tcPr>
                        <w:cnfStyle w:val="001000000000" w:firstRow="0" w:lastRow="0" w:firstColumn="1" w:lastColumn="0" w:oddVBand="0" w:evenVBand="0" w:oddHBand="0" w:evenHBand="0" w:firstRowFirstColumn="0" w:firstRowLastColumn="0" w:lastRowFirstColumn="0" w:lastRowLastColumn="0"/>
                        <w:tcW w:w="1560" w:type="dxa"/>
                      </w:tcPr>
                      <w:p w:rsidR="000D2B26" w:rsidRPr="00432264" w:rsidRDefault="000D2B26" w:rsidP="00DA26F3">
                        <w:pPr>
                          <w:ind w:right="-1"/>
                          <w:rPr>
                            <w:rFonts w:asciiTheme="minorHAnsi" w:hAnsiTheme="minorHAnsi" w:cstheme="minorHAnsi"/>
                            <w:b w:val="0"/>
                            <w:sz w:val="20"/>
                            <w:szCs w:val="20"/>
                          </w:rPr>
                        </w:pPr>
                        <w:r w:rsidRPr="00432264">
                          <w:rPr>
                            <w:rFonts w:asciiTheme="minorHAnsi" w:hAnsiTheme="minorHAnsi" w:cstheme="minorHAnsi"/>
                            <w:b w:val="0"/>
                            <w:sz w:val="20"/>
                            <w:szCs w:val="20"/>
                          </w:rPr>
                          <w:t>Burkina Faso</w:t>
                        </w:r>
                      </w:p>
                    </w:tc>
                    <w:tc>
                      <w:tcPr>
                        <w:tcW w:w="1346" w:type="dxa"/>
                      </w:tcPr>
                      <w:p w:rsidR="000D2B26" w:rsidRPr="00432264" w:rsidRDefault="000D2B26" w:rsidP="00DA26F3">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4,4</w:t>
                        </w:r>
                      </w:p>
                    </w:tc>
                    <w:tc>
                      <w:tcPr>
                        <w:tcW w:w="1347" w:type="dxa"/>
                      </w:tcPr>
                      <w:p w:rsidR="000D2B26" w:rsidRPr="00432264" w:rsidRDefault="000D2B26" w:rsidP="00DA26F3">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1,0</w:t>
                        </w:r>
                      </w:p>
                    </w:tc>
                  </w:tr>
                  <w:tr w:rsidR="000D2B26" w:rsidRPr="00432264" w:rsidTr="00DA2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rsidR="000D2B26" w:rsidRPr="00432264" w:rsidRDefault="000D2B26" w:rsidP="00DA26F3">
                        <w:pPr>
                          <w:ind w:right="-1"/>
                          <w:rPr>
                            <w:rFonts w:asciiTheme="minorHAnsi" w:hAnsiTheme="minorHAnsi" w:cstheme="minorHAnsi"/>
                            <w:b w:val="0"/>
                            <w:sz w:val="20"/>
                            <w:szCs w:val="20"/>
                          </w:rPr>
                        </w:pPr>
                        <w:r w:rsidRPr="00432264">
                          <w:rPr>
                            <w:rFonts w:asciiTheme="minorHAnsi" w:hAnsiTheme="minorHAnsi" w:cstheme="minorHAnsi"/>
                            <w:b w:val="0"/>
                            <w:sz w:val="20"/>
                            <w:szCs w:val="20"/>
                          </w:rPr>
                          <w:t>Côte d’Ivoire</w:t>
                        </w:r>
                      </w:p>
                    </w:tc>
                    <w:tc>
                      <w:tcPr>
                        <w:tcW w:w="1346" w:type="dxa"/>
                      </w:tcPr>
                      <w:p w:rsidR="000D2B26" w:rsidRPr="00432264" w:rsidRDefault="000D2B26" w:rsidP="00DA26F3">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9,5</w:t>
                        </w:r>
                      </w:p>
                    </w:tc>
                    <w:tc>
                      <w:tcPr>
                        <w:tcW w:w="1347" w:type="dxa"/>
                      </w:tcPr>
                      <w:p w:rsidR="000D2B26" w:rsidRPr="00432264" w:rsidRDefault="000D2B26" w:rsidP="00DA26F3">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1,5</w:t>
                        </w:r>
                      </w:p>
                    </w:tc>
                  </w:tr>
                  <w:tr w:rsidR="000D2B26" w:rsidRPr="00432264" w:rsidTr="00DA26F3">
                    <w:tc>
                      <w:tcPr>
                        <w:cnfStyle w:val="001000000000" w:firstRow="0" w:lastRow="0" w:firstColumn="1" w:lastColumn="0" w:oddVBand="0" w:evenVBand="0" w:oddHBand="0" w:evenHBand="0" w:firstRowFirstColumn="0" w:firstRowLastColumn="0" w:lastRowFirstColumn="0" w:lastRowLastColumn="0"/>
                        <w:tcW w:w="1560" w:type="dxa"/>
                      </w:tcPr>
                      <w:p w:rsidR="000D2B26" w:rsidRPr="00432264" w:rsidRDefault="000D2B26" w:rsidP="00DA26F3">
                        <w:pPr>
                          <w:ind w:right="-1"/>
                          <w:rPr>
                            <w:rFonts w:asciiTheme="minorHAnsi" w:hAnsiTheme="minorHAnsi" w:cstheme="minorHAnsi"/>
                            <w:b w:val="0"/>
                            <w:sz w:val="20"/>
                            <w:szCs w:val="20"/>
                          </w:rPr>
                        </w:pPr>
                        <w:r w:rsidRPr="00432264">
                          <w:rPr>
                            <w:rFonts w:asciiTheme="minorHAnsi" w:hAnsiTheme="minorHAnsi" w:cstheme="minorHAnsi"/>
                            <w:b w:val="0"/>
                            <w:sz w:val="20"/>
                            <w:szCs w:val="20"/>
                          </w:rPr>
                          <w:t>Guinée-Bissau</w:t>
                        </w:r>
                      </w:p>
                    </w:tc>
                    <w:tc>
                      <w:tcPr>
                        <w:tcW w:w="1346" w:type="dxa"/>
                      </w:tcPr>
                      <w:p w:rsidR="000D2B26" w:rsidRPr="00432264" w:rsidRDefault="000D2B26" w:rsidP="00DA26F3">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6,0</w:t>
                        </w:r>
                      </w:p>
                    </w:tc>
                    <w:tc>
                      <w:tcPr>
                        <w:tcW w:w="1347" w:type="dxa"/>
                      </w:tcPr>
                      <w:p w:rsidR="000D2B26" w:rsidRPr="00432264" w:rsidRDefault="000D2B26" w:rsidP="00DA26F3">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1,4</w:t>
                        </w:r>
                      </w:p>
                    </w:tc>
                  </w:tr>
                  <w:tr w:rsidR="000D2B26" w:rsidRPr="00432264" w:rsidTr="00DA2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rsidR="000D2B26" w:rsidRPr="00432264" w:rsidRDefault="000D2B26" w:rsidP="00DA26F3">
                        <w:pPr>
                          <w:ind w:right="-1"/>
                          <w:rPr>
                            <w:rFonts w:asciiTheme="minorHAnsi" w:hAnsiTheme="minorHAnsi" w:cstheme="minorHAnsi"/>
                            <w:b w:val="0"/>
                            <w:sz w:val="20"/>
                            <w:szCs w:val="20"/>
                          </w:rPr>
                        </w:pPr>
                        <w:r w:rsidRPr="00432264">
                          <w:rPr>
                            <w:rFonts w:asciiTheme="minorHAnsi" w:hAnsiTheme="minorHAnsi" w:cstheme="minorHAnsi"/>
                            <w:b w:val="0"/>
                            <w:sz w:val="20"/>
                            <w:szCs w:val="20"/>
                          </w:rPr>
                          <w:t>Mali</w:t>
                        </w:r>
                      </w:p>
                    </w:tc>
                    <w:tc>
                      <w:tcPr>
                        <w:tcW w:w="1346" w:type="dxa"/>
                      </w:tcPr>
                      <w:p w:rsidR="000D2B26" w:rsidRPr="00432264" w:rsidRDefault="000D2B26" w:rsidP="00DA26F3">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4,9</w:t>
                        </w:r>
                      </w:p>
                    </w:tc>
                    <w:tc>
                      <w:tcPr>
                        <w:tcW w:w="1347" w:type="dxa"/>
                      </w:tcPr>
                      <w:p w:rsidR="000D2B26" w:rsidRPr="00432264" w:rsidRDefault="000D2B26" w:rsidP="00DA26F3">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2,1</w:t>
                        </w:r>
                      </w:p>
                    </w:tc>
                  </w:tr>
                  <w:tr w:rsidR="000D2B26" w:rsidRPr="00432264" w:rsidTr="00DA26F3">
                    <w:tc>
                      <w:tcPr>
                        <w:cnfStyle w:val="001000000000" w:firstRow="0" w:lastRow="0" w:firstColumn="1" w:lastColumn="0" w:oddVBand="0" w:evenVBand="0" w:oddHBand="0" w:evenHBand="0" w:firstRowFirstColumn="0" w:firstRowLastColumn="0" w:lastRowFirstColumn="0" w:lastRowLastColumn="0"/>
                        <w:tcW w:w="1560" w:type="dxa"/>
                      </w:tcPr>
                      <w:p w:rsidR="000D2B26" w:rsidRPr="00432264" w:rsidRDefault="000D2B26" w:rsidP="00DA26F3">
                        <w:pPr>
                          <w:ind w:right="-1"/>
                          <w:rPr>
                            <w:rFonts w:asciiTheme="minorHAnsi" w:hAnsiTheme="minorHAnsi" w:cstheme="minorHAnsi"/>
                            <w:b w:val="0"/>
                            <w:sz w:val="20"/>
                            <w:szCs w:val="20"/>
                          </w:rPr>
                        </w:pPr>
                        <w:r w:rsidRPr="00432264">
                          <w:rPr>
                            <w:rFonts w:asciiTheme="minorHAnsi" w:hAnsiTheme="minorHAnsi" w:cstheme="minorHAnsi"/>
                            <w:b w:val="0"/>
                            <w:sz w:val="20"/>
                            <w:szCs w:val="20"/>
                          </w:rPr>
                          <w:t>Niger</w:t>
                        </w:r>
                      </w:p>
                    </w:tc>
                    <w:tc>
                      <w:tcPr>
                        <w:tcW w:w="1346" w:type="dxa"/>
                      </w:tcPr>
                      <w:p w:rsidR="000D2B26" w:rsidRPr="00432264" w:rsidRDefault="000D2B26" w:rsidP="00DA26F3">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4,4</w:t>
                        </w:r>
                      </w:p>
                    </w:tc>
                    <w:tc>
                      <w:tcPr>
                        <w:tcW w:w="1347" w:type="dxa"/>
                      </w:tcPr>
                      <w:p w:rsidR="000D2B26" w:rsidRPr="00432264" w:rsidRDefault="000D2B26" w:rsidP="00DA26F3">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0,6</w:t>
                        </w:r>
                      </w:p>
                    </w:tc>
                  </w:tr>
                  <w:tr w:rsidR="000D2B26" w:rsidRPr="00432264" w:rsidTr="00DA2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rsidR="000D2B26" w:rsidRPr="00432264" w:rsidRDefault="000D2B26" w:rsidP="00DA26F3">
                        <w:pPr>
                          <w:ind w:right="-1"/>
                          <w:rPr>
                            <w:rFonts w:asciiTheme="minorHAnsi" w:hAnsiTheme="minorHAnsi" w:cstheme="minorHAnsi"/>
                            <w:b w:val="0"/>
                            <w:sz w:val="20"/>
                            <w:szCs w:val="20"/>
                          </w:rPr>
                        </w:pPr>
                        <w:r w:rsidRPr="00432264">
                          <w:rPr>
                            <w:rFonts w:asciiTheme="minorHAnsi" w:hAnsiTheme="minorHAnsi" w:cstheme="minorHAnsi"/>
                            <w:b w:val="0"/>
                            <w:sz w:val="20"/>
                            <w:szCs w:val="20"/>
                          </w:rPr>
                          <w:t>Sénégal</w:t>
                        </w:r>
                      </w:p>
                    </w:tc>
                    <w:tc>
                      <w:tcPr>
                        <w:tcW w:w="1346" w:type="dxa"/>
                      </w:tcPr>
                      <w:p w:rsidR="000D2B26" w:rsidRPr="00432264" w:rsidRDefault="000D2B26" w:rsidP="00DA26F3">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5,4</w:t>
                        </w:r>
                      </w:p>
                    </w:tc>
                    <w:tc>
                      <w:tcPr>
                        <w:tcW w:w="1347" w:type="dxa"/>
                      </w:tcPr>
                      <w:p w:rsidR="000D2B26" w:rsidRPr="00432264" w:rsidRDefault="000D2B26" w:rsidP="00DA26F3">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-0,5</w:t>
                        </w:r>
                      </w:p>
                    </w:tc>
                  </w:tr>
                  <w:tr w:rsidR="000D2B26" w:rsidRPr="00432264" w:rsidTr="00DA26F3">
                    <w:tc>
                      <w:tcPr>
                        <w:cnfStyle w:val="001000000000" w:firstRow="0" w:lastRow="0" w:firstColumn="1" w:lastColumn="0" w:oddVBand="0" w:evenVBand="0" w:oddHBand="0" w:evenHBand="0" w:firstRowFirstColumn="0" w:firstRowLastColumn="0" w:lastRowFirstColumn="0" w:lastRowLastColumn="0"/>
                        <w:tcW w:w="1560" w:type="dxa"/>
                      </w:tcPr>
                      <w:p w:rsidR="000D2B26" w:rsidRPr="00432264" w:rsidRDefault="000D2B26" w:rsidP="00DA26F3">
                        <w:pPr>
                          <w:ind w:right="-1"/>
                          <w:rPr>
                            <w:rFonts w:asciiTheme="minorHAnsi" w:hAnsiTheme="minorHAnsi" w:cstheme="minorHAnsi"/>
                            <w:b w:val="0"/>
                            <w:sz w:val="20"/>
                            <w:szCs w:val="20"/>
                          </w:rPr>
                        </w:pPr>
                        <w:r w:rsidRPr="00432264">
                          <w:rPr>
                            <w:rFonts w:asciiTheme="minorHAnsi" w:hAnsiTheme="minorHAnsi" w:cstheme="minorHAnsi"/>
                            <w:b w:val="0"/>
                            <w:sz w:val="20"/>
                            <w:szCs w:val="20"/>
                          </w:rPr>
                          <w:t>Togo</w:t>
                        </w:r>
                      </w:p>
                    </w:tc>
                    <w:tc>
                      <w:tcPr>
                        <w:tcW w:w="1346" w:type="dxa"/>
                      </w:tcPr>
                      <w:p w:rsidR="000D2B26" w:rsidRPr="00432264" w:rsidRDefault="000D2B26" w:rsidP="00DA26F3">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5,5</w:t>
                        </w:r>
                      </w:p>
                    </w:tc>
                    <w:tc>
                      <w:tcPr>
                        <w:tcW w:w="1347" w:type="dxa"/>
                      </w:tcPr>
                      <w:p w:rsidR="000D2B26" w:rsidRPr="00432264" w:rsidRDefault="000D2B26" w:rsidP="00DA26F3">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2,1</w:t>
                        </w:r>
                      </w:p>
                    </w:tc>
                  </w:tr>
                  <w:tr w:rsidR="000D2B26" w:rsidRPr="00432264" w:rsidTr="00DA2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rsidR="000D2B26" w:rsidRPr="00432264" w:rsidRDefault="000D2B26" w:rsidP="00DA26F3">
                        <w:pPr>
                          <w:ind w:right="-1"/>
                          <w:rPr>
                            <w:rFonts w:asciiTheme="minorHAnsi" w:hAnsiTheme="minorHAnsi" w:cstheme="minorHAnsi"/>
                            <w:sz w:val="20"/>
                            <w:szCs w:val="20"/>
                          </w:rPr>
                        </w:pPr>
                        <w:r>
                          <w:rPr>
                            <w:rFonts w:asciiTheme="minorHAnsi" w:hAnsiTheme="minorHAnsi" w:cstheme="minorHAnsi"/>
                            <w:sz w:val="20"/>
                            <w:szCs w:val="20"/>
                          </w:rPr>
                          <w:t>Total UEMOA</w:t>
                        </w:r>
                      </w:p>
                    </w:tc>
                    <w:tc>
                      <w:tcPr>
                        <w:tcW w:w="1346" w:type="dxa"/>
                      </w:tcPr>
                      <w:p w:rsidR="000D2B26" w:rsidRPr="003D7F86" w:rsidRDefault="000D2B26" w:rsidP="00DA26F3">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3D7F86">
                          <w:rPr>
                            <w:rFonts w:asciiTheme="minorHAnsi" w:hAnsiTheme="minorHAnsi" w:cstheme="minorHAnsi"/>
                            <w:b/>
                            <w:sz w:val="20"/>
                            <w:szCs w:val="20"/>
                          </w:rPr>
                          <w:t>6,5</w:t>
                        </w:r>
                      </w:p>
                    </w:tc>
                    <w:tc>
                      <w:tcPr>
                        <w:tcW w:w="1347" w:type="dxa"/>
                      </w:tcPr>
                      <w:p w:rsidR="000D2B26" w:rsidRPr="003D7F86" w:rsidRDefault="000D2B26" w:rsidP="00DA26F3">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3D7F86">
                          <w:rPr>
                            <w:rFonts w:asciiTheme="minorHAnsi" w:hAnsiTheme="minorHAnsi" w:cstheme="minorHAnsi"/>
                            <w:b/>
                            <w:sz w:val="20"/>
                            <w:szCs w:val="20"/>
                          </w:rPr>
                          <w:t>1,0</w:t>
                        </w:r>
                      </w:p>
                    </w:tc>
                  </w:tr>
                </w:tbl>
                <w:p w:rsidR="000D2B26" w:rsidRDefault="000D2B26" w:rsidP="00DA26F3">
                  <w:pPr>
                    <w:ind w:right="-1"/>
                    <w:jc w:val="both"/>
                    <w:rPr>
                      <w:rFonts w:ascii="Calibri" w:hAnsi="Calibri"/>
                      <w:i/>
                      <w:color w:val="365F91" w:themeColor="accent1" w:themeShade="BF"/>
                      <w:sz w:val="24"/>
                      <w:szCs w:val="24"/>
                    </w:rPr>
                  </w:pPr>
                  <w:r w:rsidRPr="007474AC">
                    <w:rPr>
                      <w:rFonts w:ascii="Calibri" w:hAnsi="Calibri"/>
                      <w:sz w:val="20"/>
                      <w:szCs w:val="20"/>
                    </w:rPr>
                    <w:t>Source : Commission UEMOA</w:t>
                  </w:r>
                </w:p>
              </w:tc>
            </w:tr>
          </w:tbl>
          <w:p w:rsidR="000D2B26" w:rsidRDefault="000D2B26" w:rsidP="003D7F86">
            <w:pPr>
              <w:spacing w:before="120" w:after="120"/>
              <w:jc w:val="both"/>
              <w:rPr>
                <w:rFonts w:asciiTheme="minorHAnsi" w:hAnsiTheme="minorHAnsi" w:cs="Arial"/>
                <w:sz w:val="24"/>
                <w:szCs w:val="24"/>
              </w:rPr>
            </w:pPr>
          </w:p>
        </w:tc>
      </w:tr>
    </w:tbl>
    <w:p w:rsidR="009A099F" w:rsidRDefault="003D7F86" w:rsidP="003D7F86">
      <w:pPr>
        <w:spacing w:before="120" w:after="120"/>
        <w:jc w:val="both"/>
        <w:rPr>
          <w:rFonts w:asciiTheme="minorHAnsi" w:hAnsiTheme="minorHAnsi" w:cs="Arial"/>
          <w:sz w:val="24"/>
          <w:szCs w:val="24"/>
        </w:rPr>
      </w:pPr>
      <w:r w:rsidRPr="003D7F86">
        <w:rPr>
          <w:rFonts w:asciiTheme="minorHAnsi" w:hAnsiTheme="minorHAnsi" w:cs="Arial"/>
          <w:sz w:val="24"/>
          <w:szCs w:val="24"/>
        </w:rPr>
        <w:t>En effet, au cours des huit premiers mois de l’année 2015, les prix ont progressé de 0,9% contre -0,2% au cours de la même période en 2014. La hausse enregistrée est liée principalement à celle des prix des « produits alimentaires et boissons non alcoolisés » en hausse de 1,5% contre 2,0% pour la période équivalente en 2014. Cette augmentation a été atténuée par la diminution observée au niveau des prix de la fonction « transport » en recul de 1,0%. Si cette tendance se maintenait, le taux d’inflation annuel moyen ressortirait à 1,0% en 2015. Par pays, le taux d’inflation se présenterait comme suit : Bénin (0,0%), Burkina Faso (1,0%), Côte d’Ivoire (1,5%), Guinée-Bissau (1,4%), Mali (2,1%), Niger (0,6%), Sénégal (-0,5%) et Togo (2,1%).</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6"/>
      </w:tblGrid>
      <w:tr w:rsidR="000D2B26" w:rsidTr="000D2B26">
        <w:tc>
          <w:tcPr>
            <w:tcW w:w="5984" w:type="dxa"/>
          </w:tcPr>
          <w:p w:rsidR="008E22CA" w:rsidRDefault="008E22CA" w:rsidP="000D2B26">
            <w:pPr>
              <w:spacing w:before="120"/>
              <w:rPr>
                <w:rFonts w:ascii="Calibri" w:hAnsi="Calibri"/>
                <w:b/>
                <w:color w:val="365F91" w:themeColor="accent1" w:themeShade="BF"/>
                <w:sz w:val="24"/>
                <w:szCs w:val="24"/>
              </w:rPr>
            </w:pPr>
          </w:p>
          <w:p w:rsidR="008E22CA" w:rsidRDefault="008E22CA" w:rsidP="000D2B26">
            <w:pPr>
              <w:spacing w:before="120"/>
              <w:rPr>
                <w:rFonts w:ascii="Calibri" w:hAnsi="Calibri"/>
                <w:b/>
                <w:color w:val="365F91" w:themeColor="accent1" w:themeShade="BF"/>
                <w:sz w:val="24"/>
                <w:szCs w:val="24"/>
              </w:rPr>
            </w:pPr>
          </w:p>
          <w:p w:rsidR="008E22CA" w:rsidRDefault="008E22CA" w:rsidP="000D2B26">
            <w:pPr>
              <w:spacing w:before="120"/>
              <w:rPr>
                <w:rFonts w:ascii="Calibri" w:hAnsi="Calibri"/>
                <w:b/>
                <w:color w:val="365F91" w:themeColor="accent1" w:themeShade="BF"/>
                <w:sz w:val="24"/>
                <w:szCs w:val="24"/>
              </w:rPr>
            </w:pPr>
          </w:p>
          <w:p w:rsidR="008E22CA" w:rsidRDefault="008E22CA" w:rsidP="000D2B26">
            <w:pPr>
              <w:spacing w:before="120"/>
              <w:rPr>
                <w:rFonts w:ascii="Calibri" w:hAnsi="Calibri"/>
                <w:b/>
                <w:color w:val="365F91" w:themeColor="accent1" w:themeShade="BF"/>
                <w:sz w:val="24"/>
                <w:szCs w:val="24"/>
              </w:rPr>
            </w:pPr>
          </w:p>
          <w:p w:rsidR="000D2B26" w:rsidRDefault="007C0D66" w:rsidP="000D2B26">
            <w:pPr>
              <w:spacing w:before="120"/>
              <w:rPr>
                <w:rFonts w:ascii="Calibri" w:hAnsi="Calibri"/>
                <w:i/>
                <w:color w:val="365F91" w:themeColor="accent1" w:themeShade="BF"/>
                <w:sz w:val="24"/>
                <w:szCs w:val="24"/>
              </w:rPr>
            </w:pPr>
            <w:r>
              <w:rPr>
                <w:rFonts w:ascii="Calibri" w:hAnsi="Calibri"/>
                <w:b/>
                <w:color w:val="365F91" w:themeColor="accent1" w:themeShade="BF"/>
                <w:sz w:val="24"/>
                <w:szCs w:val="24"/>
              </w:rPr>
              <w:lastRenderedPageBreak/>
              <w:t xml:space="preserve">Graphique </w:t>
            </w:r>
            <w:r w:rsidR="00220E46">
              <w:rPr>
                <w:rFonts w:ascii="Calibri" w:hAnsi="Calibri"/>
                <w:b/>
                <w:color w:val="365F91" w:themeColor="accent1" w:themeShade="BF"/>
                <w:sz w:val="24"/>
                <w:szCs w:val="24"/>
              </w:rPr>
              <w:t>2</w:t>
            </w:r>
            <w:r w:rsidR="000D2B26">
              <w:rPr>
                <w:rFonts w:ascii="Calibri" w:hAnsi="Calibri"/>
                <w:b/>
                <w:color w:val="365F91" w:themeColor="accent1" w:themeShade="BF"/>
                <w:sz w:val="24"/>
                <w:szCs w:val="24"/>
              </w:rPr>
              <w:t>. Prévisions des</w:t>
            </w:r>
            <w:r w:rsidR="000D2B26" w:rsidRPr="006B6C1B">
              <w:rPr>
                <w:rFonts w:ascii="Calibri" w:hAnsi="Calibri"/>
                <w:b/>
                <w:color w:val="365F91" w:themeColor="accent1" w:themeShade="BF"/>
                <w:sz w:val="24"/>
                <w:szCs w:val="24"/>
              </w:rPr>
              <w:t xml:space="preserve"> taux de croissance et du taux d’inflation </w:t>
            </w:r>
            <w:r w:rsidR="000D2B26">
              <w:rPr>
                <w:rFonts w:ascii="Calibri" w:hAnsi="Calibri"/>
                <w:b/>
                <w:color w:val="365F91" w:themeColor="accent1" w:themeShade="BF"/>
                <w:sz w:val="24"/>
                <w:szCs w:val="24"/>
              </w:rPr>
              <w:t>dans</w:t>
            </w:r>
            <w:r w:rsidR="000D2B26" w:rsidRPr="006B6C1B">
              <w:rPr>
                <w:rFonts w:ascii="Calibri" w:hAnsi="Calibri"/>
                <w:b/>
                <w:color w:val="365F91" w:themeColor="accent1" w:themeShade="BF"/>
                <w:sz w:val="24"/>
                <w:szCs w:val="24"/>
              </w:rPr>
              <w:t xml:space="preserve"> l’UEMOA</w:t>
            </w:r>
            <w:r w:rsidR="000D2B26">
              <w:rPr>
                <w:rFonts w:ascii="Calibri" w:hAnsi="Calibri"/>
                <w:b/>
                <w:color w:val="365F91" w:themeColor="accent1" w:themeShade="BF"/>
                <w:sz w:val="24"/>
                <w:szCs w:val="24"/>
              </w:rPr>
              <w:t xml:space="preserve"> en 2015 </w:t>
            </w:r>
            <w:r w:rsidR="000D2B26" w:rsidRPr="00D35050">
              <w:rPr>
                <w:rFonts w:ascii="Calibri" w:hAnsi="Calibri"/>
                <w:i/>
                <w:color w:val="365F91" w:themeColor="accent1" w:themeShade="BF"/>
                <w:sz w:val="20"/>
                <w:szCs w:val="20"/>
              </w:rPr>
              <w:t>(en glissement annuel)</w:t>
            </w:r>
          </w:p>
        </w:tc>
      </w:tr>
      <w:tr w:rsidR="000D2B26" w:rsidTr="000D2B26">
        <w:tc>
          <w:tcPr>
            <w:tcW w:w="5984" w:type="dxa"/>
          </w:tcPr>
          <w:p w:rsidR="000D2B26" w:rsidRDefault="000D2B26" w:rsidP="006B6C1B">
            <w:pPr>
              <w:spacing w:before="120" w:after="120"/>
              <w:jc w:val="both"/>
              <w:rPr>
                <w:rFonts w:ascii="Calibri" w:hAnsi="Calibri"/>
                <w:i/>
                <w:color w:val="365F91" w:themeColor="accent1" w:themeShade="BF"/>
                <w:sz w:val="24"/>
                <w:szCs w:val="24"/>
              </w:rPr>
            </w:pPr>
            <w:r>
              <w:rPr>
                <w:rFonts w:ascii="Calibri" w:hAnsi="Calibri"/>
                <w:i/>
                <w:noProof/>
                <w:color w:val="365F91" w:themeColor="accent1" w:themeShade="BF"/>
                <w:sz w:val="24"/>
                <w:szCs w:val="24"/>
                <w:lang w:val="de-DE" w:eastAsia="de-DE"/>
              </w:rPr>
              <w:lastRenderedPageBreak/>
              <w:drawing>
                <wp:inline distT="0" distB="0" distL="0" distR="0">
                  <wp:extent cx="5706110" cy="2481580"/>
                  <wp:effectExtent l="0" t="0" r="889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06110" cy="2481580"/>
                          </a:xfrm>
                          <a:prstGeom prst="rect">
                            <a:avLst/>
                          </a:prstGeom>
                          <a:noFill/>
                        </pic:spPr>
                      </pic:pic>
                    </a:graphicData>
                  </a:graphic>
                </wp:inline>
              </w:drawing>
            </w:r>
          </w:p>
        </w:tc>
      </w:tr>
    </w:tbl>
    <w:p w:rsidR="007E7C87" w:rsidRDefault="007E7C87" w:rsidP="007E7C87">
      <w:pPr>
        <w:spacing w:before="120" w:after="120"/>
        <w:jc w:val="both"/>
        <w:rPr>
          <w:rFonts w:asciiTheme="minorHAnsi" w:hAnsiTheme="minorHAnsi" w:cs="Arial"/>
          <w:sz w:val="24"/>
          <w:szCs w:val="24"/>
          <w:lang w:bidi="fr-FR"/>
        </w:rPr>
      </w:pP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b/>
          <w:sz w:val="24"/>
          <w:szCs w:val="24"/>
          <w:lang w:bidi="fr-FR"/>
        </w:rPr>
        <w:t>L’exécution des opérations financières de l’État s’est traduite en 2015 par une aggravation des déficits</w:t>
      </w:r>
      <w:r w:rsidRPr="00E46EB5">
        <w:rPr>
          <w:rFonts w:asciiTheme="minorHAnsi" w:hAnsiTheme="minorHAnsi" w:cs="Arial"/>
          <w:sz w:val="24"/>
          <w:szCs w:val="24"/>
          <w:lang w:bidi="fr-FR"/>
        </w:rPr>
        <w:t xml:space="preserve">, l’accroissement des recettes étant plus faible que celui des dépenses. Les recettes budgétaires ont progressé de 11,7% pour représenter 18,4% du PIB contre 17,8% en 2014. Cette hausse s’explique par la poursuite des efforts d’amélioration des recouvrements à travers notamment l’informatisation des régies, la lutte contre la fraude et le renforcement des moyens des régies. Il en est résulté une hausse des recettes fiscales de 10,7% induisant un taux de pression fiscale de 16,4% contre 16,0% en 2014. Les améliorations sensibles de la pression fiscale en 2015 ont été obtenues par la Guinée Bissau (+1,7 point), le Mali (+1,5 point), le Niger (+1,3 point). Par ailleurs, le Sénégal et le Togo continuent d’avoir des taux de pression fiscale de près de 20%. Par pays, le taux de pression fiscale en 2015 se présente comme suit : Bénin (14,7%), Burkina Faso (14,6%), Côte d’Ivoire (15,5%), Guinée-Bissau (10,4%), Mali (16,5%), Niger (17,0%), Sénégal (19,6%) et Togo (20,3%). </w:t>
      </w: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sz w:val="24"/>
          <w:szCs w:val="24"/>
          <w:lang w:bidi="fr-FR"/>
        </w:rPr>
        <w:t>Les recettes non fiscales se sont accrues de 20,5% pour représenter 2,0% du PIB contre 1,8% en 2014. Les dons ont augmenté pour représenter 3,0% du PIB contre 2,7% en 2014. Cette hausse est liée aux accroissements au Burkina Faso, en Côte d’Ivoire et au Niger, atténués par les reculs au Bénin et au Sénégal.</w:t>
      </w: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sz w:val="24"/>
          <w:szCs w:val="24"/>
          <w:lang w:bidi="fr-FR"/>
        </w:rPr>
        <w:t>Quant aux dépenses totales et prêts nets, ils ont progressé de 15,2% en 2015 pour représenter 25,7% du PIB contre 24,2% en 2014, portés par la très forte progression en Côte d’Ivoire (+24,8%). Cette évolution provient des dépenses en capital qui ont augmenté de 20,4% et des dépenses courantes en hausse de 13,5%, en liaison avec les accroissements des transferts et subventions de 11,9%, des dépenses de fonctionnement de 14,8% et de la masse salariale de 10,6%. L’augmentation de la masse salariale est liée principalement aux progressions en Côte d’Ivoire (12,3%), au Mali (17,1%), au Niger (13,7%) et au Togo (13,5%). L’augmentation de la masse salariale s’explique par le déblocage des avancements indiciaires et les nouveaux recrutements, dans certains Etats membres. L’accroissement des dépenses en capital est dû à la poursuite des travaux de construction des infrastructures. Les progressions les plus fortes ont été notées au Bénin (57,2%), en Côte d’Ivoire (34,4%), au Mali (14,0%), au Niger (16,9%) et au Togo (24,1%).</w:t>
      </w: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sz w:val="24"/>
          <w:szCs w:val="24"/>
          <w:lang w:bidi="fr-FR"/>
        </w:rPr>
        <w:lastRenderedPageBreak/>
        <w:t>Au total, le déficit global hors dons et le déficit global ont représenté, respectivement, 7,1% et 4,0% du PIB en 2015 contre 6,1% et 3,1% en 2014.</w:t>
      </w:r>
    </w:p>
    <w:p w:rsidR="004356EE" w:rsidRDefault="004356EE" w:rsidP="00E46EB5">
      <w:pPr>
        <w:spacing w:before="120" w:after="120"/>
        <w:jc w:val="both"/>
        <w:rPr>
          <w:rFonts w:asciiTheme="minorHAnsi" w:hAnsiTheme="minorHAnsi" w:cs="Arial"/>
          <w:b/>
          <w:sz w:val="24"/>
          <w:szCs w:val="24"/>
          <w:lang w:bidi="fr-FR"/>
        </w:rPr>
      </w:pP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b/>
          <w:sz w:val="24"/>
          <w:szCs w:val="24"/>
          <w:lang w:bidi="fr-FR"/>
        </w:rPr>
        <w:t>L’encours de la dette publique</w:t>
      </w:r>
      <w:r w:rsidRPr="00E46EB5">
        <w:rPr>
          <w:rFonts w:asciiTheme="minorHAnsi" w:hAnsiTheme="minorHAnsi" w:cs="Arial"/>
          <w:sz w:val="24"/>
          <w:szCs w:val="24"/>
          <w:lang w:bidi="fr-FR"/>
        </w:rPr>
        <w:t xml:space="preserve"> rapporté au PIB nominal est ressorti à 39,3% en 2015 contre 37,6% en 2014. Son niveau et son évolution ne sont pas sources de préoccupation particulière. Toutefois, le taux d’endettement s’est rapidement accru dans trois Etats membres avec des taux de plus de 40%.</w:t>
      </w:r>
    </w:p>
    <w:p w:rsidR="004356EE" w:rsidRDefault="004356EE" w:rsidP="00E46EB5">
      <w:pPr>
        <w:spacing w:before="120" w:after="120"/>
        <w:jc w:val="both"/>
        <w:rPr>
          <w:rFonts w:asciiTheme="minorHAnsi" w:hAnsiTheme="minorHAnsi" w:cs="Arial"/>
          <w:b/>
          <w:sz w:val="24"/>
          <w:szCs w:val="24"/>
          <w:lang w:bidi="fr-FR"/>
        </w:rPr>
      </w:pP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b/>
          <w:sz w:val="24"/>
          <w:szCs w:val="24"/>
          <w:lang w:bidi="fr-FR"/>
        </w:rPr>
        <w:t>Les échanges extérieurs</w:t>
      </w:r>
      <w:r w:rsidRPr="00E46EB5">
        <w:rPr>
          <w:rFonts w:asciiTheme="minorHAnsi" w:hAnsiTheme="minorHAnsi" w:cs="Arial"/>
          <w:sz w:val="24"/>
          <w:szCs w:val="24"/>
          <w:lang w:bidi="fr-FR"/>
        </w:rPr>
        <w:t xml:space="preserve"> au titre de l'année 2015 se solderaient par un excédent global de 587,5 milliards, en amélioration de 513,0 milliards par rapport aux réalisations de 2014. Cette orientation favorable résulterait d'une réduction du déficit du compte courant et d'une hausse de l'excédent du compte de capital, dont les effets seraient atténués par la baisse des flux nets de capitaux étrangers en faveur des États membres de l'Union.</w:t>
      </w: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sz w:val="24"/>
          <w:szCs w:val="24"/>
          <w:lang w:bidi="fr-FR"/>
        </w:rPr>
        <w:t>Le déficit du compte courant hors dons ressortirait à 6,3% du PIB en 2015, contre 7,2% du PIB une année plus tôt, soit une amélioration de 0,9 point de pourcentage du PIB. Cette évolution proviendrait des comptes des biens et du revenu secondaire, dont les effets seraient modérés par la hausse du déficit des services et de celui du compte du revenu primaire.</w:t>
      </w: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sz w:val="24"/>
          <w:szCs w:val="24"/>
          <w:lang w:bidi="fr-FR"/>
        </w:rPr>
        <w:t>Le déficit de la balance des biens devrait s'inscrire en baisse d'environ 25,8%, sous l'effet d'une progression des exportations (+5,7%) plus forte que celle des importations (+2,6%). L'augmentation des exportations proviendrait essentiellement de celles de produits tels que la noix de cajou (+63,3%), le café (+39,4%), le cacao (+25,7%), le coton (+14,9%) et l'or (+14,1%), en raison d'un accroissement du volume et de la hausse des prix en FCFA de ces spéculations sur les marchés internationaux. L'effet-prix favorable serait renforcé par l'appréciation du dollar par rapport à l'euro. La dynamique des exportations a toutefois été ralentie par l'orientation à la baisse des recettes issues des ventes de pétrole (-22,3%), d'uranium (-1,1%) et de bois (-4,8%), en liaison principalement avec le recul des cours internationaux de ces produits et l'arrêt de la commercialisation du minerai d'uranium par les principales sociétés exportatrices au cours du premier trimestre 2015.</w:t>
      </w: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sz w:val="24"/>
          <w:szCs w:val="24"/>
          <w:lang w:bidi="fr-FR"/>
        </w:rPr>
        <w:t>La hausse des importations de biens en 2015 (+2,6%) est imputable, pour l'essentiel, aux approvisionnements en produits alimentaires (+5,1%) et autres biens de consommation courante (+8,7%) ainsi qu'aux biens d'équipement et intermédiaires (+8,6%). La poursuite des travaux de construction d'infrastructures dans le cadre de la mise en œuvre des plans nationaux de développement serait à l'origine de l'accroissement des achats de biens intermédiaires et d'équipement. Le rythme de progression des importations serait toutefois atténué par le repli de la facture pétrolière (-17,8%), en raison de la chute d'environ 30,0% des cours du baril de pétrole brut.</w:t>
      </w: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sz w:val="24"/>
          <w:szCs w:val="24"/>
          <w:lang w:bidi="fr-FR"/>
        </w:rPr>
        <w:t>Le déficit de la balance des services ressortirait en hausse (+8,7%), à cause principalement de l'alourdissement des factures au titre du fret (+6,1%) et des autres prestations de services (études, engineering), rendus notamment aux sociétés minières et pétrolières.</w:t>
      </w: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sz w:val="24"/>
          <w:szCs w:val="24"/>
          <w:lang w:bidi="fr-FR"/>
        </w:rPr>
        <w:t xml:space="preserve">Le déficit du compte du revenu primaire s'inscrirait en hausse de 5,7%, sous l'effet de la hausse des paiements d'intérêts sur la dette extérieure. L'évolution du solde de ce compte serait atténuée par la baisse des versements de dividendes aux actionnaires étrangers des principales entreprises exportatrices de l'Union (or, uranium et pétrole), en relation notamment avec le recul du chiffre d'affaires des entreprises exportatrices en 2014. </w:t>
      </w:r>
      <w:r w:rsidRPr="00E46EB5">
        <w:rPr>
          <w:rFonts w:asciiTheme="minorHAnsi" w:hAnsiTheme="minorHAnsi" w:cs="Arial"/>
          <w:sz w:val="24"/>
          <w:szCs w:val="24"/>
          <w:lang w:bidi="fr-FR"/>
        </w:rPr>
        <w:lastRenderedPageBreak/>
        <w:t>L'excédent du compte du revenu secondaire progresserait de 7,1%, sous l'effet de la hausse des aides-budgétaires (+9,4%) et des transferts de fonds des migrants (+11,1%).</w:t>
      </w: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sz w:val="24"/>
          <w:szCs w:val="24"/>
          <w:lang w:bidi="fr-FR"/>
        </w:rPr>
        <w:t>L'excédent du compte de capital se situerait à 1.261,1 milliards, contre une réalisation de 1.161,5 milliards un an plus tôt, en raison principalement de la hausse des dons-projets dans le cadre du financement des projets de construction d'infrastructures publiques.</w:t>
      </w: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sz w:val="24"/>
          <w:szCs w:val="24"/>
          <w:lang w:bidi="fr-FR"/>
        </w:rPr>
        <w:t>Les entrées nettes de capitaux étrangers au titre du compte financier ressortiraient à 2.102,3 milliards en 2015, en baisse de 11,8% par rapport à 2014. Cette évolution traduirait  essentiellement le recul des investissements directs étrangers (IDE) et des « autres investissements », les flux nets d'investissements de portefeuille étant en hausse. Le recul des flux nets d'IDE serait notamment lié à l'attentisme des investisseurs dans les secteurs minier et pétrolier face aux perspectives peu favorables d'évolution des cours de ces matières premières. La baisse des flux nets au titre des « autres investissements » traduirait notamment une diminution des engagements nets au titre des crédits commerciaux contractés en 2014, dans le cadre du financement du déficit des biens et services. Quant à la hausse des flux nets d'investissements de portefeuille, elle s'expliquerait essentiellement par l'émission au cours de l'année 2015 d’euro-bonds par l'Etat de Côte d'Ivoire, pour un montant de 978,2 millions de dollars US, soit une contre-valeur d'environ 572,1 milliards de FCFA.</w:t>
      </w:r>
    </w:p>
    <w:p w:rsidR="004356EE" w:rsidRDefault="004356EE" w:rsidP="00E46EB5">
      <w:pPr>
        <w:spacing w:before="120" w:after="120"/>
        <w:jc w:val="both"/>
        <w:rPr>
          <w:rFonts w:asciiTheme="minorHAnsi" w:hAnsiTheme="minorHAnsi" w:cs="Arial"/>
          <w:b/>
          <w:sz w:val="24"/>
          <w:szCs w:val="24"/>
          <w:lang w:bidi="fr-FR"/>
        </w:rPr>
      </w:pP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b/>
          <w:sz w:val="24"/>
          <w:szCs w:val="24"/>
          <w:lang w:bidi="fr-FR"/>
        </w:rPr>
        <w:t xml:space="preserve">La situation monétaire </w:t>
      </w:r>
      <w:r w:rsidRPr="00E46EB5">
        <w:rPr>
          <w:rFonts w:asciiTheme="minorHAnsi" w:hAnsiTheme="minorHAnsi" w:cs="Arial"/>
          <w:sz w:val="24"/>
          <w:szCs w:val="24"/>
          <w:lang w:bidi="fr-FR"/>
        </w:rPr>
        <w:t xml:space="preserve">de l’Union à fin décembre 2015 a été caractérisée par un accroissement de la masse monétaire consécutif à la progression du crédit intérieur.  </w:t>
      </w: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sz w:val="24"/>
          <w:szCs w:val="24"/>
          <w:lang w:bidi="fr-FR"/>
        </w:rPr>
        <w:t xml:space="preserve">L’encours du crédit intérieur a augmenté de 2.053,4 milliards ou 12,5%, par rapport à son niveau à fin décembre 2014, pour se situer à 18.461,3 milliards à fin décembre 2015. </w:t>
      </w: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sz w:val="24"/>
          <w:szCs w:val="24"/>
          <w:lang w:bidi="fr-FR"/>
        </w:rPr>
        <w:t xml:space="preserve">L'encours des crédits à l’économie s'est accru de 1.449,6 milliards ou 12,4%, pour s'établir à 13.142,0 milliards à fin décembre 2015, en liaison avec l'accroissement de 1.445,8 milliards des crédits ordinaires et celle de 3,8 milliards des crédits de campagne. La hausse des crédits ordinaires résulte principalement des concours octroyés à des entreprises des secteurs de l’énergie, de l'agro-industrie, des télécommunications, des transports, des mines, du commerce général et des services.  </w:t>
      </w: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sz w:val="24"/>
          <w:szCs w:val="24"/>
          <w:lang w:bidi="fr-FR"/>
        </w:rPr>
        <w:t xml:space="preserve">La position nette débitrice des Gouvernements vis-à-vis du système bancaire s’est établie à 5.319,3 milliards au 31 décembre 2015, en détérioration de 603,7 milliards par rapport à son niveau à fin décembre 2014. Cette évolution résulte essentiellement de l'accroissement des dettes des Etats à l'égard des banques, en liaison avec la hausse des émissions nettes de titres publics. </w:t>
      </w: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sz w:val="24"/>
          <w:szCs w:val="24"/>
          <w:lang w:bidi="fr-FR"/>
        </w:rPr>
        <w:t xml:space="preserve">Les avoirs extérieurs nets des institutions monétaires ont augmenté de 587,5 milliards ou 12,1%, au terme des douze mois de l'année 2015 pour ressortir à 5.428,0 milliards à fin décembre 2015. </w:t>
      </w:r>
    </w:p>
    <w:p w:rsidR="00E46EB5" w:rsidRPr="00E46EB5" w:rsidRDefault="00E46EB5" w:rsidP="00E46EB5">
      <w:pPr>
        <w:spacing w:before="120" w:after="120"/>
        <w:jc w:val="both"/>
        <w:rPr>
          <w:rFonts w:asciiTheme="minorHAnsi" w:hAnsiTheme="minorHAnsi" w:cs="Arial"/>
          <w:sz w:val="24"/>
          <w:szCs w:val="24"/>
          <w:lang w:bidi="fr-FR"/>
        </w:rPr>
      </w:pPr>
      <w:r w:rsidRPr="00E46EB5">
        <w:rPr>
          <w:rFonts w:asciiTheme="minorHAnsi" w:hAnsiTheme="minorHAnsi" w:cs="Arial"/>
          <w:sz w:val="24"/>
          <w:szCs w:val="24"/>
          <w:lang w:bidi="fr-FR"/>
        </w:rPr>
        <w:t>En liaison avec l’évolution de ses contreparties, la masse monétaire s'est consolidée de 2.350,1 milliards ou 12,4%, pour ressortir à 21.308,4 milliards à fin décembre 2015. Ce renforcement s'est reflété à travers le raffermissement des dépôts de 2165,4 milliards ou 15,3% et de la circulation fiduciaire de 350,8 milliards ou 7,5%.</w:t>
      </w:r>
    </w:p>
    <w:p w:rsidR="004356EE" w:rsidRDefault="004356EE" w:rsidP="00E46EB5">
      <w:pPr>
        <w:spacing w:before="120" w:after="120"/>
        <w:jc w:val="both"/>
        <w:rPr>
          <w:rFonts w:asciiTheme="minorHAnsi" w:hAnsiTheme="minorHAnsi" w:cs="Arial"/>
          <w:b/>
          <w:sz w:val="24"/>
          <w:szCs w:val="24"/>
          <w:lang w:bidi="fr-FR"/>
        </w:rPr>
      </w:pPr>
    </w:p>
    <w:p w:rsidR="00E46EB5" w:rsidRPr="00E46EB5" w:rsidRDefault="00E46EB5" w:rsidP="00E46EB5">
      <w:pPr>
        <w:spacing w:before="120" w:after="120"/>
        <w:jc w:val="both"/>
        <w:rPr>
          <w:rFonts w:asciiTheme="minorHAnsi" w:hAnsiTheme="minorHAnsi" w:cs="Arial"/>
          <w:sz w:val="24"/>
          <w:szCs w:val="24"/>
          <w:lang w:bidi="fr-FR"/>
        </w:rPr>
      </w:pPr>
      <w:r w:rsidRPr="004356EE">
        <w:rPr>
          <w:rFonts w:asciiTheme="minorHAnsi" w:hAnsiTheme="minorHAnsi" w:cs="Arial"/>
          <w:b/>
          <w:sz w:val="24"/>
          <w:szCs w:val="24"/>
          <w:lang w:bidi="fr-FR"/>
        </w:rPr>
        <w:t>Pour 2016, il est attendu un taux de croissance de 7,2%.</w:t>
      </w:r>
      <w:r w:rsidRPr="00E46EB5">
        <w:rPr>
          <w:rFonts w:asciiTheme="minorHAnsi" w:hAnsiTheme="minorHAnsi" w:cs="Arial"/>
          <w:sz w:val="24"/>
          <w:szCs w:val="24"/>
          <w:lang w:bidi="fr-FR"/>
        </w:rPr>
        <w:t xml:space="preserve"> La croissance, attendue en hausse dans tous les États membres, serait portée principalement par une amélioration des </w:t>
      </w:r>
      <w:r w:rsidRPr="00E46EB5">
        <w:rPr>
          <w:rFonts w:asciiTheme="minorHAnsi" w:hAnsiTheme="minorHAnsi" w:cs="Arial"/>
          <w:sz w:val="24"/>
          <w:szCs w:val="24"/>
          <w:lang w:bidi="fr-FR"/>
        </w:rPr>
        <w:lastRenderedPageBreak/>
        <w:t>performances de tous les secteurs, dans la plupart des États membres. La bonne tenue du secteur primaire serait en rapport avec les efforts d’investissement dans le cadre de la mise en œuvre des programmes nationaux de développement agricole dans les Etats membres. Au niveau du secteur secondaire, il est attendu, d’une part, une bonne tenue des BTP, en liaison avec la poursuite des travaux de construction d’infrastructures de base, et, d’autre part, des industries extractives. Les performances du secteur tertiaire seraient portées par le commerce, les transports et les communications. La bonne tenue du commerce serait en relation avec la commercialisation des excédents agricoles des campagnes agricoles précédentes. Les résultats attendus au niveau des transports s’expliqueraient par la modernisation des infrastructures portuaires et les performances des communications seraient portées par les différentes innovations des sociétés de télécom et la promotion de nouveaux produits.</w:t>
      </w:r>
    </w:p>
    <w:p w:rsidR="00D43FDF" w:rsidRDefault="00D43FDF">
      <w:pPr>
        <w:rPr>
          <w:rFonts w:asciiTheme="minorHAnsi" w:hAnsiTheme="minorHAnsi" w:cs="Arial"/>
          <w:sz w:val="24"/>
          <w:szCs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8"/>
        <w:gridCol w:w="4739"/>
      </w:tblGrid>
      <w:tr w:rsidR="005D4440" w:rsidTr="00C107DD">
        <w:tc>
          <w:tcPr>
            <w:tcW w:w="4548" w:type="dxa"/>
          </w:tcPr>
          <w:p w:rsidR="005D4440" w:rsidRDefault="004356EE" w:rsidP="00F363EB">
            <w:pPr>
              <w:spacing w:before="120" w:after="120"/>
              <w:jc w:val="both"/>
              <w:rPr>
                <w:rFonts w:asciiTheme="minorHAnsi" w:hAnsiTheme="minorHAnsi" w:cs="Arial"/>
                <w:sz w:val="24"/>
                <w:szCs w:val="24"/>
              </w:rPr>
            </w:pPr>
            <w:r w:rsidRPr="004356EE">
              <w:rPr>
                <w:rFonts w:asciiTheme="minorHAnsi" w:hAnsiTheme="minorHAnsi" w:cs="Arial"/>
                <w:sz w:val="24"/>
                <w:szCs w:val="24"/>
              </w:rPr>
              <w:t>Par pays, le taux de croissance se présenterait comme suit : Bénin (5,8%), Burkina Faso (6,0%), Côte d’Ivoire (9,8%), Guinée-Bissau (6,3%), Mali (5,4%), Niger (5,0%), Sénégal (6,0%) et Togo (6,0%). Toutefois, des risques pèsent sur ces perspectives, notamment la baisse de la demande en provenance des économies émergentes, la baisse des cours des principaux produits de base, la crise sécuritaire dans la zone du sahel et les éventuelles contestations post électorales, plusieurs élections étant prévues en 2016 dans la sous-région.</w:t>
            </w:r>
          </w:p>
        </w:tc>
        <w:tc>
          <w:tcPr>
            <w:tcW w:w="4739" w:type="dxa"/>
          </w:tcPr>
          <w:p w:rsidR="005D4440" w:rsidRDefault="005D4440" w:rsidP="005D4440">
            <w:pPr>
              <w:widowControl w:val="0"/>
              <w:tabs>
                <w:tab w:val="left" w:pos="7150"/>
              </w:tabs>
              <w:suppressAutoHyphens/>
              <w:spacing w:before="170" w:line="227" w:lineRule="exact"/>
              <w:jc w:val="both"/>
              <w:rPr>
                <w:rFonts w:ascii="Calibri" w:hAnsi="Calibri"/>
                <w:b/>
                <w:color w:val="365F91" w:themeColor="accent1" w:themeShade="BF"/>
                <w:sz w:val="24"/>
                <w:szCs w:val="24"/>
              </w:rPr>
            </w:pPr>
            <w:r w:rsidRPr="00907BAF">
              <w:rPr>
                <w:rFonts w:ascii="Calibri" w:hAnsi="Calibri"/>
                <w:b/>
                <w:color w:val="365F91" w:themeColor="accent1" w:themeShade="BF"/>
                <w:sz w:val="24"/>
                <w:szCs w:val="24"/>
              </w:rPr>
              <w:t xml:space="preserve">Tableau </w:t>
            </w:r>
            <w:r w:rsidR="00220E46">
              <w:rPr>
                <w:rFonts w:ascii="Calibri" w:hAnsi="Calibri"/>
                <w:b/>
                <w:color w:val="365F91" w:themeColor="accent1" w:themeShade="BF"/>
                <w:sz w:val="24"/>
                <w:szCs w:val="24"/>
              </w:rPr>
              <w:t xml:space="preserve">3 </w:t>
            </w:r>
            <w:r w:rsidRPr="00907BAF">
              <w:rPr>
                <w:rFonts w:ascii="Calibri" w:hAnsi="Calibri"/>
                <w:b/>
                <w:color w:val="365F91" w:themeColor="accent1" w:themeShade="BF"/>
                <w:sz w:val="24"/>
                <w:szCs w:val="24"/>
              </w:rPr>
              <w:t xml:space="preserve">: </w:t>
            </w:r>
            <w:r>
              <w:rPr>
                <w:rFonts w:ascii="Calibri" w:hAnsi="Calibri"/>
                <w:b/>
                <w:color w:val="365F91" w:themeColor="accent1" w:themeShade="BF"/>
                <w:sz w:val="24"/>
                <w:szCs w:val="24"/>
              </w:rPr>
              <w:t>Prévisions 201</w:t>
            </w:r>
            <w:r w:rsidR="004356EE">
              <w:rPr>
                <w:rFonts w:ascii="Calibri" w:hAnsi="Calibri"/>
                <w:b/>
                <w:color w:val="365F91" w:themeColor="accent1" w:themeShade="BF"/>
                <w:sz w:val="24"/>
                <w:szCs w:val="24"/>
              </w:rPr>
              <w:t>6</w:t>
            </w:r>
            <w:r>
              <w:rPr>
                <w:rFonts w:ascii="Calibri" w:hAnsi="Calibri"/>
                <w:b/>
                <w:color w:val="365F91" w:themeColor="accent1" w:themeShade="BF"/>
                <w:sz w:val="24"/>
                <w:szCs w:val="24"/>
              </w:rPr>
              <w:t xml:space="preserve"> en UEMOA</w:t>
            </w:r>
          </w:p>
          <w:tbl>
            <w:tblPr>
              <w:tblStyle w:val="Listeclaire-Accent11"/>
              <w:tblW w:w="4395" w:type="dxa"/>
              <w:tblInd w:w="108" w:type="dxa"/>
              <w:tblLook w:val="04A0" w:firstRow="1" w:lastRow="0" w:firstColumn="1" w:lastColumn="0" w:noHBand="0" w:noVBand="1"/>
            </w:tblPr>
            <w:tblGrid>
              <w:gridCol w:w="1418"/>
              <w:gridCol w:w="1488"/>
              <w:gridCol w:w="1489"/>
            </w:tblGrid>
            <w:tr w:rsidR="005D4440" w:rsidRPr="003B39B4" w:rsidTr="007474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rsidR="005D4440" w:rsidRPr="003B39B4" w:rsidRDefault="005D4440" w:rsidP="007474AC">
                  <w:pPr>
                    <w:ind w:right="-1"/>
                    <w:rPr>
                      <w:rFonts w:asciiTheme="minorHAnsi" w:hAnsiTheme="minorHAnsi" w:cstheme="minorHAnsi"/>
                      <w:sz w:val="20"/>
                      <w:szCs w:val="20"/>
                    </w:rPr>
                  </w:pPr>
                </w:p>
              </w:tc>
              <w:tc>
                <w:tcPr>
                  <w:tcW w:w="1488" w:type="dxa"/>
                </w:tcPr>
                <w:p w:rsidR="005D4440" w:rsidRDefault="005D4440" w:rsidP="007474AC">
                  <w:pPr>
                    <w:ind w:right="-1"/>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PIB</w:t>
                  </w:r>
                </w:p>
                <w:p w:rsidR="005D4440" w:rsidRPr="005D4440" w:rsidRDefault="005D4440" w:rsidP="007474AC">
                  <w:pPr>
                    <w:ind w:right="-1"/>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i/>
                      <w:sz w:val="20"/>
                      <w:szCs w:val="20"/>
                    </w:rPr>
                  </w:pPr>
                  <w:r w:rsidRPr="005D4440">
                    <w:rPr>
                      <w:rFonts w:asciiTheme="minorHAnsi" w:hAnsiTheme="minorHAnsi" w:cstheme="minorHAnsi"/>
                      <w:b w:val="0"/>
                      <w:i/>
                      <w:sz w:val="20"/>
                      <w:szCs w:val="20"/>
                    </w:rPr>
                    <w:t>(en g.a.)</w:t>
                  </w:r>
                </w:p>
              </w:tc>
              <w:tc>
                <w:tcPr>
                  <w:tcW w:w="1489" w:type="dxa"/>
                </w:tcPr>
                <w:p w:rsidR="005D4440" w:rsidRDefault="005D4440" w:rsidP="007474AC">
                  <w:pPr>
                    <w:ind w:right="-1"/>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Taux de pression fiscale </w:t>
                  </w:r>
                </w:p>
                <w:p w:rsidR="005D4440" w:rsidRPr="005D4440" w:rsidRDefault="005D4440" w:rsidP="007474AC">
                  <w:pPr>
                    <w:ind w:right="-1"/>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i/>
                      <w:sz w:val="20"/>
                      <w:szCs w:val="20"/>
                    </w:rPr>
                  </w:pPr>
                  <w:r w:rsidRPr="005D4440">
                    <w:rPr>
                      <w:rFonts w:asciiTheme="minorHAnsi" w:hAnsiTheme="minorHAnsi" w:cstheme="minorHAnsi"/>
                      <w:b w:val="0"/>
                      <w:i/>
                      <w:sz w:val="20"/>
                      <w:szCs w:val="20"/>
                    </w:rPr>
                    <w:t>(en % du PIB)</w:t>
                  </w:r>
                </w:p>
              </w:tc>
            </w:tr>
            <w:tr w:rsidR="005D4440" w:rsidRPr="00432264" w:rsidTr="007474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rsidR="005D4440" w:rsidRPr="00432264" w:rsidRDefault="005D4440" w:rsidP="007474AC">
                  <w:pPr>
                    <w:ind w:right="-1"/>
                    <w:rPr>
                      <w:rFonts w:asciiTheme="minorHAnsi" w:hAnsiTheme="minorHAnsi" w:cstheme="minorHAnsi"/>
                      <w:b w:val="0"/>
                      <w:sz w:val="20"/>
                      <w:szCs w:val="20"/>
                    </w:rPr>
                  </w:pPr>
                  <w:r w:rsidRPr="00432264">
                    <w:rPr>
                      <w:rFonts w:asciiTheme="minorHAnsi" w:hAnsiTheme="minorHAnsi" w:cstheme="minorHAnsi"/>
                      <w:b w:val="0"/>
                      <w:sz w:val="20"/>
                      <w:szCs w:val="20"/>
                    </w:rPr>
                    <w:t>Bénin</w:t>
                  </w:r>
                </w:p>
              </w:tc>
              <w:tc>
                <w:tcPr>
                  <w:tcW w:w="1488" w:type="dxa"/>
                </w:tcPr>
                <w:p w:rsidR="005D4440" w:rsidRPr="00432264" w:rsidRDefault="00CF53B9" w:rsidP="007474AC">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5,8</w:t>
                  </w:r>
                </w:p>
              </w:tc>
              <w:tc>
                <w:tcPr>
                  <w:tcW w:w="1489" w:type="dxa"/>
                </w:tcPr>
                <w:p w:rsidR="005D4440" w:rsidRPr="00432264" w:rsidRDefault="00CF53B9" w:rsidP="007474AC">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14,8</w:t>
                  </w:r>
                </w:p>
              </w:tc>
            </w:tr>
            <w:tr w:rsidR="005D4440" w:rsidRPr="00432264" w:rsidTr="007474AC">
              <w:tc>
                <w:tcPr>
                  <w:cnfStyle w:val="001000000000" w:firstRow="0" w:lastRow="0" w:firstColumn="1" w:lastColumn="0" w:oddVBand="0" w:evenVBand="0" w:oddHBand="0" w:evenHBand="0" w:firstRowFirstColumn="0" w:firstRowLastColumn="0" w:lastRowFirstColumn="0" w:lastRowLastColumn="0"/>
                  <w:tcW w:w="1418" w:type="dxa"/>
                </w:tcPr>
                <w:p w:rsidR="005D4440" w:rsidRPr="00432264" w:rsidRDefault="005D4440" w:rsidP="007474AC">
                  <w:pPr>
                    <w:ind w:right="-1"/>
                    <w:rPr>
                      <w:rFonts w:asciiTheme="minorHAnsi" w:hAnsiTheme="minorHAnsi" w:cstheme="minorHAnsi"/>
                      <w:b w:val="0"/>
                      <w:sz w:val="20"/>
                      <w:szCs w:val="20"/>
                    </w:rPr>
                  </w:pPr>
                  <w:r w:rsidRPr="00432264">
                    <w:rPr>
                      <w:rFonts w:asciiTheme="minorHAnsi" w:hAnsiTheme="minorHAnsi" w:cstheme="minorHAnsi"/>
                      <w:b w:val="0"/>
                      <w:sz w:val="20"/>
                      <w:szCs w:val="20"/>
                    </w:rPr>
                    <w:t>Burkina Faso</w:t>
                  </w:r>
                </w:p>
              </w:tc>
              <w:tc>
                <w:tcPr>
                  <w:tcW w:w="1488" w:type="dxa"/>
                </w:tcPr>
                <w:p w:rsidR="005D4440" w:rsidRPr="00432264" w:rsidRDefault="00CF53B9" w:rsidP="007474AC">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6,0</w:t>
                  </w:r>
                </w:p>
              </w:tc>
              <w:tc>
                <w:tcPr>
                  <w:tcW w:w="1489" w:type="dxa"/>
                </w:tcPr>
                <w:p w:rsidR="005D4440" w:rsidRPr="00432264" w:rsidRDefault="00CF53B9" w:rsidP="007474AC">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15,2</w:t>
                  </w:r>
                </w:p>
              </w:tc>
            </w:tr>
            <w:tr w:rsidR="005D4440" w:rsidRPr="00432264" w:rsidTr="007474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rsidR="005D4440" w:rsidRPr="00432264" w:rsidRDefault="005D4440" w:rsidP="007474AC">
                  <w:pPr>
                    <w:ind w:right="-1"/>
                    <w:rPr>
                      <w:rFonts w:asciiTheme="minorHAnsi" w:hAnsiTheme="minorHAnsi" w:cstheme="minorHAnsi"/>
                      <w:b w:val="0"/>
                      <w:sz w:val="20"/>
                      <w:szCs w:val="20"/>
                    </w:rPr>
                  </w:pPr>
                  <w:r w:rsidRPr="00432264">
                    <w:rPr>
                      <w:rFonts w:asciiTheme="minorHAnsi" w:hAnsiTheme="minorHAnsi" w:cstheme="minorHAnsi"/>
                      <w:b w:val="0"/>
                      <w:sz w:val="20"/>
                      <w:szCs w:val="20"/>
                    </w:rPr>
                    <w:t>Côte d’Ivoire</w:t>
                  </w:r>
                </w:p>
              </w:tc>
              <w:tc>
                <w:tcPr>
                  <w:tcW w:w="1488" w:type="dxa"/>
                </w:tcPr>
                <w:p w:rsidR="005D4440" w:rsidRPr="00432264" w:rsidRDefault="00CF53B9" w:rsidP="007474AC">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9,8</w:t>
                  </w:r>
                </w:p>
              </w:tc>
              <w:tc>
                <w:tcPr>
                  <w:tcW w:w="1489" w:type="dxa"/>
                </w:tcPr>
                <w:p w:rsidR="005D4440" w:rsidRPr="00432264" w:rsidRDefault="00CF53B9" w:rsidP="007474AC">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16,3</w:t>
                  </w:r>
                </w:p>
              </w:tc>
            </w:tr>
            <w:tr w:rsidR="005D4440" w:rsidRPr="00432264" w:rsidTr="007474AC">
              <w:tc>
                <w:tcPr>
                  <w:cnfStyle w:val="001000000000" w:firstRow="0" w:lastRow="0" w:firstColumn="1" w:lastColumn="0" w:oddVBand="0" w:evenVBand="0" w:oddHBand="0" w:evenHBand="0" w:firstRowFirstColumn="0" w:firstRowLastColumn="0" w:lastRowFirstColumn="0" w:lastRowLastColumn="0"/>
                  <w:tcW w:w="1418" w:type="dxa"/>
                </w:tcPr>
                <w:p w:rsidR="005D4440" w:rsidRPr="00432264" w:rsidRDefault="005D4440" w:rsidP="007474AC">
                  <w:pPr>
                    <w:ind w:right="-1"/>
                    <w:rPr>
                      <w:rFonts w:asciiTheme="minorHAnsi" w:hAnsiTheme="minorHAnsi" w:cstheme="minorHAnsi"/>
                      <w:b w:val="0"/>
                      <w:sz w:val="20"/>
                      <w:szCs w:val="20"/>
                    </w:rPr>
                  </w:pPr>
                  <w:r w:rsidRPr="00432264">
                    <w:rPr>
                      <w:rFonts w:asciiTheme="minorHAnsi" w:hAnsiTheme="minorHAnsi" w:cstheme="minorHAnsi"/>
                      <w:b w:val="0"/>
                      <w:sz w:val="20"/>
                      <w:szCs w:val="20"/>
                    </w:rPr>
                    <w:t>Guinée-Bissau</w:t>
                  </w:r>
                </w:p>
              </w:tc>
              <w:tc>
                <w:tcPr>
                  <w:tcW w:w="1488" w:type="dxa"/>
                </w:tcPr>
                <w:p w:rsidR="005D4440" w:rsidRPr="00432264" w:rsidRDefault="00CF53B9" w:rsidP="007474AC">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6,3</w:t>
                  </w:r>
                </w:p>
              </w:tc>
              <w:tc>
                <w:tcPr>
                  <w:tcW w:w="1489" w:type="dxa"/>
                </w:tcPr>
                <w:p w:rsidR="005D4440" w:rsidRPr="00432264" w:rsidRDefault="00CF53B9" w:rsidP="007474AC">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10,2</w:t>
                  </w:r>
                </w:p>
              </w:tc>
            </w:tr>
            <w:tr w:rsidR="005D4440" w:rsidRPr="00432264" w:rsidTr="007474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rsidR="005D4440" w:rsidRPr="00432264" w:rsidRDefault="005D4440" w:rsidP="007474AC">
                  <w:pPr>
                    <w:ind w:right="-1"/>
                    <w:rPr>
                      <w:rFonts w:asciiTheme="minorHAnsi" w:hAnsiTheme="minorHAnsi" w:cstheme="minorHAnsi"/>
                      <w:b w:val="0"/>
                      <w:sz w:val="20"/>
                      <w:szCs w:val="20"/>
                    </w:rPr>
                  </w:pPr>
                  <w:r w:rsidRPr="00432264">
                    <w:rPr>
                      <w:rFonts w:asciiTheme="minorHAnsi" w:hAnsiTheme="minorHAnsi" w:cstheme="minorHAnsi"/>
                      <w:b w:val="0"/>
                      <w:sz w:val="20"/>
                      <w:szCs w:val="20"/>
                    </w:rPr>
                    <w:t>Mali</w:t>
                  </w:r>
                </w:p>
              </w:tc>
              <w:tc>
                <w:tcPr>
                  <w:tcW w:w="1488" w:type="dxa"/>
                </w:tcPr>
                <w:p w:rsidR="005D4440" w:rsidRPr="00432264" w:rsidRDefault="00CF53B9" w:rsidP="007474AC">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5,4</w:t>
                  </w:r>
                </w:p>
              </w:tc>
              <w:tc>
                <w:tcPr>
                  <w:tcW w:w="1489" w:type="dxa"/>
                </w:tcPr>
                <w:p w:rsidR="005D4440" w:rsidRPr="00432264" w:rsidRDefault="00CF53B9" w:rsidP="007474AC">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17,6</w:t>
                  </w:r>
                </w:p>
              </w:tc>
            </w:tr>
            <w:tr w:rsidR="005D4440" w:rsidRPr="00432264" w:rsidTr="007474AC">
              <w:tc>
                <w:tcPr>
                  <w:cnfStyle w:val="001000000000" w:firstRow="0" w:lastRow="0" w:firstColumn="1" w:lastColumn="0" w:oddVBand="0" w:evenVBand="0" w:oddHBand="0" w:evenHBand="0" w:firstRowFirstColumn="0" w:firstRowLastColumn="0" w:lastRowFirstColumn="0" w:lastRowLastColumn="0"/>
                  <w:tcW w:w="1418" w:type="dxa"/>
                </w:tcPr>
                <w:p w:rsidR="005D4440" w:rsidRPr="00432264" w:rsidRDefault="005D4440" w:rsidP="007474AC">
                  <w:pPr>
                    <w:ind w:right="-1"/>
                    <w:rPr>
                      <w:rFonts w:asciiTheme="minorHAnsi" w:hAnsiTheme="minorHAnsi" w:cstheme="minorHAnsi"/>
                      <w:b w:val="0"/>
                      <w:sz w:val="20"/>
                      <w:szCs w:val="20"/>
                    </w:rPr>
                  </w:pPr>
                  <w:r w:rsidRPr="00432264">
                    <w:rPr>
                      <w:rFonts w:asciiTheme="minorHAnsi" w:hAnsiTheme="minorHAnsi" w:cstheme="minorHAnsi"/>
                      <w:b w:val="0"/>
                      <w:sz w:val="20"/>
                      <w:szCs w:val="20"/>
                    </w:rPr>
                    <w:t>Niger</w:t>
                  </w:r>
                </w:p>
              </w:tc>
              <w:tc>
                <w:tcPr>
                  <w:tcW w:w="1488" w:type="dxa"/>
                </w:tcPr>
                <w:p w:rsidR="005D4440" w:rsidRPr="00432264" w:rsidRDefault="00CF53B9" w:rsidP="007474AC">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5,0</w:t>
                  </w:r>
                </w:p>
              </w:tc>
              <w:tc>
                <w:tcPr>
                  <w:tcW w:w="1489" w:type="dxa"/>
                </w:tcPr>
                <w:p w:rsidR="005D4440" w:rsidRPr="00432264" w:rsidRDefault="00CF53B9" w:rsidP="007474AC">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17,6</w:t>
                  </w:r>
                </w:p>
              </w:tc>
            </w:tr>
            <w:tr w:rsidR="005D4440" w:rsidRPr="00432264" w:rsidTr="007474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rsidR="005D4440" w:rsidRPr="00432264" w:rsidRDefault="005D4440" w:rsidP="007474AC">
                  <w:pPr>
                    <w:ind w:right="-1"/>
                    <w:rPr>
                      <w:rFonts w:asciiTheme="minorHAnsi" w:hAnsiTheme="minorHAnsi" w:cstheme="minorHAnsi"/>
                      <w:b w:val="0"/>
                      <w:sz w:val="20"/>
                      <w:szCs w:val="20"/>
                    </w:rPr>
                  </w:pPr>
                  <w:r w:rsidRPr="00432264">
                    <w:rPr>
                      <w:rFonts w:asciiTheme="minorHAnsi" w:hAnsiTheme="minorHAnsi" w:cstheme="minorHAnsi"/>
                      <w:b w:val="0"/>
                      <w:sz w:val="20"/>
                      <w:szCs w:val="20"/>
                    </w:rPr>
                    <w:t>Sénégal</w:t>
                  </w:r>
                </w:p>
              </w:tc>
              <w:tc>
                <w:tcPr>
                  <w:tcW w:w="1488" w:type="dxa"/>
                </w:tcPr>
                <w:p w:rsidR="005D4440" w:rsidRPr="00432264" w:rsidRDefault="00CF53B9" w:rsidP="007474AC">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6,0</w:t>
                  </w:r>
                </w:p>
              </w:tc>
              <w:tc>
                <w:tcPr>
                  <w:tcW w:w="1489" w:type="dxa"/>
                </w:tcPr>
                <w:p w:rsidR="005D4440" w:rsidRPr="00432264" w:rsidRDefault="00CF53B9" w:rsidP="007474AC">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19,6</w:t>
                  </w:r>
                </w:p>
              </w:tc>
            </w:tr>
            <w:tr w:rsidR="005D4440" w:rsidRPr="00432264" w:rsidTr="007474AC">
              <w:tc>
                <w:tcPr>
                  <w:cnfStyle w:val="001000000000" w:firstRow="0" w:lastRow="0" w:firstColumn="1" w:lastColumn="0" w:oddVBand="0" w:evenVBand="0" w:oddHBand="0" w:evenHBand="0" w:firstRowFirstColumn="0" w:firstRowLastColumn="0" w:lastRowFirstColumn="0" w:lastRowLastColumn="0"/>
                  <w:tcW w:w="1418" w:type="dxa"/>
                </w:tcPr>
                <w:p w:rsidR="005D4440" w:rsidRPr="00432264" w:rsidRDefault="005D4440" w:rsidP="007474AC">
                  <w:pPr>
                    <w:ind w:right="-1"/>
                    <w:rPr>
                      <w:rFonts w:asciiTheme="minorHAnsi" w:hAnsiTheme="minorHAnsi" w:cstheme="minorHAnsi"/>
                      <w:b w:val="0"/>
                      <w:sz w:val="20"/>
                      <w:szCs w:val="20"/>
                    </w:rPr>
                  </w:pPr>
                  <w:r w:rsidRPr="00432264">
                    <w:rPr>
                      <w:rFonts w:asciiTheme="minorHAnsi" w:hAnsiTheme="minorHAnsi" w:cstheme="minorHAnsi"/>
                      <w:b w:val="0"/>
                      <w:sz w:val="20"/>
                      <w:szCs w:val="20"/>
                    </w:rPr>
                    <w:t>Togo</w:t>
                  </w:r>
                </w:p>
              </w:tc>
              <w:tc>
                <w:tcPr>
                  <w:tcW w:w="1488" w:type="dxa"/>
                </w:tcPr>
                <w:p w:rsidR="005D4440" w:rsidRPr="00432264" w:rsidRDefault="00CF53B9" w:rsidP="007474AC">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6,0</w:t>
                  </w:r>
                </w:p>
              </w:tc>
              <w:tc>
                <w:tcPr>
                  <w:tcW w:w="1489" w:type="dxa"/>
                </w:tcPr>
                <w:p w:rsidR="005D4440" w:rsidRPr="00432264" w:rsidRDefault="00CF53B9" w:rsidP="007474AC">
                  <w:pPr>
                    <w:ind w:right="-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21,1</w:t>
                  </w:r>
                </w:p>
              </w:tc>
            </w:tr>
            <w:tr w:rsidR="00CF53B9" w:rsidRPr="00432264" w:rsidTr="007474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rsidR="00CF53B9" w:rsidRPr="00CF53B9" w:rsidRDefault="00CF53B9" w:rsidP="007474AC">
                  <w:pPr>
                    <w:ind w:right="-1"/>
                    <w:rPr>
                      <w:rFonts w:asciiTheme="minorHAnsi" w:hAnsiTheme="minorHAnsi" w:cstheme="minorHAnsi"/>
                      <w:sz w:val="20"/>
                      <w:szCs w:val="20"/>
                    </w:rPr>
                  </w:pPr>
                  <w:r w:rsidRPr="00CF53B9">
                    <w:rPr>
                      <w:rFonts w:asciiTheme="minorHAnsi" w:hAnsiTheme="minorHAnsi" w:cstheme="minorHAnsi"/>
                      <w:sz w:val="20"/>
                      <w:szCs w:val="20"/>
                    </w:rPr>
                    <w:t>Total UEMOA</w:t>
                  </w:r>
                </w:p>
              </w:tc>
              <w:tc>
                <w:tcPr>
                  <w:tcW w:w="1488" w:type="dxa"/>
                </w:tcPr>
                <w:p w:rsidR="00CF53B9" w:rsidRPr="00432264" w:rsidRDefault="00CF53B9" w:rsidP="007474AC">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7,2</w:t>
                  </w:r>
                </w:p>
              </w:tc>
              <w:tc>
                <w:tcPr>
                  <w:tcW w:w="1489" w:type="dxa"/>
                </w:tcPr>
                <w:p w:rsidR="00CF53B9" w:rsidRPr="00432264" w:rsidRDefault="00CF53B9" w:rsidP="007474AC">
                  <w:pPr>
                    <w:ind w:right="-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16,9</w:t>
                  </w:r>
                </w:p>
              </w:tc>
            </w:tr>
          </w:tbl>
          <w:p w:rsidR="005D4440" w:rsidRDefault="005D4440" w:rsidP="005D4440">
            <w:pPr>
              <w:spacing w:before="120" w:after="120"/>
              <w:ind w:left="130"/>
              <w:jc w:val="both"/>
              <w:rPr>
                <w:rFonts w:asciiTheme="minorHAnsi" w:hAnsiTheme="minorHAnsi" w:cs="Arial"/>
                <w:sz w:val="24"/>
                <w:szCs w:val="24"/>
              </w:rPr>
            </w:pPr>
            <w:r w:rsidRPr="007474AC">
              <w:rPr>
                <w:rFonts w:ascii="Calibri" w:hAnsi="Calibri"/>
                <w:sz w:val="20"/>
                <w:szCs w:val="20"/>
              </w:rPr>
              <w:t>Source : Commission UEMOA</w:t>
            </w:r>
          </w:p>
        </w:tc>
      </w:tr>
    </w:tbl>
    <w:p w:rsidR="00C22AEA" w:rsidRPr="00C22AEA" w:rsidRDefault="00C22AEA" w:rsidP="00C22AEA">
      <w:pPr>
        <w:spacing w:before="120" w:after="120"/>
        <w:jc w:val="both"/>
        <w:rPr>
          <w:rFonts w:asciiTheme="minorHAnsi" w:hAnsiTheme="minorHAnsi" w:cs="Arial"/>
          <w:sz w:val="24"/>
          <w:szCs w:val="24"/>
        </w:rPr>
      </w:pPr>
      <w:r w:rsidRPr="00C22AEA">
        <w:rPr>
          <w:rFonts w:asciiTheme="minorHAnsi" w:hAnsiTheme="minorHAnsi" w:cs="Arial"/>
          <w:sz w:val="24"/>
          <w:szCs w:val="24"/>
        </w:rPr>
        <w:t>Au regard de l’évolution attendue des cours des produits alimentaires sur le marché international, du niveau des cours du pétrole et des perspectives de production vivrière dans la région, la hausse des prix devrait rester modérée en 2016. Tous les États membres devraient respecter la norme communautaire en matière d’inflation.</w:t>
      </w:r>
    </w:p>
    <w:p w:rsidR="00C22AEA" w:rsidRPr="00C22AEA" w:rsidRDefault="00C22AEA" w:rsidP="00C22AEA">
      <w:pPr>
        <w:spacing w:before="120" w:after="120"/>
        <w:jc w:val="both"/>
        <w:rPr>
          <w:rFonts w:asciiTheme="minorHAnsi" w:hAnsiTheme="minorHAnsi" w:cs="Arial"/>
          <w:sz w:val="24"/>
          <w:szCs w:val="24"/>
        </w:rPr>
      </w:pPr>
      <w:r w:rsidRPr="00C22AEA">
        <w:rPr>
          <w:rFonts w:asciiTheme="minorHAnsi" w:hAnsiTheme="minorHAnsi" w:cs="Arial"/>
          <w:sz w:val="24"/>
          <w:szCs w:val="24"/>
        </w:rPr>
        <w:t>Au plan des finances publiques, il est attendu en 2016, une baisse des déficits, en liaison avec la faible progression attendue des dépenses, comparée à celle des recettes. Le déficit global hors dons et le déficit global représenteraient 6,5% et 3,7% du PIB, respectivement contre 7,1% et 4,0% en 2015.</w:t>
      </w:r>
    </w:p>
    <w:p w:rsidR="00C22AEA" w:rsidRPr="00C22AEA" w:rsidRDefault="00C22AEA" w:rsidP="00C22AEA">
      <w:pPr>
        <w:spacing w:before="120" w:after="120"/>
        <w:jc w:val="both"/>
        <w:rPr>
          <w:rFonts w:asciiTheme="minorHAnsi" w:hAnsiTheme="minorHAnsi" w:cs="Arial"/>
          <w:sz w:val="24"/>
          <w:szCs w:val="24"/>
        </w:rPr>
      </w:pPr>
      <w:r w:rsidRPr="00C22AEA">
        <w:rPr>
          <w:rFonts w:asciiTheme="minorHAnsi" w:hAnsiTheme="minorHAnsi" w:cs="Arial"/>
          <w:sz w:val="24"/>
          <w:szCs w:val="24"/>
        </w:rPr>
        <w:t>Les recettes budgétaires progresseraient de 12,2% pour représenter 19,0% du PIB contre 18,4% en 2015. Cette hausse serait portée par les recettes fiscales qui progresseraient de 13,0% induisant un taux de pression fiscale de 16,9%. Cette progression serait liée à la poursuite des efforts en matière d’administration de l’impôt, l’informatisation des procédures, la lutte contre la fraude. Les hausses les plus fortes seraient enregistrées au Burkina Faso (11,7%), en Côte d’Ivoire (17,6%), au Mali (14,9%) et au Togo (12,3%). Par pays, le taux de pression fiscale se présenterait comme suit : Bénin (14,8%), Burkina Faso (15,2%), Côte d’Ivoire (16,3%), Guinée-Bissau (10,2%), Mali (17,6%), Niger (17,6%), Sénégal (19,6%) et Togo (21,1%). Les recettes non fiscales progresseraient de 7,2% pour représenter 2,0% du PIB comme en 2015. Les dons baisseraient de 0,2% pour représenter 2,7% du PIB contre 3,0% en 2015.</w:t>
      </w:r>
    </w:p>
    <w:p w:rsidR="00C22AEA" w:rsidRPr="00C22AEA" w:rsidRDefault="00C22AEA" w:rsidP="00C22AEA">
      <w:pPr>
        <w:spacing w:before="120" w:after="120"/>
        <w:jc w:val="both"/>
        <w:rPr>
          <w:rFonts w:asciiTheme="minorHAnsi" w:hAnsiTheme="minorHAnsi" w:cs="Arial"/>
          <w:sz w:val="24"/>
          <w:szCs w:val="24"/>
        </w:rPr>
      </w:pPr>
      <w:r w:rsidRPr="00C22AEA">
        <w:rPr>
          <w:rFonts w:asciiTheme="minorHAnsi" w:hAnsiTheme="minorHAnsi" w:cs="Arial"/>
          <w:sz w:val="24"/>
          <w:szCs w:val="24"/>
        </w:rPr>
        <w:lastRenderedPageBreak/>
        <w:t>En ce qui concerne les dépenses totales et prêts nets, ils progresseraient de 8,8% pour représenter 25,6% du PIB. Cette évolution serait portée par les dépenses en capital, en hausse de 13,5%, la hausse des dépenses courantes étant limitée à 5,8%. L’accroissement des dépenses courantes résulterait de la hausse de la masse salariale de 6,5%, des dépenses de fonctionnement de 5,4% et des transferts et subvention de 3,0%. Les plus fortes augmentations de la masse salariale seraient enregistrées au Burkina Faso (12,8%), en Côte d’Ivoire (7,6%), au Mali (9,6%) et au Niger (13,7%). Ces évolutions sont liées au recrutement et à l’amélioration des conditions de travail des agents de l’Etat.</w:t>
      </w:r>
    </w:p>
    <w:p w:rsidR="00C22AEA" w:rsidRPr="00C22AEA" w:rsidRDefault="00C22AEA" w:rsidP="00C22AEA">
      <w:pPr>
        <w:spacing w:before="120" w:after="120"/>
        <w:jc w:val="both"/>
        <w:rPr>
          <w:rFonts w:asciiTheme="minorHAnsi" w:hAnsiTheme="minorHAnsi" w:cs="Arial"/>
          <w:sz w:val="24"/>
          <w:szCs w:val="24"/>
        </w:rPr>
      </w:pPr>
      <w:r w:rsidRPr="00C22AEA">
        <w:rPr>
          <w:rFonts w:asciiTheme="minorHAnsi" w:hAnsiTheme="minorHAnsi" w:cs="Arial"/>
          <w:sz w:val="24"/>
          <w:szCs w:val="24"/>
        </w:rPr>
        <w:t>Les dépenses en capital progresseraient de 13,1%, en rapport avec l’accroissement des deux composantes. Les hausses les plus élevées concerneraient le Burkina Faso (14,9%), la Côte d’Ivoire (21,1%), le Mali (21,9%), le Niger (10,1%) et le Sénégal 8,6%). Elles seraient portées par la poursuite des travaux de construction des infrastructures socioéconomiques.</w:t>
      </w:r>
    </w:p>
    <w:p w:rsidR="00C22AEA" w:rsidRPr="00C22AEA" w:rsidRDefault="00C22AEA" w:rsidP="00C22AEA">
      <w:pPr>
        <w:spacing w:before="120" w:after="120"/>
        <w:jc w:val="both"/>
        <w:rPr>
          <w:rFonts w:asciiTheme="minorHAnsi" w:hAnsiTheme="minorHAnsi" w:cs="Arial"/>
          <w:sz w:val="24"/>
          <w:szCs w:val="24"/>
        </w:rPr>
      </w:pPr>
      <w:r w:rsidRPr="00C22AEA">
        <w:rPr>
          <w:rFonts w:asciiTheme="minorHAnsi" w:hAnsiTheme="minorHAnsi" w:cs="Arial"/>
          <w:sz w:val="24"/>
          <w:szCs w:val="24"/>
        </w:rPr>
        <w:t xml:space="preserve">En 2016, l’encours de la dette publique rapporté au PIB nominal, resterait stable avec un ratio se situant à 39,2% contre 39,3% en 2015. </w:t>
      </w:r>
    </w:p>
    <w:p w:rsidR="00551C79" w:rsidRDefault="00C22AEA" w:rsidP="00C22AEA">
      <w:pPr>
        <w:spacing w:before="120" w:after="120"/>
        <w:jc w:val="both"/>
        <w:rPr>
          <w:rFonts w:asciiTheme="minorHAnsi" w:hAnsiTheme="minorHAnsi" w:cs="Arial"/>
          <w:sz w:val="24"/>
          <w:szCs w:val="24"/>
        </w:rPr>
      </w:pPr>
      <w:r w:rsidRPr="00C22AEA">
        <w:rPr>
          <w:rFonts w:asciiTheme="minorHAnsi" w:hAnsiTheme="minorHAnsi" w:cs="Arial"/>
          <w:sz w:val="24"/>
          <w:szCs w:val="24"/>
        </w:rPr>
        <w:t>Pour l'année 2016, le profil des échanges extérieurs des pays de l'UEMOA afficherait une baisse de l'excédent du solde global, en raison d'une aggravation du déficit courant. Celle-ci serait toutefois atténuée par une augmentation de l'excédent du compte de capital et une hausse des accumulations nettes d'engagements extérieurs.</w:t>
      </w:r>
    </w:p>
    <w:p w:rsidR="00551C79" w:rsidRPr="00907BAF" w:rsidRDefault="00551C79" w:rsidP="00551C79">
      <w:pPr>
        <w:widowControl w:val="0"/>
        <w:tabs>
          <w:tab w:val="left" w:pos="7150"/>
        </w:tabs>
        <w:suppressAutoHyphens/>
        <w:spacing w:before="170" w:line="227" w:lineRule="exact"/>
        <w:jc w:val="both"/>
        <w:rPr>
          <w:rFonts w:ascii="Calibri" w:hAnsi="Calibri"/>
          <w:b/>
          <w:color w:val="365F91" w:themeColor="accent1" w:themeShade="BF"/>
          <w:sz w:val="24"/>
          <w:szCs w:val="24"/>
        </w:rPr>
      </w:pPr>
      <w:r w:rsidRPr="00907BAF">
        <w:rPr>
          <w:rFonts w:ascii="Calibri" w:hAnsi="Calibri"/>
          <w:b/>
          <w:color w:val="365F91" w:themeColor="accent1" w:themeShade="BF"/>
          <w:sz w:val="24"/>
          <w:szCs w:val="24"/>
        </w:rPr>
        <w:t xml:space="preserve">Tableau </w:t>
      </w:r>
      <w:r w:rsidR="00220E46">
        <w:rPr>
          <w:rFonts w:ascii="Calibri" w:hAnsi="Calibri"/>
          <w:b/>
          <w:color w:val="365F91" w:themeColor="accent1" w:themeShade="BF"/>
          <w:sz w:val="24"/>
          <w:szCs w:val="24"/>
        </w:rPr>
        <w:t xml:space="preserve">4 </w:t>
      </w:r>
      <w:r w:rsidRPr="00907BAF">
        <w:rPr>
          <w:rFonts w:ascii="Calibri" w:hAnsi="Calibri"/>
          <w:b/>
          <w:color w:val="365F91" w:themeColor="accent1" w:themeShade="BF"/>
          <w:sz w:val="24"/>
          <w:szCs w:val="24"/>
        </w:rPr>
        <w:t>: Évolution de la balance des paiements sur la période 201</w:t>
      </w:r>
      <w:r w:rsidR="00585750">
        <w:rPr>
          <w:rFonts w:ascii="Calibri" w:hAnsi="Calibri"/>
          <w:b/>
          <w:color w:val="365F91" w:themeColor="accent1" w:themeShade="BF"/>
          <w:sz w:val="24"/>
          <w:szCs w:val="24"/>
        </w:rPr>
        <w:t>3</w:t>
      </w:r>
      <w:r w:rsidRPr="00907BAF">
        <w:rPr>
          <w:rFonts w:ascii="Calibri" w:hAnsi="Calibri"/>
          <w:b/>
          <w:color w:val="365F91" w:themeColor="accent1" w:themeShade="BF"/>
          <w:sz w:val="24"/>
          <w:szCs w:val="24"/>
        </w:rPr>
        <w:t>-201</w:t>
      </w:r>
      <w:r w:rsidR="00585750">
        <w:rPr>
          <w:rFonts w:ascii="Calibri" w:hAnsi="Calibri"/>
          <w:b/>
          <w:color w:val="365F91" w:themeColor="accent1" w:themeShade="BF"/>
          <w:sz w:val="24"/>
          <w:szCs w:val="24"/>
        </w:rPr>
        <w:t>6</w:t>
      </w:r>
    </w:p>
    <w:p w:rsidR="00551C79" w:rsidRPr="00907BAF" w:rsidRDefault="00551C79" w:rsidP="00551C79">
      <w:pPr>
        <w:widowControl w:val="0"/>
        <w:shd w:val="clear" w:color="auto" w:fill="FFFFFF"/>
        <w:tabs>
          <w:tab w:val="center" w:pos="3344"/>
        </w:tabs>
        <w:suppressAutoHyphens/>
        <w:autoSpaceDE w:val="0"/>
        <w:spacing w:line="283" w:lineRule="exact"/>
        <w:jc w:val="both"/>
        <w:rPr>
          <w:rFonts w:ascii="Calibri" w:hAnsi="Calibri"/>
          <w:i/>
          <w:color w:val="365F91" w:themeColor="accent1" w:themeShade="BF"/>
          <w:sz w:val="24"/>
          <w:szCs w:val="24"/>
        </w:rPr>
      </w:pPr>
      <w:r w:rsidRPr="00A70623">
        <w:rPr>
          <w:rFonts w:ascii="Arial" w:eastAsia="Courier New" w:hAnsi="Arial" w:cs="Courier New"/>
          <w:b/>
          <w:bCs/>
          <w:kern w:val="2"/>
          <w:sz w:val="21"/>
          <w:szCs w:val="21"/>
          <w:lang w:bidi="fr-FR"/>
        </w:rPr>
        <w:t xml:space="preserve"> </w:t>
      </w:r>
      <w:r w:rsidRPr="00907BAF">
        <w:rPr>
          <w:rFonts w:ascii="Calibri" w:hAnsi="Calibri"/>
          <w:i/>
          <w:color w:val="365F91" w:themeColor="accent1" w:themeShade="BF"/>
          <w:sz w:val="24"/>
          <w:szCs w:val="24"/>
        </w:rPr>
        <w:t>(en milliards de francs CFA, sauf indication contraire)</w:t>
      </w:r>
    </w:p>
    <w:tbl>
      <w:tblPr>
        <w:tblStyle w:val="Listeclaire-Accent11"/>
        <w:tblW w:w="0" w:type="auto"/>
        <w:tblLayout w:type="fixed"/>
        <w:tblLook w:val="04A0" w:firstRow="1" w:lastRow="0" w:firstColumn="1" w:lastColumn="0" w:noHBand="0" w:noVBand="1"/>
      </w:tblPr>
      <w:tblGrid>
        <w:gridCol w:w="3936"/>
        <w:gridCol w:w="1211"/>
        <w:gridCol w:w="1212"/>
        <w:gridCol w:w="1212"/>
        <w:gridCol w:w="1212"/>
      </w:tblGrid>
      <w:tr w:rsidR="00551C79" w:rsidRPr="00907BAF" w:rsidTr="00350FEA">
        <w:trPr>
          <w:cnfStyle w:val="100000000000" w:firstRow="1" w:lastRow="0" w:firstColumn="0" w:lastColumn="0" w:oddVBand="0" w:evenVBand="0" w:oddHBand="0"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3936" w:type="dxa"/>
          </w:tcPr>
          <w:p w:rsidR="00551C79" w:rsidRPr="00907BAF" w:rsidRDefault="00551C79" w:rsidP="00350FEA">
            <w:pPr>
              <w:widowControl w:val="0"/>
              <w:suppressLineNumbers/>
              <w:suppressAutoHyphens/>
              <w:jc w:val="both"/>
              <w:rPr>
                <w:rFonts w:asciiTheme="minorHAnsi" w:eastAsia="Arial Unicode MS" w:hAnsiTheme="minorHAnsi" w:cstheme="minorHAnsi"/>
                <w:b w:val="0"/>
                <w:bCs w:val="0"/>
                <w:sz w:val="20"/>
                <w:szCs w:val="20"/>
                <w:lang w:bidi="fr-FR"/>
              </w:rPr>
            </w:pPr>
          </w:p>
        </w:tc>
        <w:tc>
          <w:tcPr>
            <w:tcW w:w="1211" w:type="dxa"/>
            <w:hideMark/>
          </w:tcPr>
          <w:p w:rsidR="00551C79" w:rsidRPr="00907BAF" w:rsidRDefault="00551C79" w:rsidP="00350FEA">
            <w:pPr>
              <w:widowControl w:val="0"/>
              <w:suppressLineNumbers/>
              <w:suppressAutoHyphens/>
              <w:ind w:right="111"/>
              <w:jc w:val="right"/>
              <w:cnfStyle w:val="100000000000" w:firstRow="1" w:lastRow="0" w:firstColumn="0" w:lastColumn="0" w:oddVBand="0" w:evenVBand="0" w:oddHBand="0" w:evenHBand="0" w:firstRowFirstColumn="0" w:firstRowLastColumn="0" w:lastRowFirstColumn="0" w:lastRowLastColumn="0"/>
              <w:rPr>
                <w:rFonts w:asciiTheme="minorHAnsi" w:eastAsia="Arial Unicode MS" w:hAnsiTheme="minorHAnsi" w:cstheme="minorHAnsi"/>
                <w:b w:val="0"/>
                <w:bCs w:val="0"/>
                <w:sz w:val="20"/>
                <w:szCs w:val="20"/>
                <w:lang w:bidi="fr-FR"/>
              </w:rPr>
            </w:pPr>
            <w:r w:rsidRPr="00907BAF">
              <w:rPr>
                <w:rFonts w:asciiTheme="minorHAnsi" w:eastAsia="Arial Unicode MS" w:hAnsiTheme="minorHAnsi" w:cstheme="minorHAnsi"/>
                <w:b w:val="0"/>
                <w:bCs w:val="0"/>
                <w:sz w:val="20"/>
                <w:szCs w:val="20"/>
                <w:lang w:bidi="fr-FR"/>
              </w:rPr>
              <w:t>201</w:t>
            </w:r>
            <w:r w:rsidR="00585750">
              <w:rPr>
                <w:rFonts w:asciiTheme="minorHAnsi" w:eastAsia="Arial Unicode MS" w:hAnsiTheme="minorHAnsi" w:cstheme="minorHAnsi"/>
                <w:b w:val="0"/>
                <w:bCs w:val="0"/>
                <w:sz w:val="20"/>
                <w:szCs w:val="20"/>
                <w:lang w:bidi="fr-FR"/>
              </w:rPr>
              <w:t>3</w:t>
            </w:r>
          </w:p>
        </w:tc>
        <w:tc>
          <w:tcPr>
            <w:tcW w:w="1212" w:type="dxa"/>
            <w:hideMark/>
          </w:tcPr>
          <w:p w:rsidR="00551C79" w:rsidRDefault="00551C79" w:rsidP="00263483">
            <w:pPr>
              <w:widowControl w:val="0"/>
              <w:suppressLineNumbers/>
              <w:suppressAutoHyphens/>
              <w:ind w:right="111"/>
              <w:jc w:val="right"/>
              <w:cnfStyle w:val="100000000000" w:firstRow="1" w:lastRow="0" w:firstColumn="0" w:lastColumn="0" w:oddVBand="0" w:evenVBand="0" w:oddHBand="0" w:evenHBand="0" w:firstRowFirstColumn="0" w:firstRowLastColumn="0" w:lastRowFirstColumn="0" w:lastRowLastColumn="0"/>
              <w:rPr>
                <w:rFonts w:asciiTheme="minorHAnsi" w:eastAsia="Arial Unicode MS" w:hAnsiTheme="minorHAnsi" w:cstheme="minorHAnsi"/>
                <w:b w:val="0"/>
                <w:bCs w:val="0"/>
                <w:sz w:val="20"/>
                <w:szCs w:val="20"/>
                <w:lang w:bidi="fr-FR"/>
              </w:rPr>
            </w:pPr>
            <w:r w:rsidRPr="00907BAF">
              <w:rPr>
                <w:rFonts w:asciiTheme="minorHAnsi" w:eastAsia="Arial Unicode MS" w:hAnsiTheme="minorHAnsi" w:cstheme="minorHAnsi"/>
                <w:b w:val="0"/>
                <w:bCs w:val="0"/>
                <w:sz w:val="20"/>
                <w:szCs w:val="20"/>
                <w:lang w:bidi="fr-FR"/>
              </w:rPr>
              <w:t>201</w:t>
            </w:r>
            <w:r w:rsidR="00585750">
              <w:rPr>
                <w:rFonts w:asciiTheme="minorHAnsi" w:eastAsia="Arial Unicode MS" w:hAnsiTheme="minorHAnsi" w:cstheme="minorHAnsi"/>
                <w:b w:val="0"/>
                <w:bCs w:val="0"/>
                <w:sz w:val="20"/>
                <w:szCs w:val="20"/>
                <w:lang w:bidi="fr-FR"/>
              </w:rPr>
              <w:t>4</w:t>
            </w:r>
          </w:p>
          <w:p w:rsidR="00585750" w:rsidRPr="00907BAF" w:rsidRDefault="00585750" w:rsidP="00263483">
            <w:pPr>
              <w:widowControl w:val="0"/>
              <w:suppressLineNumbers/>
              <w:suppressAutoHyphens/>
              <w:ind w:right="111"/>
              <w:jc w:val="right"/>
              <w:cnfStyle w:val="100000000000" w:firstRow="1" w:lastRow="0" w:firstColumn="0" w:lastColumn="0" w:oddVBand="0" w:evenVBand="0" w:oddHBand="0" w:evenHBand="0" w:firstRowFirstColumn="0" w:firstRowLastColumn="0" w:lastRowFirstColumn="0" w:lastRowLastColumn="0"/>
              <w:rPr>
                <w:rFonts w:asciiTheme="minorHAnsi" w:eastAsia="Arial Unicode MS" w:hAnsiTheme="minorHAnsi" w:cstheme="minorHAnsi"/>
                <w:b w:val="0"/>
                <w:bCs w:val="0"/>
                <w:sz w:val="20"/>
                <w:szCs w:val="20"/>
                <w:lang w:bidi="fr-FR"/>
              </w:rPr>
            </w:pPr>
            <w:r w:rsidRPr="00907BAF">
              <w:rPr>
                <w:rFonts w:asciiTheme="minorHAnsi" w:eastAsia="Arial Unicode MS" w:hAnsiTheme="minorHAnsi" w:cstheme="minorHAnsi"/>
                <w:b w:val="0"/>
                <w:bCs w:val="0"/>
                <w:sz w:val="20"/>
                <w:szCs w:val="20"/>
                <w:lang w:bidi="fr-FR"/>
              </w:rPr>
              <w:t>(</w:t>
            </w:r>
            <w:r>
              <w:rPr>
                <w:rFonts w:asciiTheme="minorHAnsi" w:eastAsia="Arial Unicode MS" w:hAnsiTheme="minorHAnsi" w:cstheme="minorHAnsi"/>
                <w:b w:val="0"/>
                <w:bCs w:val="0"/>
                <w:sz w:val="20"/>
                <w:szCs w:val="20"/>
                <w:lang w:bidi="fr-FR"/>
              </w:rPr>
              <w:t>estim.</w:t>
            </w:r>
            <w:r w:rsidRPr="00907BAF">
              <w:rPr>
                <w:rFonts w:asciiTheme="minorHAnsi" w:eastAsia="Arial Unicode MS" w:hAnsiTheme="minorHAnsi" w:cstheme="minorHAnsi"/>
                <w:b w:val="0"/>
                <w:bCs w:val="0"/>
                <w:sz w:val="20"/>
                <w:szCs w:val="20"/>
                <w:lang w:bidi="fr-FR"/>
              </w:rPr>
              <w:t>)</w:t>
            </w:r>
          </w:p>
        </w:tc>
        <w:tc>
          <w:tcPr>
            <w:tcW w:w="1212" w:type="dxa"/>
            <w:hideMark/>
          </w:tcPr>
          <w:p w:rsidR="00551C79" w:rsidRDefault="00551C79" w:rsidP="00263483">
            <w:pPr>
              <w:widowControl w:val="0"/>
              <w:suppressLineNumbers/>
              <w:suppressAutoHyphens/>
              <w:ind w:right="111"/>
              <w:jc w:val="right"/>
              <w:cnfStyle w:val="100000000000" w:firstRow="1" w:lastRow="0" w:firstColumn="0" w:lastColumn="0" w:oddVBand="0" w:evenVBand="0" w:oddHBand="0" w:evenHBand="0" w:firstRowFirstColumn="0" w:firstRowLastColumn="0" w:lastRowFirstColumn="0" w:lastRowLastColumn="0"/>
              <w:rPr>
                <w:rFonts w:asciiTheme="minorHAnsi" w:eastAsia="Arial Unicode MS" w:hAnsiTheme="minorHAnsi" w:cstheme="minorHAnsi"/>
                <w:b w:val="0"/>
                <w:bCs w:val="0"/>
                <w:sz w:val="20"/>
                <w:szCs w:val="20"/>
                <w:lang w:bidi="fr-FR"/>
              </w:rPr>
            </w:pPr>
            <w:r w:rsidRPr="00907BAF">
              <w:rPr>
                <w:rFonts w:asciiTheme="minorHAnsi" w:eastAsia="Arial Unicode MS" w:hAnsiTheme="minorHAnsi" w:cstheme="minorHAnsi"/>
                <w:b w:val="0"/>
                <w:bCs w:val="0"/>
                <w:sz w:val="20"/>
                <w:szCs w:val="20"/>
                <w:lang w:bidi="fr-FR"/>
              </w:rPr>
              <w:t>201</w:t>
            </w:r>
            <w:r w:rsidR="00585750">
              <w:rPr>
                <w:rFonts w:asciiTheme="minorHAnsi" w:eastAsia="Arial Unicode MS" w:hAnsiTheme="minorHAnsi" w:cstheme="minorHAnsi"/>
                <w:b w:val="0"/>
                <w:bCs w:val="0"/>
                <w:sz w:val="20"/>
                <w:szCs w:val="20"/>
                <w:lang w:bidi="fr-FR"/>
              </w:rPr>
              <w:t>5</w:t>
            </w:r>
          </w:p>
          <w:p w:rsidR="00263483" w:rsidRPr="00907BAF" w:rsidRDefault="00263483" w:rsidP="00585750">
            <w:pPr>
              <w:widowControl w:val="0"/>
              <w:suppressLineNumbers/>
              <w:suppressAutoHyphens/>
              <w:ind w:right="111"/>
              <w:jc w:val="right"/>
              <w:cnfStyle w:val="100000000000" w:firstRow="1" w:lastRow="0" w:firstColumn="0" w:lastColumn="0" w:oddVBand="0" w:evenVBand="0" w:oddHBand="0" w:evenHBand="0" w:firstRowFirstColumn="0" w:firstRowLastColumn="0" w:lastRowFirstColumn="0" w:lastRowLastColumn="0"/>
              <w:rPr>
                <w:rFonts w:asciiTheme="minorHAnsi" w:eastAsia="Arial Unicode MS" w:hAnsiTheme="minorHAnsi" w:cstheme="minorHAnsi"/>
                <w:b w:val="0"/>
                <w:bCs w:val="0"/>
                <w:sz w:val="20"/>
                <w:szCs w:val="20"/>
                <w:lang w:bidi="fr-FR"/>
              </w:rPr>
            </w:pPr>
            <w:r w:rsidRPr="00907BAF">
              <w:rPr>
                <w:rFonts w:asciiTheme="minorHAnsi" w:eastAsia="Arial Unicode MS" w:hAnsiTheme="minorHAnsi" w:cstheme="minorHAnsi"/>
                <w:b w:val="0"/>
                <w:bCs w:val="0"/>
                <w:sz w:val="20"/>
                <w:szCs w:val="20"/>
                <w:lang w:bidi="fr-FR"/>
              </w:rPr>
              <w:t>(</w:t>
            </w:r>
            <w:r w:rsidR="00585750">
              <w:rPr>
                <w:rFonts w:asciiTheme="minorHAnsi" w:eastAsia="Arial Unicode MS" w:hAnsiTheme="minorHAnsi" w:cstheme="minorHAnsi"/>
                <w:b w:val="0"/>
                <w:bCs w:val="0"/>
                <w:sz w:val="20"/>
                <w:szCs w:val="20"/>
                <w:lang w:bidi="fr-FR"/>
              </w:rPr>
              <w:t>prév</w:t>
            </w:r>
            <w:r>
              <w:rPr>
                <w:rFonts w:asciiTheme="minorHAnsi" w:eastAsia="Arial Unicode MS" w:hAnsiTheme="minorHAnsi" w:cstheme="minorHAnsi"/>
                <w:b w:val="0"/>
                <w:bCs w:val="0"/>
                <w:sz w:val="20"/>
                <w:szCs w:val="20"/>
                <w:lang w:bidi="fr-FR"/>
              </w:rPr>
              <w:t>.</w:t>
            </w:r>
            <w:r w:rsidRPr="00907BAF">
              <w:rPr>
                <w:rFonts w:asciiTheme="minorHAnsi" w:eastAsia="Arial Unicode MS" w:hAnsiTheme="minorHAnsi" w:cstheme="minorHAnsi"/>
                <w:b w:val="0"/>
                <w:bCs w:val="0"/>
                <w:sz w:val="20"/>
                <w:szCs w:val="20"/>
                <w:lang w:bidi="fr-FR"/>
              </w:rPr>
              <w:t>)</w:t>
            </w:r>
          </w:p>
        </w:tc>
        <w:tc>
          <w:tcPr>
            <w:tcW w:w="1212" w:type="dxa"/>
            <w:hideMark/>
          </w:tcPr>
          <w:p w:rsidR="00551C79" w:rsidRPr="00907BAF" w:rsidRDefault="00551C79" w:rsidP="00585750">
            <w:pPr>
              <w:widowControl w:val="0"/>
              <w:suppressLineNumbers/>
              <w:suppressAutoHyphens/>
              <w:ind w:right="111"/>
              <w:jc w:val="right"/>
              <w:cnfStyle w:val="100000000000" w:firstRow="1" w:lastRow="0" w:firstColumn="0" w:lastColumn="0" w:oddVBand="0" w:evenVBand="0" w:oddHBand="0" w:evenHBand="0" w:firstRowFirstColumn="0" w:firstRowLastColumn="0" w:lastRowFirstColumn="0" w:lastRowLastColumn="0"/>
              <w:rPr>
                <w:rFonts w:asciiTheme="minorHAnsi" w:eastAsia="Arial Unicode MS" w:hAnsiTheme="minorHAnsi" w:cstheme="minorHAnsi"/>
                <w:sz w:val="20"/>
                <w:szCs w:val="20"/>
                <w:lang w:bidi="fr-FR"/>
              </w:rPr>
            </w:pPr>
            <w:r w:rsidRPr="00907BAF">
              <w:rPr>
                <w:rFonts w:asciiTheme="minorHAnsi" w:eastAsia="Arial Unicode MS" w:hAnsiTheme="minorHAnsi" w:cstheme="minorHAnsi"/>
                <w:b w:val="0"/>
                <w:bCs w:val="0"/>
                <w:sz w:val="20"/>
                <w:szCs w:val="20"/>
                <w:lang w:bidi="fr-FR"/>
              </w:rPr>
              <w:t>201</w:t>
            </w:r>
            <w:r w:rsidR="00585750">
              <w:rPr>
                <w:rFonts w:asciiTheme="minorHAnsi" w:eastAsia="Arial Unicode MS" w:hAnsiTheme="minorHAnsi" w:cstheme="minorHAnsi"/>
                <w:b w:val="0"/>
                <w:bCs w:val="0"/>
                <w:sz w:val="20"/>
                <w:szCs w:val="20"/>
                <w:lang w:bidi="fr-FR"/>
              </w:rPr>
              <w:t>6</w:t>
            </w:r>
            <w:r>
              <w:rPr>
                <w:rFonts w:asciiTheme="minorHAnsi" w:eastAsia="Arial Unicode MS" w:hAnsiTheme="minorHAnsi" w:cstheme="minorHAnsi"/>
                <w:b w:val="0"/>
                <w:bCs w:val="0"/>
                <w:sz w:val="20"/>
                <w:szCs w:val="20"/>
                <w:lang w:bidi="fr-FR"/>
              </w:rPr>
              <w:t xml:space="preserve"> </w:t>
            </w:r>
            <w:r w:rsidRPr="00907BAF">
              <w:rPr>
                <w:rFonts w:asciiTheme="minorHAnsi" w:eastAsia="Arial Unicode MS" w:hAnsiTheme="minorHAnsi" w:cstheme="minorHAnsi"/>
                <w:b w:val="0"/>
                <w:bCs w:val="0"/>
                <w:sz w:val="20"/>
                <w:szCs w:val="20"/>
                <w:lang w:bidi="fr-FR"/>
              </w:rPr>
              <w:t>(</w:t>
            </w:r>
            <w:r w:rsidR="00263483">
              <w:rPr>
                <w:rFonts w:asciiTheme="minorHAnsi" w:eastAsia="Arial Unicode MS" w:hAnsiTheme="minorHAnsi" w:cstheme="minorHAnsi"/>
                <w:b w:val="0"/>
                <w:bCs w:val="0"/>
                <w:sz w:val="20"/>
                <w:szCs w:val="20"/>
                <w:lang w:bidi="fr-FR"/>
              </w:rPr>
              <w:t>pr</w:t>
            </w:r>
            <w:r w:rsidR="00585750">
              <w:rPr>
                <w:rFonts w:asciiTheme="minorHAnsi" w:eastAsia="Arial Unicode MS" w:hAnsiTheme="minorHAnsi" w:cstheme="minorHAnsi"/>
                <w:b w:val="0"/>
                <w:bCs w:val="0"/>
                <w:sz w:val="20"/>
                <w:szCs w:val="20"/>
                <w:lang w:bidi="fr-FR"/>
              </w:rPr>
              <w:t>oj</w:t>
            </w:r>
            <w:r>
              <w:rPr>
                <w:rFonts w:asciiTheme="minorHAnsi" w:eastAsia="Arial Unicode MS" w:hAnsiTheme="minorHAnsi" w:cstheme="minorHAnsi"/>
                <w:b w:val="0"/>
                <w:bCs w:val="0"/>
                <w:sz w:val="20"/>
                <w:szCs w:val="20"/>
                <w:lang w:bidi="fr-FR"/>
              </w:rPr>
              <w:t>.</w:t>
            </w:r>
            <w:r w:rsidRPr="00907BAF">
              <w:rPr>
                <w:rFonts w:asciiTheme="minorHAnsi" w:eastAsia="Arial Unicode MS" w:hAnsiTheme="minorHAnsi" w:cstheme="minorHAnsi"/>
                <w:b w:val="0"/>
                <w:bCs w:val="0"/>
                <w:sz w:val="20"/>
                <w:szCs w:val="20"/>
                <w:lang w:bidi="fr-FR"/>
              </w:rPr>
              <w:t>)</w:t>
            </w:r>
          </w:p>
        </w:tc>
      </w:tr>
      <w:tr w:rsidR="00263483" w:rsidRPr="00907BAF" w:rsidTr="00FC62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hideMark/>
          </w:tcPr>
          <w:p w:rsidR="00263483" w:rsidRPr="00907BAF" w:rsidRDefault="00263483" w:rsidP="00350FEA">
            <w:pPr>
              <w:ind w:right="-1"/>
              <w:rPr>
                <w:rFonts w:asciiTheme="minorHAnsi" w:hAnsiTheme="minorHAnsi" w:cstheme="minorHAnsi"/>
                <w:b w:val="0"/>
                <w:bCs w:val="0"/>
                <w:sz w:val="20"/>
                <w:szCs w:val="20"/>
              </w:rPr>
            </w:pPr>
            <w:r w:rsidRPr="00907BAF">
              <w:rPr>
                <w:rFonts w:asciiTheme="minorHAnsi" w:hAnsiTheme="minorHAnsi" w:cstheme="minorHAnsi"/>
                <w:b w:val="0"/>
                <w:bCs w:val="0"/>
                <w:sz w:val="20"/>
                <w:szCs w:val="20"/>
              </w:rPr>
              <w:t>Balance commerciale</w:t>
            </w:r>
          </w:p>
        </w:tc>
        <w:tc>
          <w:tcPr>
            <w:tcW w:w="1211"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-1 402,8</w:t>
            </w:r>
          </w:p>
        </w:tc>
        <w:tc>
          <w:tcPr>
            <w:tcW w:w="1212"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-1 403,3</w:t>
            </w:r>
          </w:p>
        </w:tc>
        <w:tc>
          <w:tcPr>
            <w:tcW w:w="1212"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-1 061,1</w:t>
            </w:r>
          </w:p>
        </w:tc>
        <w:tc>
          <w:tcPr>
            <w:tcW w:w="1212"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-1 332,3</w:t>
            </w:r>
          </w:p>
        </w:tc>
      </w:tr>
      <w:tr w:rsidR="00263483" w:rsidRPr="00907BAF" w:rsidTr="00FC623C">
        <w:tc>
          <w:tcPr>
            <w:cnfStyle w:val="001000000000" w:firstRow="0" w:lastRow="0" w:firstColumn="1" w:lastColumn="0" w:oddVBand="0" w:evenVBand="0" w:oddHBand="0" w:evenHBand="0" w:firstRowFirstColumn="0" w:firstRowLastColumn="0" w:lastRowFirstColumn="0" w:lastRowLastColumn="0"/>
            <w:tcW w:w="3936" w:type="dxa"/>
            <w:hideMark/>
          </w:tcPr>
          <w:p w:rsidR="00263483" w:rsidRPr="00907BAF" w:rsidRDefault="00263483" w:rsidP="00350FEA">
            <w:pPr>
              <w:ind w:right="-1"/>
              <w:rPr>
                <w:rFonts w:asciiTheme="minorHAnsi" w:hAnsiTheme="minorHAnsi" w:cstheme="minorHAnsi"/>
                <w:b w:val="0"/>
                <w:bCs w:val="0"/>
                <w:sz w:val="20"/>
                <w:szCs w:val="20"/>
              </w:rPr>
            </w:pPr>
            <w:r w:rsidRPr="00907BAF">
              <w:rPr>
                <w:rFonts w:asciiTheme="minorHAnsi" w:hAnsiTheme="minorHAnsi" w:cstheme="minorHAnsi"/>
                <w:b w:val="0"/>
                <w:bCs w:val="0"/>
                <w:sz w:val="20"/>
                <w:szCs w:val="20"/>
              </w:rPr>
              <w:t>Balance des services</w:t>
            </w:r>
          </w:p>
        </w:tc>
        <w:tc>
          <w:tcPr>
            <w:tcW w:w="1211"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-2 944,9</w:t>
            </w:r>
          </w:p>
        </w:tc>
        <w:tc>
          <w:tcPr>
            <w:tcW w:w="1212"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-2 976,9</w:t>
            </w:r>
          </w:p>
        </w:tc>
        <w:tc>
          <w:tcPr>
            <w:tcW w:w="1212"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-3 236,3</w:t>
            </w:r>
          </w:p>
        </w:tc>
        <w:tc>
          <w:tcPr>
            <w:tcW w:w="1212"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-3 388,6</w:t>
            </w:r>
          </w:p>
        </w:tc>
      </w:tr>
      <w:tr w:rsidR="00263483" w:rsidRPr="00907BAF" w:rsidTr="00FC62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hideMark/>
          </w:tcPr>
          <w:p w:rsidR="00263483" w:rsidRPr="00907BAF" w:rsidRDefault="00263483" w:rsidP="00350FEA">
            <w:pPr>
              <w:ind w:right="-1"/>
              <w:rPr>
                <w:rFonts w:asciiTheme="minorHAnsi" w:hAnsiTheme="minorHAnsi" w:cstheme="minorHAnsi"/>
                <w:b w:val="0"/>
                <w:bCs w:val="0"/>
                <w:sz w:val="20"/>
                <w:szCs w:val="20"/>
              </w:rPr>
            </w:pPr>
            <w:r w:rsidRPr="00907BAF">
              <w:rPr>
                <w:rFonts w:asciiTheme="minorHAnsi" w:hAnsiTheme="minorHAnsi" w:cstheme="minorHAnsi"/>
                <w:b w:val="0"/>
                <w:bCs w:val="0"/>
                <w:sz w:val="20"/>
                <w:szCs w:val="20"/>
              </w:rPr>
              <w:t>Solde du compte des transactions courantes</w:t>
            </w:r>
          </w:p>
        </w:tc>
        <w:tc>
          <w:tcPr>
            <w:tcW w:w="1211"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-3 031,6</w:t>
            </w:r>
          </w:p>
        </w:tc>
        <w:tc>
          <w:tcPr>
            <w:tcW w:w="1212"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-3 000,6</w:t>
            </w:r>
          </w:p>
        </w:tc>
        <w:tc>
          <w:tcPr>
            <w:tcW w:w="1212"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-2 775,9</w:t>
            </w:r>
          </w:p>
        </w:tc>
        <w:tc>
          <w:tcPr>
            <w:tcW w:w="1212"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-3 282,7</w:t>
            </w:r>
          </w:p>
        </w:tc>
      </w:tr>
      <w:tr w:rsidR="00263483" w:rsidRPr="00907BAF" w:rsidTr="00FC623C">
        <w:tc>
          <w:tcPr>
            <w:cnfStyle w:val="001000000000" w:firstRow="0" w:lastRow="0" w:firstColumn="1" w:lastColumn="0" w:oddVBand="0" w:evenVBand="0" w:oddHBand="0" w:evenHBand="0" w:firstRowFirstColumn="0" w:firstRowLastColumn="0" w:lastRowFirstColumn="0" w:lastRowLastColumn="0"/>
            <w:tcW w:w="3936" w:type="dxa"/>
            <w:hideMark/>
          </w:tcPr>
          <w:p w:rsidR="00263483" w:rsidRPr="00907BAF" w:rsidRDefault="00263483" w:rsidP="00FC623C">
            <w:pPr>
              <w:ind w:right="-1"/>
              <w:rPr>
                <w:rFonts w:asciiTheme="minorHAnsi" w:hAnsiTheme="minorHAnsi" w:cstheme="minorHAnsi"/>
                <w:b w:val="0"/>
                <w:bCs w:val="0"/>
                <w:sz w:val="20"/>
                <w:szCs w:val="20"/>
              </w:rPr>
            </w:pPr>
            <w:r w:rsidRPr="00907BAF">
              <w:rPr>
                <w:rFonts w:asciiTheme="minorHAnsi" w:hAnsiTheme="minorHAnsi" w:cstheme="minorHAnsi"/>
                <w:b w:val="0"/>
                <w:bCs w:val="0"/>
                <w:sz w:val="20"/>
                <w:szCs w:val="20"/>
              </w:rPr>
              <w:t>Solde du compte des transactions courantes (en % PIB)</w:t>
            </w:r>
          </w:p>
        </w:tc>
        <w:tc>
          <w:tcPr>
            <w:tcW w:w="1211"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-6,7</w:t>
            </w:r>
          </w:p>
        </w:tc>
        <w:tc>
          <w:tcPr>
            <w:tcW w:w="1212"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-6,2</w:t>
            </w:r>
          </w:p>
        </w:tc>
        <w:tc>
          <w:tcPr>
            <w:tcW w:w="1212"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-5,3</w:t>
            </w:r>
          </w:p>
        </w:tc>
        <w:tc>
          <w:tcPr>
            <w:tcW w:w="1212"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-5,8</w:t>
            </w:r>
          </w:p>
        </w:tc>
      </w:tr>
      <w:tr w:rsidR="00FC623C" w:rsidRPr="00907BAF" w:rsidTr="00FC62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rsidR="00FC623C" w:rsidRPr="00907BAF" w:rsidRDefault="00FC623C" w:rsidP="00350FEA">
            <w:pPr>
              <w:ind w:right="-1"/>
              <w:rPr>
                <w:rFonts w:asciiTheme="minorHAnsi" w:hAnsiTheme="minorHAnsi" w:cstheme="minorHAnsi"/>
                <w:b w:val="0"/>
                <w:bCs w:val="0"/>
                <w:sz w:val="20"/>
                <w:szCs w:val="20"/>
              </w:rPr>
            </w:pPr>
            <w:r w:rsidRPr="00FC623C">
              <w:rPr>
                <w:rFonts w:asciiTheme="minorHAnsi" w:hAnsiTheme="minorHAnsi" w:cstheme="minorHAnsi"/>
                <w:b w:val="0"/>
                <w:bCs w:val="0"/>
                <w:sz w:val="20"/>
                <w:szCs w:val="20"/>
              </w:rPr>
              <w:t>Solde du compte des transactions courantes hors dons (en % PIB)</w:t>
            </w:r>
          </w:p>
        </w:tc>
        <w:tc>
          <w:tcPr>
            <w:tcW w:w="1211" w:type="dxa"/>
          </w:tcPr>
          <w:p w:rsidR="00FC623C"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-7,7</w:t>
            </w:r>
          </w:p>
        </w:tc>
        <w:tc>
          <w:tcPr>
            <w:tcW w:w="1212" w:type="dxa"/>
          </w:tcPr>
          <w:p w:rsidR="00FC623C"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-7,2</w:t>
            </w:r>
          </w:p>
        </w:tc>
        <w:tc>
          <w:tcPr>
            <w:tcW w:w="1212" w:type="dxa"/>
          </w:tcPr>
          <w:p w:rsidR="00FC623C"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-6,3</w:t>
            </w:r>
          </w:p>
        </w:tc>
        <w:tc>
          <w:tcPr>
            <w:tcW w:w="1212" w:type="dxa"/>
          </w:tcPr>
          <w:p w:rsidR="00FC623C"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-6,6</w:t>
            </w:r>
          </w:p>
        </w:tc>
      </w:tr>
      <w:tr w:rsidR="00263483" w:rsidRPr="00907BAF" w:rsidTr="00FC623C">
        <w:tc>
          <w:tcPr>
            <w:cnfStyle w:val="001000000000" w:firstRow="0" w:lastRow="0" w:firstColumn="1" w:lastColumn="0" w:oddVBand="0" w:evenVBand="0" w:oddHBand="0" w:evenHBand="0" w:firstRowFirstColumn="0" w:firstRowLastColumn="0" w:lastRowFirstColumn="0" w:lastRowLastColumn="0"/>
            <w:tcW w:w="3936" w:type="dxa"/>
            <w:hideMark/>
          </w:tcPr>
          <w:p w:rsidR="00263483" w:rsidRPr="00907BAF" w:rsidRDefault="00263483" w:rsidP="00350FEA">
            <w:pPr>
              <w:ind w:right="-1"/>
              <w:rPr>
                <w:rFonts w:asciiTheme="minorHAnsi" w:hAnsiTheme="minorHAnsi" w:cstheme="minorHAnsi"/>
                <w:b w:val="0"/>
                <w:bCs w:val="0"/>
                <w:sz w:val="20"/>
                <w:szCs w:val="20"/>
              </w:rPr>
            </w:pPr>
            <w:r w:rsidRPr="00907BAF">
              <w:rPr>
                <w:rFonts w:asciiTheme="minorHAnsi" w:hAnsiTheme="minorHAnsi" w:cstheme="minorHAnsi"/>
                <w:b w:val="0"/>
                <w:bCs w:val="0"/>
                <w:sz w:val="20"/>
                <w:szCs w:val="20"/>
              </w:rPr>
              <w:t>Solde du compte de capital</w:t>
            </w:r>
          </w:p>
        </w:tc>
        <w:tc>
          <w:tcPr>
            <w:tcW w:w="1211"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1 189,3</w:t>
            </w:r>
          </w:p>
        </w:tc>
        <w:tc>
          <w:tcPr>
            <w:tcW w:w="1212"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1 161,5</w:t>
            </w:r>
          </w:p>
        </w:tc>
        <w:tc>
          <w:tcPr>
            <w:tcW w:w="1212"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1 261,1</w:t>
            </w:r>
          </w:p>
        </w:tc>
        <w:tc>
          <w:tcPr>
            <w:tcW w:w="1212"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1 328,7</w:t>
            </w:r>
          </w:p>
        </w:tc>
      </w:tr>
      <w:tr w:rsidR="00263483" w:rsidRPr="00907BAF" w:rsidTr="00FC62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hideMark/>
          </w:tcPr>
          <w:p w:rsidR="00263483" w:rsidRPr="00907BAF" w:rsidRDefault="00263483" w:rsidP="00350FEA">
            <w:pPr>
              <w:ind w:right="-1"/>
              <w:rPr>
                <w:rFonts w:asciiTheme="minorHAnsi" w:hAnsiTheme="minorHAnsi" w:cstheme="minorHAnsi"/>
                <w:b w:val="0"/>
                <w:bCs w:val="0"/>
                <w:sz w:val="20"/>
                <w:szCs w:val="20"/>
              </w:rPr>
            </w:pPr>
            <w:r w:rsidRPr="00907BAF">
              <w:rPr>
                <w:rFonts w:asciiTheme="minorHAnsi" w:hAnsiTheme="minorHAnsi" w:cstheme="minorHAnsi"/>
                <w:b w:val="0"/>
                <w:bCs w:val="0"/>
                <w:sz w:val="20"/>
                <w:szCs w:val="20"/>
              </w:rPr>
              <w:t xml:space="preserve">Solde du compte financier </w:t>
            </w:r>
          </w:p>
        </w:tc>
        <w:tc>
          <w:tcPr>
            <w:tcW w:w="1211"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-1 957,2</w:t>
            </w:r>
          </w:p>
        </w:tc>
        <w:tc>
          <w:tcPr>
            <w:tcW w:w="1212"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-2 382,3</w:t>
            </w:r>
          </w:p>
        </w:tc>
        <w:tc>
          <w:tcPr>
            <w:tcW w:w="1212"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-2 102,3</w:t>
            </w:r>
          </w:p>
        </w:tc>
        <w:tc>
          <w:tcPr>
            <w:tcW w:w="1212"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-2 307,6</w:t>
            </w:r>
          </w:p>
        </w:tc>
      </w:tr>
      <w:tr w:rsidR="00263483" w:rsidRPr="00907BAF" w:rsidTr="00FC623C">
        <w:tc>
          <w:tcPr>
            <w:cnfStyle w:val="001000000000" w:firstRow="0" w:lastRow="0" w:firstColumn="1" w:lastColumn="0" w:oddVBand="0" w:evenVBand="0" w:oddHBand="0" w:evenHBand="0" w:firstRowFirstColumn="0" w:firstRowLastColumn="0" w:lastRowFirstColumn="0" w:lastRowLastColumn="0"/>
            <w:tcW w:w="3936" w:type="dxa"/>
            <w:hideMark/>
          </w:tcPr>
          <w:p w:rsidR="00263483" w:rsidRPr="00907BAF" w:rsidRDefault="00263483" w:rsidP="00350FEA">
            <w:pPr>
              <w:ind w:right="-1"/>
              <w:rPr>
                <w:rFonts w:asciiTheme="minorHAnsi" w:hAnsiTheme="minorHAnsi" w:cstheme="minorHAnsi"/>
                <w:bCs w:val="0"/>
                <w:sz w:val="20"/>
                <w:szCs w:val="20"/>
              </w:rPr>
            </w:pPr>
            <w:r w:rsidRPr="00907BAF">
              <w:rPr>
                <w:rFonts w:asciiTheme="minorHAnsi" w:hAnsiTheme="minorHAnsi" w:cstheme="minorHAnsi"/>
                <w:bCs w:val="0"/>
                <w:sz w:val="20"/>
                <w:szCs w:val="20"/>
              </w:rPr>
              <w:t xml:space="preserve">Solde global </w:t>
            </w:r>
          </w:p>
        </w:tc>
        <w:tc>
          <w:tcPr>
            <w:tcW w:w="1211"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-568,2</w:t>
            </w:r>
          </w:p>
        </w:tc>
        <w:tc>
          <w:tcPr>
            <w:tcW w:w="1212"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74,5</w:t>
            </w:r>
          </w:p>
        </w:tc>
        <w:tc>
          <w:tcPr>
            <w:tcW w:w="1212"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587,5</w:t>
            </w:r>
          </w:p>
        </w:tc>
        <w:tc>
          <w:tcPr>
            <w:tcW w:w="1212"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353,6</w:t>
            </w:r>
          </w:p>
        </w:tc>
      </w:tr>
      <w:tr w:rsidR="00263483" w:rsidRPr="00907BAF" w:rsidTr="00FC62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hideMark/>
          </w:tcPr>
          <w:p w:rsidR="00263483" w:rsidRPr="00907BAF" w:rsidRDefault="00263483" w:rsidP="00350FEA">
            <w:pPr>
              <w:ind w:right="-1"/>
              <w:rPr>
                <w:rFonts w:asciiTheme="minorHAnsi" w:hAnsiTheme="minorHAnsi" w:cstheme="minorHAnsi"/>
                <w:b w:val="0"/>
                <w:bCs w:val="0"/>
                <w:sz w:val="20"/>
                <w:szCs w:val="20"/>
              </w:rPr>
            </w:pPr>
            <w:r w:rsidRPr="00907BAF">
              <w:rPr>
                <w:rFonts w:asciiTheme="minorHAnsi" w:hAnsiTheme="minorHAnsi" w:cstheme="minorHAnsi"/>
                <w:b w:val="0"/>
                <w:bCs w:val="0"/>
                <w:sz w:val="20"/>
                <w:szCs w:val="20"/>
              </w:rPr>
              <w:t xml:space="preserve">Réévaluations </w:t>
            </w:r>
          </w:p>
        </w:tc>
        <w:tc>
          <w:tcPr>
            <w:tcW w:w="1211"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-180</w:t>
            </w:r>
          </w:p>
        </w:tc>
        <w:tc>
          <w:tcPr>
            <w:tcW w:w="1212"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-64,1</w:t>
            </w:r>
          </w:p>
        </w:tc>
        <w:tc>
          <w:tcPr>
            <w:tcW w:w="1212"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0,0</w:t>
            </w:r>
          </w:p>
        </w:tc>
        <w:tc>
          <w:tcPr>
            <w:tcW w:w="1212"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0,0</w:t>
            </w:r>
          </w:p>
        </w:tc>
      </w:tr>
      <w:tr w:rsidR="00263483" w:rsidRPr="00907BAF" w:rsidTr="00FC623C">
        <w:tc>
          <w:tcPr>
            <w:cnfStyle w:val="001000000000" w:firstRow="0" w:lastRow="0" w:firstColumn="1" w:lastColumn="0" w:oddVBand="0" w:evenVBand="0" w:oddHBand="0" w:evenHBand="0" w:firstRowFirstColumn="0" w:firstRowLastColumn="0" w:lastRowFirstColumn="0" w:lastRowLastColumn="0"/>
            <w:tcW w:w="3936" w:type="dxa"/>
            <w:hideMark/>
          </w:tcPr>
          <w:p w:rsidR="00263483" w:rsidRPr="00907BAF" w:rsidRDefault="00263483" w:rsidP="00350FEA">
            <w:pPr>
              <w:ind w:right="-1"/>
              <w:rPr>
                <w:rFonts w:asciiTheme="minorHAnsi" w:hAnsiTheme="minorHAnsi" w:cstheme="minorHAnsi"/>
                <w:b w:val="0"/>
                <w:bCs w:val="0"/>
                <w:sz w:val="20"/>
                <w:szCs w:val="20"/>
              </w:rPr>
            </w:pPr>
            <w:r w:rsidRPr="00907BAF">
              <w:rPr>
                <w:rFonts w:asciiTheme="minorHAnsi" w:hAnsiTheme="minorHAnsi" w:cstheme="minorHAnsi"/>
                <w:b w:val="0"/>
                <w:bCs w:val="0"/>
                <w:sz w:val="20"/>
                <w:szCs w:val="20"/>
              </w:rPr>
              <w:t>Variation des AEN</w:t>
            </w:r>
          </w:p>
        </w:tc>
        <w:tc>
          <w:tcPr>
            <w:tcW w:w="1211"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748,2</w:t>
            </w:r>
          </w:p>
        </w:tc>
        <w:tc>
          <w:tcPr>
            <w:tcW w:w="1212"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-10,4</w:t>
            </w:r>
          </w:p>
        </w:tc>
        <w:tc>
          <w:tcPr>
            <w:tcW w:w="1212"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-587,5</w:t>
            </w:r>
          </w:p>
        </w:tc>
        <w:tc>
          <w:tcPr>
            <w:tcW w:w="1212" w:type="dxa"/>
          </w:tcPr>
          <w:p w:rsidR="00263483" w:rsidRPr="00263483" w:rsidRDefault="00FC623C" w:rsidP="00350F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-353,6</w:t>
            </w:r>
          </w:p>
        </w:tc>
      </w:tr>
      <w:tr w:rsidR="00263483" w:rsidRPr="00907BAF" w:rsidTr="00FC62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hideMark/>
          </w:tcPr>
          <w:p w:rsidR="00263483" w:rsidRPr="00907BAF" w:rsidRDefault="00263483" w:rsidP="00350FEA">
            <w:pPr>
              <w:ind w:right="-1"/>
              <w:rPr>
                <w:rFonts w:asciiTheme="minorHAnsi" w:hAnsiTheme="minorHAnsi" w:cstheme="minorHAnsi"/>
                <w:bCs w:val="0"/>
                <w:sz w:val="20"/>
                <w:szCs w:val="20"/>
              </w:rPr>
            </w:pPr>
            <w:r w:rsidRPr="00907BAF">
              <w:rPr>
                <w:rFonts w:asciiTheme="minorHAnsi" w:hAnsiTheme="minorHAnsi" w:cstheme="minorHAnsi"/>
                <w:bCs w:val="0"/>
                <w:sz w:val="20"/>
                <w:szCs w:val="20"/>
              </w:rPr>
              <w:t>PIB Nominal (PM)</w:t>
            </w:r>
          </w:p>
        </w:tc>
        <w:tc>
          <w:tcPr>
            <w:tcW w:w="1211"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45 260,9</w:t>
            </w:r>
          </w:p>
        </w:tc>
        <w:tc>
          <w:tcPr>
            <w:tcW w:w="1212"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48 449,9</w:t>
            </w:r>
          </w:p>
        </w:tc>
        <w:tc>
          <w:tcPr>
            <w:tcW w:w="1212"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52 270,4</w:t>
            </w:r>
          </w:p>
        </w:tc>
        <w:tc>
          <w:tcPr>
            <w:tcW w:w="1212" w:type="dxa"/>
          </w:tcPr>
          <w:p w:rsidR="00263483" w:rsidRPr="00263483" w:rsidRDefault="00FC623C" w:rsidP="00350F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62585,2</w:t>
            </w:r>
          </w:p>
        </w:tc>
      </w:tr>
    </w:tbl>
    <w:p w:rsidR="00551C79" w:rsidRPr="000B64E3" w:rsidRDefault="00551C79" w:rsidP="00551C79">
      <w:pPr>
        <w:ind w:right="-1"/>
        <w:jc w:val="both"/>
        <w:rPr>
          <w:rFonts w:ascii="Calibri" w:hAnsi="Calibri"/>
          <w:sz w:val="20"/>
          <w:szCs w:val="20"/>
        </w:rPr>
      </w:pPr>
      <w:r w:rsidRPr="000B64E3">
        <w:rPr>
          <w:rFonts w:ascii="Calibri" w:hAnsi="Calibri"/>
          <w:sz w:val="20"/>
          <w:szCs w:val="20"/>
        </w:rPr>
        <w:t>Source : BCEAO</w:t>
      </w:r>
    </w:p>
    <w:p w:rsidR="00551C79" w:rsidRDefault="00551C79" w:rsidP="00F363EB">
      <w:pPr>
        <w:spacing w:before="120" w:after="120"/>
        <w:jc w:val="both"/>
        <w:rPr>
          <w:rFonts w:asciiTheme="minorHAnsi" w:hAnsiTheme="minorHAnsi" w:cs="Arial"/>
          <w:sz w:val="24"/>
          <w:szCs w:val="24"/>
        </w:rPr>
      </w:pPr>
    </w:p>
    <w:p w:rsidR="00F07690" w:rsidRPr="00F07690" w:rsidRDefault="00F07690" w:rsidP="00F07690">
      <w:pPr>
        <w:spacing w:before="120" w:after="120"/>
        <w:jc w:val="both"/>
        <w:rPr>
          <w:rFonts w:asciiTheme="minorHAnsi" w:hAnsiTheme="minorHAnsi" w:cs="Arial"/>
          <w:sz w:val="24"/>
          <w:szCs w:val="24"/>
        </w:rPr>
      </w:pPr>
      <w:r w:rsidRPr="00F07690">
        <w:rPr>
          <w:rFonts w:asciiTheme="minorHAnsi" w:hAnsiTheme="minorHAnsi" w:cs="Arial"/>
          <w:sz w:val="24"/>
          <w:szCs w:val="24"/>
        </w:rPr>
        <w:t>L'aggravation du déficit de la balance commerciale résulterait de l'accroissement de la facture des produits pétroliers, en raison des perspectives de légère remontée des cours internationaux du pétrole brut (+2,1%) exprimés en FCFA et des produits alimentaires (+5,4%) ainsi que du maintien de la dynamique des importations de biens d'équipement, liées à la mise en œuvre d'importants projets d'infrastructures, notamment en Côte d'Ivoire, au Niger et au Sénégal. Ces évolutions pourraient toutefois être modérées par les effets positifs attendus des réformes menées dans les filières agricoles d'exportation et vivrière, auxquels s'ajoutent ceux résultant de l'entrée en production de certaines mines, notamment au Mali et au Burkina.</w:t>
      </w:r>
    </w:p>
    <w:p w:rsidR="00F07690" w:rsidRPr="00F07690" w:rsidRDefault="00F07690" w:rsidP="00F07690">
      <w:pPr>
        <w:spacing w:before="120" w:after="120"/>
        <w:jc w:val="both"/>
        <w:rPr>
          <w:rFonts w:asciiTheme="minorHAnsi" w:hAnsiTheme="minorHAnsi" w:cs="Arial"/>
          <w:sz w:val="24"/>
          <w:szCs w:val="24"/>
        </w:rPr>
      </w:pPr>
      <w:r w:rsidRPr="00F07690">
        <w:rPr>
          <w:rFonts w:asciiTheme="minorHAnsi" w:hAnsiTheme="minorHAnsi" w:cs="Arial"/>
          <w:sz w:val="24"/>
          <w:szCs w:val="24"/>
        </w:rPr>
        <w:lastRenderedPageBreak/>
        <w:t>Le déficit de la balance des services s'inscrirait en hausse (+4,7%), en relation notamment avec l'augmentation du fret, qu'induirait la progression des importations de marchandises et des cours internationaux des produits pétroliers.</w:t>
      </w:r>
    </w:p>
    <w:p w:rsidR="00F07690" w:rsidRPr="00F07690" w:rsidRDefault="00F07690" w:rsidP="00F07690">
      <w:pPr>
        <w:spacing w:before="120" w:after="120"/>
        <w:jc w:val="both"/>
        <w:rPr>
          <w:rFonts w:asciiTheme="minorHAnsi" w:hAnsiTheme="minorHAnsi" w:cs="Arial"/>
          <w:sz w:val="24"/>
          <w:szCs w:val="24"/>
        </w:rPr>
      </w:pPr>
      <w:r w:rsidRPr="00F07690">
        <w:rPr>
          <w:rFonts w:asciiTheme="minorHAnsi" w:hAnsiTheme="minorHAnsi" w:cs="Arial"/>
          <w:sz w:val="24"/>
          <w:szCs w:val="24"/>
        </w:rPr>
        <w:t>Le solde déficitaire du revenu primaire s’accroîtrait de 7,8%, pour ressortir à 1.231,4 milliards en 2016, en ligne avec la hausse des versements de dividendes aux actionnaires étrangers des principales entreprises exportatrices de l'Union et des paiements des intérêts sur la dette extérieure.</w:t>
      </w:r>
    </w:p>
    <w:p w:rsidR="00F07690" w:rsidRPr="00F07690" w:rsidRDefault="00F07690" w:rsidP="00F07690">
      <w:pPr>
        <w:spacing w:before="120" w:after="120"/>
        <w:jc w:val="both"/>
        <w:rPr>
          <w:rFonts w:asciiTheme="minorHAnsi" w:hAnsiTheme="minorHAnsi" w:cs="Arial"/>
          <w:sz w:val="24"/>
          <w:szCs w:val="24"/>
        </w:rPr>
      </w:pPr>
      <w:r w:rsidRPr="00F07690">
        <w:rPr>
          <w:rFonts w:asciiTheme="minorHAnsi" w:hAnsiTheme="minorHAnsi" w:cs="Arial"/>
          <w:sz w:val="24"/>
          <w:szCs w:val="24"/>
        </w:rPr>
        <w:t>La quasi-stabilité prévue de l'excédent du solde du compte du revenu secondaire résulterait d'une baisse des appuis extérieurs en faveur des Etats, qui serait compensée par la hausse des transferts privés. L'évolution des transferts courants publics traduirait le repli des appuis humanitaires attendus par les Etats, en raison notamment des bonnes perspectives au plan de la production vivrière. Quant à l'augmentation des transferts privés, elle résulterait de la progression des flux d'envois de fonds des travailleurs, en lien avec la reprise progressive de l'activité économique dans les pays occidentaux.</w:t>
      </w:r>
    </w:p>
    <w:p w:rsidR="00F07690" w:rsidRPr="00F07690" w:rsidRDefault="00F07690" w:rsidP="00F07690">
      <w:pPr>
        <w:spacing w:before="120" w:after="120"/>
        <w:jc w:val="both"/>
        <w:rPr>
          <w:rFonts w:asciiTheme="minorHAnsi" w:hAnsiTheme="minorHAnsi" w:cs="Arial"/>
          <w:sz w:val="24"/>
          <w:szCs w:val="24"/>
        </w:rPr>
      </w:pPr>
      <w:r w:rsidRPr="00F07690">
        <w:rPr>
          <w:rFonts w:asciiTheme="minorHAnsi" w:hAnsiTheme="minorHAnsi" w:cs="Arial"/>
          <w:sz w:val="24"/>
          <w:szCs w:val="24"/>
        </w:rPr>
        <w:t>L'excédent du compte de capital devrait croître pour ressortir à 1.328,7 milliards, contre 1.261,1 milliards relevés un an plus tôt, en liaison avec la hausse des dons-projets dans les pays de l'UEMOA.</w:t>
      </w:r>
    </w:p>
    <w:p w:rsidR="00F07690" w:rsidRPr="00F07690" w:rsidRDefault="00F07690" w:rsidP="00F07690">
      <w:pPr>
        <w:spacing w:before="120" w:after="120"/>
        <w:jc w:val="both"/>
        <w:rPr>
          <w:rFonts w:asciiTheme="minorHAnsi" w:hAnsiTheme="minorHAnsi" w:cs="Arial"/>
          <w:sz w:val="24"/>
          <w:szCs w:val="24"/>
        </w:rPr>
      </w:pPr>
      <w:r w:rsidRPr="00F07690">
        <w:rPr>
          <w:rFonts w:asciiTheme="minorHAnsi" w:hAnsiTheme="minorHAnsi" w:cs="Arial"/>
          <w:sz w:val="24"/>
          <w:szCs w:val="24"/>
        </w:rPr>
        <w:t>La hausse des entrées de capitaux au titre du compte financier en 2016 serait portée par les  investissements directs étrangers (+342,3 milliards) et les « autres investissements » (+255,0 milliards), les investissements de portefeuille étant attendus en baisse (-391,9 milliards). L'accroissement des investissements directs étrangers (IDE) refléterait la poursuite des travaux de construction d'infrastructures de transport du pétrole (pipeline) au Niger, de cimenteries de grande capacité ainsi que d'exploration pétrolière dans certains Etats membres de l'Union. Les flux entrants au titre des « autres investissements » sont attendus en hausse, en raison de la projection d'une nette progression des tirages publics contractés vis-à-vis des non-résidents, dans le cadre du financement des plans de développement. Le repli des investissements de portefeuille s'expliquerait pour sa part par l'absence d'émission d'eurobonds par les Etats membres en 2016.</w:t>
      </w:r>
    </w:p>
    <w:p w:rsidR="00F07690" w:rsidRDefault="00F07690" w:rsidP="00F07690">
      <w:pPr>
        <w:spacing w:before="120" w:after="120"/>
        <w:jc w:val="both"/>
        <w:rPr>
          <w:rFonts w:asciiTheme="minorHAnsi" w:hAnsiTheme="minorHAnsi" w:cs="Arial"/>
          <w:sz w:val="24"/>
          <w:szCs w:val="24"/>
        </w:rPr>
      </w:pPr>
      <w:r w:rsidRPr="00F07690">
        <w:rPr>
          <w:rFonts w:asciiTheme="minorHAnsi" w:hAnsiTheme="minorHAnsi" w:cs="Arial"/>
          <w:sz w:val="24"/>
          <w:szCs w:val="24"/>
        </w:rPr>
        <w:t>En liaison avec ces évolutions, le solde global de la balance de l'Union ressortirait excédentaire de 353,6 milliards, contre 587,5 milliards en 2015.</w:t>
      </w:r>
    </w:p>
    <w:p w:rsidR="00F363EB" w:rsidRPr="00A821E7" w:rsidRDefault="00F363EB" w:rsidP="00F363EB">
      <w:pPr>
        <w:spacing w:before="120" w:after="120"/>
        <w:jc w:val="both"/>
        <w:rPr>
          <w:rFonts w:asciiTheme="minorHAnsi" w:hAnsiTheme="minorHAnsi" w:cs="Arial"/>
          <w:sz w:val="24"/>
          <w:szCs w:val="24"/>
        </w:rPr>
      </w:pPr>
    </w:p>
    <w:p w:rsidR="00E25029" w:rsidRPr="00626B83" w:rsidRDefault="00220E46" w:rsidP="007B1D8C">
      <w:pPr>
        <w:pStyle w:val="RAPPORTCONVNOMT2"/>
        <w:rPr>
          <w:rFonts w:asciiTheme="minorHAnsi" w:hAnsiTheme="minorHAnsi" w:cstheme="minorHAnsi"/>
          <w:b/>
        </w:rPr>
      </w:pPr>
      <w:bookmarkStart w:id="10" w:name="_Toc444614016"/>
      <w:r w:rsidRPr="00626B83">
        <w:rPr>
          <w:rFonts w:asciiTheme="minorHAnsi" w:hAnsiTheme="minorHAnsi" w:cstheme="minorHAnsi"/>
          <w:b/>
        </w:rPr>
        <w:t>Situation économique dans la</w:t>
      </w:r>
      <w:r w:rsidR="00E25029" w:rsidRPr="00626B83">
        <w:rPr>
          <w:rFonts w:asciiTheme="minorHAnsi" w:hAnsiTheme="minorHAnsi" w:cstheme="minorHAnsi"/>
          <w:b/>
        </w:rPr>
        <w:t xml:space="preserve"> CEMAC</w:t>
      </w:r>
      <w:bookmarkEnd w:id="10"/>
    </w:p>
    <w:p w:rsidR="00B12FC2" w:rsidRPr="00B12FC2" w:rsidRDefault="00B12FC2" w:rsidP="00B12FC2">
      <w:pPr>
        <w:spacing w:before="120" w:after="120"/>
        <w:jc w:val="both"/>
        <w:rPr>
          <w:rFonts w:asciiTheme="minorHAnsi" w:hAnsiTheme="minorHAnsi" w:cs="Arial"/>
          <w:sz w:val="24"/>
          <w:szCs w:val="24"/>
        </w:rPr>
      </w:pPr>
      <w:r w:rsidRPr="00B12FC2">
        <w:rPr>
          <w:rFonts w:asciiTheme="minorHAnsi" w:hAnsiTheme="minorHAnsi" w:cs="Arial"/>
          <w:sz w:val="24"/>
          <w:szCs w:val="24"/>
        </w:rPr>
        <w:t>La situation macroéconomique des États membres de la CEMAC a été caractérisée en 2015 par un ralentissement de la croissance économique, une détérioration des comptes publics et des comptes extérieurs, une situation monétaire encore confortable, et une baisse des tensions inflationnistes.</w:t>
      </w:r>
    </w:p>
    <w:p w:rsidR="00B12FC2" w:rsidRPr="00B12FC2" w:rsidRDefault="00AD7D99" w:rsidP="00B12FC2">
      <w:pPr>
        <w:spacing w:before="120" w:after="120"/>
        <w:jc w:val="both"/>
        <w:rPr>
          <w:rFonts w:asciiTheme="minorHAnsi" w:hAnsiTheme="minorHAnsi" w:cs="Arial"/>
          <w:sz w:val="24"/>
          <w:szCs w:val="24"/>
        </w:rPr>
      </w:pPr>
      <w:r w:rsidRPr="00AD7D99">
        <w:rPr>
          <w:rFonts w:asciiTheme="minorHAnsi" w:hAnsiTheme="minorHAnsi" w:cs="Arial"/>
          <w:sz w:val="24"/>
          <w:szCs w:val="24"/>
        </w:rPr>
        <w:t>En effet, la contreperformance du secteur pétrolier a eu des effets dépressifs sur la demande intérieure et le secteur non pétrolier, conduisant à un taux de croissance du PIB estimé à 2,8 % en 2015. Au niveau des comptes publics, le déficit du solde budgétaire, base engagements, hors dons, s’est creusé, représentant 3,1 % du PIB en 2015 contre 1,6 % du PIB en 2014. Du côté des échanges avec l’extérieur, le déficit du solde extérieur courant, hors dons officiels, représente 12,2 % du PIB en 2015 contre 4,5 % du PIB un an plus tôt. Quant au taux de couverture extérieure de la monnaie, il a reculé à 77,1 % contre 89,8 % en 2014. Le taux d’inflation annuel moyen de la Communauté s’est fixé à 2,3 % en 2015 contre 3,2 % en 2014.</w:t>
      </w:r>
      <w:r w:rsidR="00B12FC2" w:rsidRPr="00B12FC2">
        <w:rPr>
          <w:rFonts w:asciiTheme="minorHAnsi" w:hAnsiTheme="minorHAnsi" w:cs="Arial"/>
          <w:sz w:val="24"/>
          <w:szCs w:val="24"/>
        </w:rPr>
        <w:t xml:space="preserve"> </w:t>
      </w:r>
    </w:p>
    <w:p w:rsidR="00B12FC2" w:rsidRPr="00704614" w:rsidRDefault="00B12FC2" w:rsidP="00B12FC2">
      <w:pPr>
        <w:spacing w:after="120"/>
        <w:jc w:val="both"/>
        <w:rPr>
          <w:rFonts w:asciiTheme="minorHAnsi" w:hAnsiTheme="minorHAnsi"/>
          <w:color w:val="000000"/>
          <w:sz w:val="24"/>
          <w:szCs w:val="24"/>
        </w:rPr>
      </w:pPr>
      <w:r w:rsidRPr="00704614">
        <w:rPr>
          <w:rFonts w:asciiTheme="minorHAnsi" w:hAnsiTheme="minorHAnsi"/>
          <w:color w:val="000000"/>
          <w:sz w:val="24"/>
          <w:szCs w:val="24"/>
        </w:rPr>
        <w:lastRenderedPageBreak/>
        <w:t>Pour l’année 2016, les hypothèses tablent principalement :</w:t>
      </w:r>
    </w:p>
    <w:p w:rsidR="00B12FC2" w:rsidRPr="001C509F" w:rsidRDefault="00B12FC2" w:rsidP="00C45F9E">
      <w:pPr>
        <w:pStyle w:val="Paragraphedeliste"/>
        <w:numPr>
          <w:ilvl w:val="0"/>
          <w:numId w:val="18"/>
        </w:numPr>
        <w:spacing w:after="120"/>
        <w:contextualSpacing/>
        <w:jc w:val="both"/>
        <w:rPr>
          <w:rFonts w:asciiTheme="minorHAnsi" w:hAnsiTheme="minorHAnsi"/>
          <w:color w:val="000000"/>
          <w:sz w:val="24"/>
          <w:szCs w:val="24"/>
        </w:rPr>
      </w:pPr>
      <w:r w:rsidRPr="00C33E0F">
        <w:rPr>
          <w:rFonts w:asciiTheme="minorHAnsi" w:hAnsiTheme="minorHAnsi"/>
          <w:i/>
          <w:color w:val="000000"/>
          <w:sz w:val="24"/>
          <w:szCs w:val="24"/>
        </w:rPr>
        <w:t>au plan interne</w:t>
      </w:r>
      <w:r w:rsidRPr="001C509F">
        <w:rPr>
          <w:rFonts w:asciiTheme="minorHAnsi" w:hAnsiTheme="minorHAnsi"/>
          <w:color w:val="000000"/>
          <w:sz w:val="24"/>
          <w:szCs w:val="24"/>
        </w:rPr>
        <w:t xml:space="preserve"> sur : (i) </w:t>
      </w:r>
      <w:r w:rsidR="00AD7D99" w:rsidRPr="00AD7D99">
        <w:rPr>
          <w:rFonts w:asciiTheme="minorHAnsi" w:hAnsiTheme="minorHAnsi"/>
          <w:sz w:val="24"/>
          <w:szCs w:val="24"/>
        </w:rPr>
        <w:t xml:space="preserve">une baisse de la production pétrolière de 5,4 % à 45,3 millions de tonnes ; ii) une hausse de la production de méthanol et autres gaz de 8,5 %, à 8 813,7 milliers de tonnes ; iii) un redressement du secteur non pétrolier </w:t>
      </w:r>
      <w:r w:rsidRPr="00C33E0F">
        <w:rPr>
          <w:rFonts w:asciiTheme="minorHAnsi" w:hAnsiTheme="minorHAnsi"/>
          <w:color w:val="000000"/>
          <w:sz w:val="24"/>
          <w:szCs w:val="24"/>
        </w:rPr>
        <w:t>;</w:t>
      </w:r>
    </w:p>
    <w:p w:rsidR="00B12FC2" w:rsidRPr="00704614" w:rsidRDefault="00B12FC2" w:rsidP="00C45F9E">
      <w:pPr>
        <w:pStyle w:val="Paragraphedeliste"/>
        <w:numPr>
          <w:ilvl w:val="0"/>
          <w:numId w:val="18"/>
        </w:numPr>
        <w:spacing w:after="120"/>
        <w:contextualSpacing/>
        <w:jc w:val="both"/>
        <w:rPr>
          <w:rFonts w:asciiTheme="minorHAnsi" w:hAnsiTheme="minorHAnsi"/>
          <w:color w:val="000000"/>
          <w:sz w:val="24"/>
          <w:szCs w:val="24"/>
        </w:rPr>
      </w:pPr>
      <w:r w:rsidRPr="001C509F">
        <w:rPr>
          <w:rFonts w:asciiTheme="minorHAnsi" w:hAnsiTheme="minorHAnsi"/>
          <w:i/>
          <w:color w:val="000000"/>
          <w:sz w:val="24"/>
          <w:szCs w:val="24"/>
        </w:rPr>
        <w:t>au plan externe</w:t>
      </w:r>
      <w:r w:rsidRPr="00704614">
        <w:rPr>
          <w:rFonts w:asciiTheme="minorHAnsi" w:hAnsiTheme="minorHAnsi"/>
          <w:color w:val="000000"/>
          <w:sz w:val="24"/>
          <w:szCs w:val="24"/>
        </w:rPr>
        <w:t xml:space="preserve"> sur : (i) une croissance économique mondiale se situant à 3,4 % en 2016 contre 3,3 % en 2015</w:t>
      </w:r>
      <w:r w:rsidRPr="00704614">
        <w:rPr>
          <w:rStyle w:val="Appelnotedebasdep"/>
          <w:rFonts w:asciiTheme="minorHAnsi" w:hAnsiTheme="minorHAnsi"/>
          <w:color w:val="000000"/>
          <w:sz w:val="24"/>
          <w:szCs w:val="24"/>
        </w:rPr>
        <w:footnoteReference w:id="1"/>
      </w:r>
      <w:r w:rsidRPr="00704614">
        <w:rPr>
          <w:rFonts w:asciiTheme="minorHAnsi" w:hAnsiTheme="minorHAnsi"/>
          <w:color w:val="000000"/>
          <w:sz w:val="24"/>
          <w:szCs w:val="24"/>
        </w:rPr>
        <w:t> ; (ii) une appréciation du dollar de 591,7 FCFA en 2015 à 608 FCFA en 2016 ; et (iii) une baisse des prix des principales matières premières, dont le pétrole (à 37 dollars le baril en moyenne sur l’année 2016 contre 50,9 dollars en 2015), le cuivre, le café, le manganèse, le coton et l’aluminium.</w:t>
      </w:r>
    </w:p>
    <w:p w:rsidR="00B12FC2" w:rsidRPr="00704614" w:rsidRDefault="00B12FC2" w:rsidP="00B12FC2">
      <w:pPr>
        <w:spacing w:after="120"/>
        <w:jc w:val="both"/>
        <w:rPr>
          <w:rFonts w:asciiTheme="minorHAnsi" w:hAnsiTheme="minorHAnsi"/>
          <w:sz w:val="24"/>
          <w:szCs w:val="24"/>
        </w:rPr>
      </w:pPr>
    </w:p>
    <w:p w:rsidR="00B12FC2" w:rsidRPr="001C509F" w:rsidRDefault="00B12FC2" w:rsidP="00B12FC2">
      <w:pPr>
        <w:spacing w:after="120"/>
        <w:jc w:val="both"/>
        <w:rPr>
          <w:rFonts w:asciiTheme="minorHAnsi" w:hAnsiTheme="minorHAnsi"/>
          <w:sz w:val="24"/>
          <w:szCs w:val="24"/>
        </w:rPr>
      </w:pPr>
      <w:r w:rsidRPr="00704614">
        <w:rPr>
          <w:rFonts w:asciiTheme="minorHAnsi" w:hAnsiTheme="minorHAnsi"/>
          <w:sz w:val="24"/>
          <w:szCs w:val="24"/>
        </w:rPr>
        <w:t xml:space="preserve">En 2015, la </w:t>
      </w:r>
      <w:r w:rsidRPr="00704614">
        <w:rPr>
          <w:rFonts w:asciiTheme="minorHAnsi" w:hAnsiTheme="minorHAnsi"/>
          <w:b/>
          <w:sz w:val="24"/>
          <w:szCs w:val="24"/>
        </w:rPr>
        <w:t>croissance du PIB</w:t>
      </w:r>
      <w:r w:rsidRPr="00C33E0F">
        <w:rPr>
          <w:rFonts w:asciiTheme="minorHAnsi" w:hAnsiTheme="minorHAnsi"/>
          <w:sz w:val="24"/>
          <w:szCs w:val="24"/>
        </w:rPr>
        <w:t xml:space="preserve"> réel est revenue à 2,8 % en 2015 contre 4,8 % un an plus tôt, entraînant une dépréciation du PIB réel par habitant de 0,1 point. En termes de cont</w:t>
      </w:r>
      <w:r w:rsidRPr="001C509F">
        <w:rPr>
          <w:rFonts w:asciiTheme="minorHAnsi" w:hAnsiTheme="minorHAnsi"/>
          <w:sz w:val="24"/>
          <w:szCs w:val="24"/>
        </w:rPr>
        <w:t>ribution à la croissance, le secteur pétrolier a apporté 0,2 point à la croissance, alors que l’apport du secteur non pétrolier est de 2,6 points.</w:t>
      </w:r>
    </w:p>
    <w:p w:rsidR="00B12FC2" w:rsidRPr="001C509F" w:rsidRDefault="00AD7D99" w:rsidP="00B12FC2">
      <w:pPr>
        <w:spacing w:after="120"/>
        <w:jc w:val="both"/>
        <w:rPr>
          <w:rFonts w:asciiTheme="minorHAnsi" w:hAnsiTheme="minorHAnsi"/>
          <w:sz w:val="24"/>
          <w:szCs w:val="24"/>
        </w:rPr>
      </w:pPr>
      <w:r w:rsidRPr="00AD7D99">
        <w:rPr>
          <w:rFonts w:asciiTheme="minorHAnsi" w:hAnsiTheme="minorHAnsi"/>
          <w:sz w:val="24"/>
          <w:szCs w:val="24"/>
        </w:rPr>
        <w:t xml:space="preserve">Par pays, </w:t>
      </w:r>
      <w:r w:rsidRPr="00AD7D99">
        <w:rPr>
          <w:rFonts w:asciiTheme="minorHAnsi" w:hAnsiTheme="minorHAnsi"/>
          <w:spacing w:val="-3"/>
          <w:sz w:val="24"/>
          <w:szCs w:val="24"/>
        </w:rPr>
        <w:t>Le rythme de l’activité économique a été soutenu au Cameroun (+5,9 % en 2015 comme en 2014) et en Centrafrique (+4,9 % contre +1 % un an plus tôt), alors qu’il a ralenti au Congo (+2,4 % contre 6,7 % en 2014) et au Tchad (+3,3 % contre +6,2 % une année auparavant). Cependant, le rythme de croissance a été quasi-stable au Gabon (+4 % contre +4,3 % une année plus tôt). Il a baissé en Guinée Équatoriale (+0,6 % en 2014 à -6,1 % en 2015).</w:t>
      </w:r>
    </w:p>
    <w:p w:rsidR="00B12FC2" w:rsidRPr="00704614" w:rsidRDefault="00B12FC2" w:rsidP="00B12FC2">
      <w:pPr>
        <w:spacing w:after="120"/>
        <w:jc w:val="both"/>
        <w:rPr>
          <w:rFonts w:asciiTheme="minorHAnsi" w:hAnsiTheme="minorHAnsi"/>
          <w:sz w:val="24"/>
          <w:szCs w:val="24"/>
        </w:rPr>
      </w:pPr>
      <w:r w:rsidRPr="00704614">
        <w:rPr>
          <w:rFonts w:asciiTheme="minorHAnsi" w:hAnsiTheme="minorHAnsi"/>
          <w:b/>
          <w:i/>
          <w:sz w:val="24"/>
          <w:szCs w:val="24"/>
        </w:rPr>
        <w:t>Du côté de l’offre</w:t>
      </w:r>
      <w:r w:rsidRPr="00704614">
        <w:rPr>
          <w:rFonts w:asciiTheme="minorHAnsi" w:hAnsiTheme="minorHAnsi"/>
          <w:sz w:val="24"/>
          <w:szCs w:val="24"/>
        </w:rPr>
        <w:t>, les secteurs primaire (+1,1 point) et tertiaire (+1,6 point) ont soutenu la croissance alors que le secteur secondaire (-0,2 point) a contribué négativement la croissance en 2015.</w:t>
      </w:r>
    </w:p>
    <w:p w:rsidR="00B12FC2" w:rsidRPr="00704614" w:rsidRDefault="00B12FC2" w:rsidP="00B12FC2">
      <w:pPr>
        <w:spacing w:after="120"/>
        <w:jc w:val="both"/>
        <w:rPr>
          <w:rFonts w:asciiTheme="minorHAnsi" w:hAnsiTheme="minorHAnsi"/>
          <w:sz w:val="24"/>
          <w:szCs w:val="24"/>
        </w:rPr>
      </w:pPr>
      <w:r w:rsidRPr="00704614">
        <w:rPr>
          <w:rFonts w:asciiTheme="minorHAnsi" w:hAnsiTheme="minorHAnsi"/>
          <w:sz w:val="24"/>
          <w:szCs w:val="24"/>
        </w:rPr>
        <w:t xml:space="preserve">Au niveau du </w:t>
      </w:r>
      <w:r w:rsidRPr="00704614">
        <w:rPr>
          <w:rFonts w:asciiTheme="minorHAnsi" w:hAnsiTheme="minorHAnsi"/>
          <w:i/>
          <w:sz w:val="24"/>
          <w:szCs w:val="24"/>
        </w:rPr>
        <w:t>secteur primaire</w:t>
      </w:r>
      <w:r w:rsidRPr="00704614">
        <w:rPr>
          <w:rFonts w:asciiTheme="minorHAnsi" w:hAnsiTheme="minorHAnsi"/>
          <w:sz w:val="24"/>
          <w:szCs w:val="24"/>
        </w:rPr>
        <w:t>, les branches « agriculture, élevage, chasse et pêche » et « industries extractives » ont soutenu positivement la croissance à hauteur de 0,3 point et 0,7 point, respectivement.</w:t>
      </w:r>
    </w:p>
    <w:p w:rsidR="00B12FC2" w:rsidRPr="00704614" w:rsidRDefault="00B12FC2" w:rsidP="00B12FC2">
      <w:pPr>
        <w:spacing w:after="120"/>
        <w:jc w:val="both"/>
        <w:rPr>
          <w:rFonts w:asciiTheme="minorHAnsi" w:hAnsiTheme="minorHAnsi"/>
          <w:sz w:val="24"/>
          <w:szCs w:val="24"/>
        </w:rPr>
      </w:pPr>
      <w:r w:rsidRPr="00704614">
        <w:rPr>
          <w:rFonts w:asciiTheme="minorHAnsi" w:hAnsiTheme="minorHAnsi"/>
          <w:sz w:val="24"/>
          <w:szCs w:val="24"/>
        </w:rPr>
        <w:t xml:space="preserve">En effet, l’apport de la branche de « l’agriculture, élevage, chasse et pêche » relève des évolutions enregistrées par l’agriculture vivrière grâce à la bonne pluviométrie observée dans la plupart des États membres. Par ailleurs, certaines principales cultures de rente ont soutenu la croissance en 2015, en relation avec la hausse des </w:t>
      </w:r>
      <w:r w:rsidRPr="00704614">
        <w:rPr>
          <w:rFonts w:asciiTheme="minorHAnsi" w:hAnsiTheme="minorHAnsi"/>
          <w:bCs/>
          <w:sz w:val="24"/>
          <w:szCs w:val="24"/>
        </w:rPr>
        <w:t>productions : (i) de cacao au Cameroun, au Gabon et en Guinée Equatoriale (+5 % à 296,6 mille tonnes), de café (+6,4 % à 53,1 mille tonnes) et de la gomme arabique au Tchad (+3,3  % à 47 mille tonnes). Toutefois, il convient de signaler qu’en dépit de la baisse de la production de coton au niveau communautaire, la Centrafrique et le Tchad ont enregistré une hausse de leur production</w:t>
      </w:r>
      <w:r w:rsidRPr="00704614">
        <w:rPr>
          <w:rFonts w:asciiTheme="minorHAnsi" w:hAnsiTheme="minorHAnsi"/>
          <w:sz w:val="24"/>
          <w:szCs w:val="24"/>
        </w:rPr>
        <w:t>.</w:t>
      </w:r>
    </w:p>
    <w:p w:rsidR="00B12FC2" w:rsidRPr="00704614" w:rsidRDefault="00AD7D99" w:rsidP="00B12FC2">
      <w:pPr>
        <w:spacing w:after="120"/>
        <w:jc w:val="both"/>
        <w:rPr>
          <w:rFonts w:asciiTheme="minorHAnsi" w:hAnsiTheme="minorHAnsi"/>
          <w:sz w:val="24"/>
          <w:szCs w:val="24"/>
        </w:rPr>
      </w:pPr>
      <w:r w:rsidRPr="00AD7D99">
        <w:rPr>
          <w:rFonts w:asciiTheme="minorHAnsi" w:hAnsiTheme="minorHAnsi"/>
          <w:sz w:val="24"/>
          <w:szCs w:val="24"/>
        </w:rPr>
        <w:t xml:space="preserve">Parallèlement, les industries extractives ont considérablement bénéficié de l’augmentation de la production pétrolière de 4,2 %, à 47,9 millions de tonnes en 2015. Cette hausse relève des évolutions enregistrées au Cameroun (+28,5 % à 4,9 millions de tonnes), au Gabon (+8,5 % à 11,9 millions de tonnes) et au Tchad (+35,8 % à 7,2 millions de tonnes), en dépit de la baisse observée au Congo (-6,8 % à 11,8 millions de tonnes) et en Guinée Equatoriale (-8,8 % à 12,1 millions de tonnes). Aussi, il est à relever des hausses de production d’autres minéraux, l’aluminium (5,6%) et du manganèse (12,5%) au Gabon. </w:t>
      </w:r>
    </w:p>
    <w:p w:rsidR="00B12FC2" w:rsidRPr="00704614" w:rsidRDefault="00B12FC2" w:rsidP="00B12FC2">
      <w:pPr>
        <w:spacing w:after="120"/>
        <w:jc w:val="both"/>
        <w:rPr>
          <w:rFonts w:asciiTheme="minorHAnsi" w:hAnsiTheme="minorHAnsi"/>
          <w:sz w:val="24"/>
          <w:szCs w:val="24"/>
        </w:rPr>
      </w:pPr>
      <w:r w:rsidRPr="00704614">
        <w:rPr>
          <w:rFonts w:asciiTheme="minorHAnsi" w:hAnsiTheme="minorHAnsi"/>
          <w:sz w:val="24"/>
          <w:szCs w:val="24"/>
        </w:rPr>
        <w:t xml:space="preserve">L’apport de la branche de la sylviculture a été négligeable malgré l’augmentation </w:t>
      </w:r>
      <w:r w:rsidR="00A94542" w:rsidRPr="00704614">
        <w:rPr>
          <w:rFonts w:asciiTheme="minorHAnsi" w:hAnsiTheme="minorHAnsi"/>
          <w:sz w:val="24"/>
          <w:szCs w:val="24"/>
        </w:rPr>
        <w:t xml:space="preserve">de la production </w:t>
      </w:r>
      <w:r w:rsidRPr="00704614">
        <w:rPr>
          <w:rFonts w:asciiTheme="minorHAnsi" w:hAnsiTheme="minorHAnsi"/>
          <w:sz w:val="24"/>
          <w:szCs w:val="24"/>
        </w:rPr>
        <w:t xml:space="preserve">des </w:t>
      </w:r>
      <w:r w:rsidRPr="00704614">
        <w:rPr>
          <w:rFonts w:asciiTheme="minorHAnsi" w:hAnsiTheme="minorHAnsi"/>
          <w:bCs/>
          <w:sz w:val="24"/>
          <w:szCs w:val="24"/>
        </w:rPr>
        <w:t>bois de grume (+9,4 % à 154,4 mille m</w:t>
      </w:r>
      <w:r w:rsidRPr="00704614">
        <w:rPr>
          <w:rFonts w:asciiTheme="minorHAnsi" w:hAnsiTheme="minorHAnsi"/>
          <w:bCs/>
          <w:sz w:val="24"/>
          <w:szCs w:val="24"/>
          <w:vertAlign w:val="superscript"/>
        </w:rPr>
        <w:t>3</w:t>
      </w:r>
      <w:r w:rsidRPr="00704614">
        <w:rPr>
          <w:rFonts w:asciiTheme="minorHAnsi" w:hAnsiTheme="minorHAnsi"/>
          <w:bCs/>
          <w:sz w:val="24"/>
          <w:szCs w:val="24"/>
        </w:rPr>
        <w:t xml:space="preserve">) en Centrafrique. </w:t>
      </w:r>
    </w:p>
    <w:p w:rsidR="00B12FC2" w:rsidRPr="00704614" w:rsidRDefault="00AD7D99" w:rsidP="00B12FC2">
      <w:pPr>
        <w:spacing w:after="120"/>
        <w:jc w:val="both"/>
        <w:rPr>
          <w:rFonts w:asciiTheme="minorHAnsi" w:hAnsiTheme="minorHAnsi"/>
          <w:sz w:val="24"/>
          <w:szCs w:val="24"/>
          <w:highlight w:val="yellow"/>
        </w:rPr>
      </w:pPr>
      <w:r w:rsidRPr="00AD7D99">
        <w:rPr>
          <w:rFonts w:asciiTheme="minorHAnsi" w:hAnsiTheme="minorHAnsi"/>
          <w:sz w:val="24"/>
          <w:szCs w:val="24"/>
        </w:rPr>
        <w:lastRenderedPageBreak/>
        <w:t xml:space="preserve">Pour le </w:t>
      </w:r>
      <w:r w:rsidRPr="00AD7D99">
        <w:rPr>
          <w:rFonts w:asciiTheme="minorHAnsi" w:hAnsiTheme="minorHAnsi"/>
          <w:i/>
          <w:sz w:val="24"/>
          <w:szCs w:val="24"/>
        </w:rPr>
        <w:t>secteur secondaire</w:t>
      </w:r>
      <w:r w:rsidRPr="00AD7D99">
        <w:rPr>
          <w:rFonts w:asciiTheme="minorHAnsi" w:hAnsiTheme="minorHAnsi"/>
          <w:sz w:val="24"/>
          <w:szCs w:val="24"/>
        </w:rPr>
        <w:t>, le repli de l’activité a résulté des problèmes d’accès à l’énergie électrique, en rapport avec la dégradation des équipements de transport et de distribution, et, les contreperformances des activités des BTP, ce malgré le redressement des activités des industries manufacturières. En effet, les branches des industries manufacturières ont apporté 0,4 point à la croissance, suite au développement des activités de petites transformations notamment d’origine agricole dans plusieurs pays de la CEMAC. Quant à la branche des BTP (avec une croissance de -3,4 % en 2015 contre 3,1 % en 2014), elle a obéré la croissance économique de 0,2 point en 2015, en liaison avec les coupes drastiques observées dans les budgets d’investissement public de la plupart des États membres. En effet, l’année 2015 a été pour les entreprises de BTP une année de net ralentissement des activités, à cause de la suspension d’attribution de nouveaux chantiers d’Etat, la multiplication des contrôles des travaux en cours d’exécution et l’accumulation du retard de paiement des travaux déjà exécutés</w:t>
      </w:r>
      <w:r w:rsidR="00B12FC2" w:rsidRPr="00704614">
        <w:rPr>
          <w:rFonts w:asciiTheme="minorHAnsi" w:hAnsiTheme="minorHAnsi"/>
          <w:sz w:val="24"/>
          <w:szCs w:val="24"/>
        </w:rPr>
        <w:t xml:space="preserve">. </w:t>
      </w:r>
    </w:p>
    <w:p w:rsidR="00B12FC2" w:rsidRPr="00704614" w:rsidRDefault="00AD7D99" w:rsidP="00B12FC2">
      <w:pPr>
        <w:spacing w:after="120"/>
        <w:jc w:val="both"/>
        <w:rPr>
          <w:rFonts w:asciiTheme="minorHAnsi" w:hAnsiTheme="minorHAnsi"/>
          <w:sz w:val="24"/>
          <w:szCs w:val="24"/>
        </w:rPr>
      </w:pPr>
      <w:r w:rsidRPr="00AD7D99">
        <w:rPr>
          <w:rFonts w:asciiTheme="minorHAnsi" w:hAnsiTheme="minorHAnsi"/>
          <w:sz w:val="24"/>
          <w:szCs w:val="24"/>
        </w:rPr>
        <w:t xml:space="preserve">Enfin, le </w:t>
      </w:r>
      <w:r w:rsidRPr="00AD7D99">
        <w:rPr>
          <w:rFonts w:asciiTheme="minorHAnsi" w:hAnsiTheme="minorHAnsi"/>
          <w:i/>
          <w:sz w:val="24"/>
          <w:szCs w:val="24"/>
        </w:rPr>
        <w:t>secteur tertiaire</w:t>
      </w:r>
      <w:r w:rsidRPr="00AD7D99">
        <w:rPr>
          <w:rFonts w:asciiTheme="minorHAnsi" w:hAnsiTheme="minorHAnsi"/>
          <w:sz w:val="24"/>
          <w:szCs w:val="24"/>
        </w:rPr>
        <w:t xml:space="preserve"> avec 1,6 point de contribution a été le principal moteur de la croissance en 2015, en rapport avec le dynamisme des télécommunications, avec la multiplication des nouveaux opérateurs de téléphonie dans l’espace CEMAC et de nouveaux produits, ainsi que la baisse significative des prix de vente des appareils téléphoniques dans les États. Ce secteur a également profité de la hausse des activités de commerce, de restauration et d’hôtellerie, ainsi que des services des transports et de la bonne tenue des activités du primaire. Enfin, la branche des administrations publiques a également stimulé la croissance du secteur.</w:t>
      </w:r>
    </w:p>
    <w:tbl>
      <w:tblPr>
        <w:tblW w:w="10666" w:type="dxa"/>
        <w:jc w:val="center"/>
        <w:tblLook w:val="00A0" w:firstRow="1" w:lastRow="0" w:firstColumn="1" w:lastColumn="0" w:noHBand="0" w:noVBand="0"/>
      </w:tblPr>
      <w:tblGrid>
        <w:gridCol w:w="10696"/>
        <w:gridCol w:w="222"/>
      </w:tblGrid>
      <w:tr w:rsidR="00B12FC2" w:rsidRPr="00704614" w:rsidTr="00B76ABD">
        <w:trPr>
          <w:jc w:val="center"/>
        </w:trPr>
        <w:tc>
          <w:tcPr>
            <w:tcW w:w="10444" w:type="dxa"/>
          </w:tcPr>
          <w:tbl>
            <w:tblPr>
              <w:tblW w:w="9868" w:type="dxa"/>
              <w:jc w:val="center"/>
              <w:tblLook w:val="00A0" w:firstRow="1" w:lastRow="0" w:firstColumn="1" w:lastColumn="0" w:noHBand="0" w:noVBand="0"/>
            </w:tblPr>
            <w:tblGrid>
              <w:gridCol w:w="10258"/>
              <w:gridCol w:w="222"/>
            </w:tblGrid>
            <w:tr w:rsidR="00B12FC2" w:rsidRPr="00704614" w:rsidTr="00B76ABD">
              <w:trPr>
                <w:jc w:val="center"/>
              </w:trPr>
              <w:tc>
                <w:tcPr>
                  <w:tcW w:w="9646" w:type="dxa"/>
                  <w:hideMark/>
                </w:tcPr>
                <w:tbl>
                  <w:tblPr>
                    <w:tblW w:w="9790" w:type="dxa"/>
                    <w:jc w:val="center"/>
                    <w:tblCellMar>
                      <w:left w:w="70" w:type="dxa"/>
                      <w:right w:w="70" w:type="dxa"/>
                    </w:tblCellMar>
                    <w:tblLook w:val="00A0" w:firstRow="1" w:lastRow="0" w:firstColumn="1" w:lastColumn="0" w:noHBand="0" w:noVBand="0"/>
                  </w:tblPr>
                  <w:tblGrid>
                    <w:gridCol w:w="4856"/>
                    <w:gridCol w:w="5186"/>
                  </w:tblGrid>
                  <w:tr w:rsidR="00B12FC2" w:rsidRPr="00704614" w:rsidTr="00B76ABD">
                    <w:trPr>
                      <w:jc w:val="center"/>
                    </w:trPr>
                    <w:tc>
                      <w:tcPr>
                        <w:tcW w:w="4886" w:type="dxa"/>
                        <w:hideMark/>
                      </w:tcPr>
                      <w:p w:rsidR="00B12FC2" w:rsidRPr="00704614" w:rsidRDefault="00AD7D99" w:rsidP="00B76ABD">
                        <w:pPr>
                          <w:pStyle w:val="Lgende"/>
                          <w:ind w:left="516"/>
                          <w:jc w:val="both"/>
                          <w:rPr>
                            <w:rFonts w:asciiTheme="minorHAnsi" w:hAnsiTheme="minorHAnsi"/>
                            <w:color w:val="365F91" w:themeColor="accent1" w:themeShade="BF"/>
                            <w:sz w:val="24"/>
                            <w:szCs w:val="24"/>
                          </w:rPr>
                        </w:pPr>
                        <w:bookmarkStart w:id="11" w:name="_Toc444335810"/>
                        <w:bookmarkStart w:id="12" w:name="_Toc332028347"/>
                        <w:bookmarkStart w:id="13" w:name="_Toc413689829"/>
                        <w:r w:rsidRPr="00AD7D99">
                          <w:rPr>
                            <w:rFonts w:asciiTheme="minorHAnsi" w:hAnsiTheme="minorHAnsi"/>
                            <w:color w:val="365F91" w:themeColor="accent1" w:themeShade="BF"/>
                            <w:sz w:val="24"/>
                            <w:szCs w:val="24"/>
                          </w:rPr>
                          <w:t>Graphique 3: Croissance du PIB sous-régional</w:t>
                        </w:r>
                        <w:bookmarkEnd w:id="11"/>
                        <w:r w:rsidRPr="00AD7D99">
                          <w:rPr>
                            <w:rFonts w:asciiTheme="minorHAnsi" w:hAnsiTheme="minorHAnsi"/>
                            <w:color w:val="365F91" w:themeColor="accent1" w:themeShade="BF"/>
                            <w:sz w:val="24"/>
                            <w:szCs w:val="24"/>
                          </w:rPr>
                          <w:t xml:space="preserve"> </w:t>
                        </w:r>
                        <w:bookmarkEnd w:id="12"/>
                        <w:bookmarkEnd w:id="13"/>
                      </w:p>
                      <w:p w:rsidR="00B12FC2" w:rsidRPr="00704614" w:rsidRDefault="0004793F" w:rsidP="00B76ABD">
                        <w:pPr>
                          <w:pStyle w:val="Retraitcorpsdetexte2"/>
                          <w:spacing w:after="120"/>
                          <w:ind w:left="516"/>
                          <w:rPr>
                            <w:rFonts w:asciiTheme="minorHAnsi" w:hAnsiTheme="minorHAnsi"/>
                            <w:noProof/>
                            <w:sz w:val="24"/>
                            <w:szCs w:val="24"/>
                          </w:rPr>
                        </w:pPr>
                        <w:r>
                          <w:rPr>
                            <w:rFonts w:asciiTheme="minorHAnsi" w:hAnsiTheme="minorHAnsi"/>
                            <w:noProof/>
                            <w:sz w:val="24"/>
                            <w:szCs w:val="24"/>
                            <w:lang w:val="de-DE" w:eastAsia="de-DE"/>
                          </w:rPr>
                          <w:drawing>
                            <wp:inline distT="0" distB="0" distL="0" distR="0">
                              <wp:extent cx="2637347" cy="2126512"/>
                              <wp:effectExtent l="19050" t="0" r="10603" b="7088"/>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c>
                      <w:tcPr>
                        <w:tcW w:w="4904" w:type="dxa"/>
                        <w:hideMark/>
                      </w:tcPr>
                      <w:p w:rsidR="00B12FC2" w:rsidRPr="00704614" w:rsidRDefault="00AD7D99" w:rsidP="006D56CF">
                        <w:pPr>
                          <w:pStyle w:val="Lgende"/>
                          <w:keepNext/>
                          <w:spacing w:before="480" w:after="240"/>
                          <w:ind w:left="516"/>
                          <w:jc w:val="both"/>
                          <w:outlineLvl w:val="0"/>
                          <w:rPr>
                            <w:rFonts w:asciiTheme="minorHAnsi" w:hAnsiTheme="minorHAnsi"/>
                            <w:color w:val="365F91" w:themeColor="accent1" w:themeShade="BF"/>
                            <w:sz w:val="24"/>
                            <w:szCs w:val="24"/>
                          </w:rPr>
                        </w:pPr>
                        <w:bookmarkStart w:id="14" w:name="_Toc332028348"/>
                        <w:bookmarkStart w:id="15" w:name="_Toc413689830"/>
                        <w:bookmarkStart w:id="16" w:name="_Toc444335811"/>
                        <w:r w:rsidRPr="00AD7D99">
                          <w:rPr>
                            <w:rFonts w:asciiTheme="minorHAnsi" w:hAnsiTheme="minorHAnsi"/>
                            <w:color w:val="365F91" w:themeColor="accent1" w:themeShade="BF"/>
                            <w:sz w:val="24"/>
                            <w:szCs w:val="24"/>
                          </w:rPr>
                          <w:t>Graphique 4 : Contribution à la croissance sous-régionale</w:t>
                        </w:r>
                        <w:bookmarkEnd w:id="14"/>
                        <w:bookmarkEnd w:id="15"/>
                        <w:bookmarkEnd w:id="16"/>
                      </w:p>
                      <w:p w:rsidR="00B12FC2" w:rsidRPr="00704614" w:rsidRDefault="0004793F" w:rsidP="006D56CF">
                        <w:pPr>
                          <w:pStyle w:val="Retraitcorpsdetexte2"/>
                          <w:keepNext/>
                          <w:spacing w:before="480" w:after="120"/>
                          <w:ind w:left="516"/>
                          <w:outlineLvl w:val="0"/>
                          <w:rPr>
                            <w:rFonts w:asciiTheme="minorHAnsi" w:hAnsiTheme="minorHAnsi"/>
                            <w:b/>
                            <w:color w:val="365F91" w:themeColor="accent1" w:themeShade="BF"/>
                            <w:sz w:val="24"/>
                            <w:szCs w:val="24"/>
                          </w:rPr>
                        </w:pPr>
                        <w:r>
                          <w:rPr>
                            <w:rFonts w:asciiTheme="minorHAnsi" w:hAnsiTheme="minorHAnsi"/>
                            <w:b/>
                            <w:noProof/>
                            <w:color w:val="365F91" w:themeColor="accent1" w:themeShade="BF"/>
                            <w:sz w:val="24"/>
                            <w:szCs w:val="24"/>
                            <w:lang w:val="de-DE" w:eastAsia="de-DE"/>
                          </w:rPr>
                          <w:drawing>
                            <wp:inline distT="0" distB="0" distL="0" distR="0">
                              <wp:extent cx="2843648" cy="1881963"/>
                              <wp:effectExtent l="19050" t="0" r="13852" b="3987"/>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bl>
                <w:p w:rsidR="00B12FC2" w:rsidRPr="00704614" w:rsidRDefault="00B12FC2" w:rsidP="00B76ABD">
                  <w:pPr>
                    <w:pStyle w:val="Retraitcorpsdetexte2"/>
                    <w:spacing w:after="120"/>
                    <w:rPr>
                      <w:rFonts w:asciiTheme="minorHAnsi" w:hAnsiTheme="minorHAnsi"/>
                      <w:noProof/>
                      <w:sz w:val="24"/>
                      <w:szCs w:val="24"/>
                      <w:highlight w:val="yellow"/>
                    </w:rPr>
                  </w:pPr>
                </w:p>
              </w:tc>
              <w:tc>
                <w:tcPr>
                  <w:tcW w:w="222" w:type="dxa"/>
                </w:tcPr>
                <w:p w:rsidR="00B12FC2" w:rsidRPr="00704614" w:rsidRDefault="00B12FC2" w:rsidP="00B76ABD">
                  <w:pPr>
                    <w:pStyle w:val="Retraitcorpsdetexte2"/>
                    <w:spacing w:after="120"/>
                    <w:rPr>
                      <w:rFonts w:asciiTheme="minorHAnsi" w:hAnsiTheme="minorHAnsi"/>
                      <w:noProof/>
                      <w:sz w:val="24"/>
                      <w:szCs w:val="24"/>
                      <w:highlight w:val="yellow"/>
                    </w:rPr>
                  </w:pPr>
                </w:p>
              </w:tc>
            </w:tr>
          </w:tbl>
          <w:p w:rsidR="00B12FC2" w:rsidRPr="00704614" w:rsidRDefault="00B12FC2" w:rsidP="00B76ABD">
            <w:pPr>
              <w:pStyle w:val="Retraitcorpsdetexte2"/>
              <w:spacing w:after="120"/>
              <w:rPr>
                <w:rFonts w:asciiTheme="minorHAnsi" w:hAnsiTheme="minorHAnsi"/>
                <w:noProof/>
                <w:sz w:val="24"/>
                <w:szCs w:val="24"/>
                <w:highlight w:val="yellow"/>
              </w:rPr>
            </w:pPr>
          </w:p>
        </w:tc>
        <w:tc>
          <w:tcPr>
            <w:tcW w:w="222" w:type="dxa"/>
          </w:tcPr>
          <w:p w:rsidR="00B12FC2" w:rsidRPr="00704614" w:rsidRDefault="00B12FC2" w:rsidP="00B76ABD">
            <w:pPr>
              <w:pStyle w:val="Retraitcorpsdetexte2"/>
              <w:spacing w:after="120"/>
              <w:rPr>
                <w:rFonts w:asciiTheme="minorHAnsi" w:hAnsiTheme="minorHAnsi"/>
                <w:noProof/>
                <w:sz w:val="24"/>
                <w:szCs w:val="24"/>
                <w:highlight w:val="yellow"/>
              </w:rPr>
            </w:pPr>
          </w:p>
        </w:tc>
      </w:tr>
    </w:tbl>
    <w:p w:rsidR="006D56CF" w:rsidRPr="00704614" w:rsidRDefault="006D56CF" w:rsidP="00B12FC2">
      <w:pPr>
        <w:spacing w:after="120"/>
        <w:jc w:val="both"/>
        <w:rPr>
          <w:rFonts w:asciiTheme="minorHAnsi" w:hAnsiTheme="minorHAnsi"/>
          <w:b/>
          <w:sz w:val="24"/>
          <w:szCs w:val="24"/>
        </w:rPr>
      </w:pPr>
    </w:p>
    <w:p w:rsidR="006D56CF" w:rsidRPr="00704614" w:rsidRDefault="00AD7D99" w:rsidP="00B12FC2">
      <w:pPr>
        <w:spacing w:after="120"/>
        <w:jc w:val="both"/>
        <w:rPr>
          <w:rFonts w:asciiTheme="minorHAnsi" w:hAnsiTheme="minorHAnsi"/>
          <w:sz w:val="24"/>
          <w:szCs w:val="24"/>
        </w:rPr>
      </w:pPr>
      <w:r w:rsidRPr="00AD7D99">
        <w:rPr>
          <w:rFonts w:asciiTheme="minorHAnsi" w:hAnsiTheme="minorHAnsi"/>
          <w:b/>
          <w:sz w:val="24"/>
          <w:szCs w:val="24"/>
        </w:rPr>
        <w:t>S’agissant de la demande,</w:t>
      </w:r>
      <w:r w:rsidRPr="00AD7D99">
        <w:rPr>
          <w:rFonts w:asciiTheme="minorHAnsi" w:hAnsiTheme="minorHAnsi"/>
          <w:sz w:val="24"/>
          <w:szCs w:val="24"/>
        </w:rPr>
        <w:t xml:space="preserve"> la croissance économique a été essentiellement tirée par la </w:t>
      </w:r>
      <w:r w:rsidRPr="00AD7D99">
        <w:rPr>
          <w:rFonts w:asciiTheme="minorHAnsi" w:hAnsiTheme="minorHAnsi"/>
          <w:bCs/>
          <w:i/>
          <w:iCs/>
          <w:sz w:val="24"/>
          <w:szCs w:val="24"/>
        </w:rPr>
        <w:t>demande extérieure nette</w:t>
      </w:r>
      <w:r w:rsidRPr="00AD7D99">
        <w:rPr>
          <w:rFonts w:asciiTheme="minorHAnsi" w:hAnsiTheme="minorHAnsi"/>
          <w:sz w:val="24"/>
          <w:szCs w:val="24"/>
        </w:rPr>
        <w:t xml:space="preserve"> qui demeure le principal moteur de la croissance avec une contribution de 7,5 points. </w:t>
      </w:r>
      <w:r w:rsidRPr="00AD7D99">
        <w:rPr>
          <w:rFonts w:asciiTheme="minorHAnsi" w:hAnsiTheme="minorHAnsi"/>
          <w:bCs/>
          <w:iCs/>
          <w:sz w:val="24"/>
          <w:szCs w:val="24"/>
        </w:rPr>
        <w:t xml:space="preserve">Cette évolution découle du tassement des importations de biens et services, qui a contribué pour +5,9 points à la croissance, contre +1,6 point pour les exportations. Pour sa part, la </w:t>
      </w:r>
      <w:r w:rsidRPr="00AD7D99">
        <w:rPr>
          <w:rFonts w:asciiTheme="minorHAnsi" w:hAnsiTheme="minorHAnsi"/>
          <w:bCs/>
          <w:i/>
          <w:iCs/>
          <w:sz w:val="24"/>
          <w:szCs w:val="24"/>
        </w:rPr>
        <w:t>demande intérieure nette</w:t>
      </w:r>
      <w:r w:rsidRPr="00AD7D99">
        <w:rPr>
          <w:rFonts w:asciiTheme="minorHAnsi" w:hAnsiTheme="minorHAnsi"/>
          <w:bCs/>
          <w:iCs/>
          <w:sz w:val="24"/>
          <w:szCs w:val="24"/>
        </w:rPr>
        <w:t xml:space="preserve"> a freiné la croissance à hauteur de 4,7 points, en rapport avec la contribution négative des consommations globales (-3 points) et des investissements (-1,7 point). En effet, l’apport négatif </w:t>
      </w:r>
      <w:r w:rsidRPr="00AD7D99">
        <w:rPr>
          <w:rFonts w:asciiTheme="minorHAnsi" w:hAnsiTheme="minorHAnsi"/>
          <w:sz w:val="24"/>
          <w:szCs w:val="24"/>
        </w:rPr>
        <w:t xml:space="preserve">de la </w:t>
      </w:r>
      <w:r w:rsidRPr="00AD7D99">
        <w:rPr>
          <w:rFonts w:asciiTheme="minorHAnsi" w:hAnsiTheme="minorHAnsi"/>
          <w:i/>
          <w:sz w:val="24"/>
          <w:szCs w:val="24"/>
        </w:rPr>
        <w:t xml:space="preserve">consommation privée </w:t>
      </w:r>
      <w:r w:rsidRPr="00AD7D99">
        <w:rPr>
          <w:rFonts w:asciiTheme="minorHAnsi" w:hAnsiTheme="minorHAnsi"/>
          <w:sz w:val="24"/>
          <w:szCs w:val="24"/>
        </w:rPr>
        <w:t xml:space="preserve">relève de la baisse des transferts et subventions au Congo, au Gabon et au Tchad, en liaison avec la chute des revenus pétroliers, le ralentissement des activités dans les BTP et les secteurs parapétroliers. Parallèlement, les </w:t>
      </w:r>
      <w:r w:rsidRPr="00AD7D99">
        <w:rPr>
          <w:rFonts w:asciiTheme="minorHAnsi" w:hAnsiTheme="minorHAnsi"/>
          <w:i/>
          <w:sz w:val="24"/>
          <w:szCs w:val="24"/>
        </w:rPr>
        <w:t xml:space="preserve">investissements bruts </w:t>
      </w:r>
      <w:r w:rsidRPr="00AD7D99">
        <w:rPr>
          <w:rFonts w:asciiTheme="minorHAnsi" w:hAnsiTheme="minorHAnsi"/>
          <w:sz w:val="24"/>
          <w:szCs w:val="24"/>
        </w:rPr>
        <w:t xml:space="preserve">ont été ajustés pour tenir </w:t>
      </w:r>
      <w:r w:rsidRPr="00AD7D99">
        <w:rPr>
          <w:rFonts w:asciiTheme="minorHAnsi" w:hAnsiTheme="minorHAnsi"/>
          <w:sz w:val="24"/>
          <w:szCs w:val="24"/>
        </w:rPr>
        <w:lastRenderedPageBreak/>
        <w:t>compte de la baisse des recettes budgétaires arrêtées dans des Lois de finances rectificatives adoptées dans plusieurs pays de la CEMAC.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6"/>
        <w:gridCol w:w="4511"/>
      </w:tblGrid>
      <w:tr w:rsidR="006D56CF" w:rsidRPr="00704614" w:rsidTr="006D56CF">
        <w:tc>
          <w:tcPr>
            <w:tcW w:w="4605" w:type="dxa"/>
          </w:tcPr>
          <w:p w:rsidR="006D56CF" w:rsidRPr="00704614" w:rsidRDefault="00AD7D99" w:rsidP="006D56CF">
            <w:pPr>
              <w:pStyle w:val="Lgende"/>
              <w:ind w:left="142"/>
              <w:rPr>
                <w:rFonts w:asciiTheme="minorHAnsi" w:hAnsiTheme="minorHAnsi"/>
                <w:sz w:val="24"/>
                <w:szCs w:val="24"/>
              </w:rPr>
            </w:pPr>
            <w:bookmarkStart w:id="17" w:name="_Toc444335812"/>
            <w:r w:rsidRPr="00AD7D99">
              <w:rPr>
                <w:rFonts w:asciiTheme="minorHAnsi" w:hAnsiTheme="minorHAnsi"/>
                <w:color w:val="365F91" w:themeColor="accent1" w:themeShade="BF"/>
                <w:sz w:val="24"/>
                <w:szCs w:val="24"/>
              </w:rPr>
              <w:t xml:space="preserve">Graphique </w:t>
            </w:r>
            <w:r w:rsidRPr="00AD7D99">
              <w:rPr>
                <w:rFonts w:asciiTheme="minorHAnsi" w:hAnsiTheme="minorHAnsi"/>
                <w:color w:val="365F91" w:themeColor="accent1" w:themeShade="BF"/>
                <w:sz w:val="24"/>
                <w:szCs w:val="24"/>
              </w:rPr>
              <w:fldChar w:fldCharType="begin"/>
            </w:r>
            <w:r w:rsidRPr="00AD7D99">
              <w:rPr>
                <w:rFonts w:asciiTheme="minorHAnsi" w:hAnsiTheme="minorHAnsi"/>
                <w:color w:val="365F91" w:themeColor="accent1" w:themeShade="BF"/>
                <w:sz w:val="24"/>
                <w:szCs w:val="24"/>
              </w:rPr>
              <w:instrText xml:space="preserve"> SEQ Graphique \* ARABIC </w:instrText>
            </w:r>
            <w:r w:rsidRPr="00AD7D99">
              <w:rPr>
                <w:rFonts w:asciiTheme="minorHAnsi" w:hAnsiTheme="minorHAnsi"/>
                <w:color w:val="365F91" w:themeColor="accent1" w:themeShade="BF"/>
                <w:sz w:val="24"/>
                <w:szCs w:val="24"/>
              </w:rPr>
              <w:fldChar w:fldCharType="separate"/>
            </w:r>
            <w:r w:rsidRPr="00AD7D99">
              <w:rPr>
                <w:rFonts w:asciiTheme="minorHAnsi" w:hAnsiTheme="minorHAnsi"/>
                <w:color w:val="365F91" w:themeColor="accent1" w:themeShade="BF"/>
                <w:sz w:val="24"/>
                <w:szCs w:val="24"/>
              </w:rPr>
              <w:t>9</w:t>
            </w:r>
            <w:r w:rsidRPr="00AD7D99">
              <w:rPr>
                <w:rFonts w:asciiTheme="minorHAnsi" w:hAnsiTheme="minorHAnsi"/>
                <w:color w:val="365F91" w:themeColor="accent1" w:themeShade="BF"/>
                <w:sz w:val="24"/>
                <w:szCs w:val="24"/>
              </w:rPr>
              <w:fldChar w:fldCharType="end"/>
            </w:r>
            <w:r w:rsidRPr="00AD7D99">
              <w:rPr>
                <w:rFonts w:asciiTheme="minorHAnsi" w:hAnsiTheme="minorHAnsi"/>
                <w:color w:val="365F91" w:themeColor="accent1" w:themeShade="BF"/>
                <w:sz w:val="24"/>
                <w:szCs w:val="24"/>
              </w:rPr>
              <w:t>: Croissance du PIB sous-régional</w:t>
            </w:r>
            <w:bookmarkEnd w:id="17"/>
            <w:r w:rsidRPr="00AD7D99">
              <w:rPr>
                <w:rFonts w:asciiTheme="minorHAnsi" w:hAnsiTheme="minorHAnsi"/>
                <w:color w:val="365F91" w:themeColor="accent1" w:themeShade="BF"/>
                <w:sz w:val="24"/>
                <w:szCs w:val="24"/>
              </w:rPr>
              <w:t xml:space="preserve"> </w:t>
            </w:r>
          </w:p>
        </w:tc>
        <w:tc>
          <w:tcPr>
            <w:tcW w:w="4606" w:type="dxa"/>
          </w:tcPr>
          <w:p w:rsidR="006D56CF" w:rsidRPr="00704614" w:rsidRDefault="00AD7D99" w:rsidP="006D56CF">
            <w:pPr>
              <w:pStyle w:val="Lgende"/>
              <w:ind w:left="185"/>
              <w:jc w:val="both"/>
              <w:rPr>
                <w:rFonts w:asciiTheme="minorHAnsi" w:hAnsiTheme="minorHAnsi"/>
                <w:sz w:val="24"/>
                <w:szCs w:val="24"/>
              </w:rPr>
            </w:pPr>
            <w:bookmarkStart w:id="18" w:name="_Toc444335813"/>
            <w:bookmarkStart w:id="19" w:name="_Toc332028350"/>
            <w:bookmarkStart w:id="20" w:name="_Toc413689832"/>
            <w:r w:rsidRPr="00AD7D99">
              <w:rPr>
                <w:rFonts w:asciiTheme="minorHAnsi" w:hAnsiTheme="minorHAnsi"/>
                <w:color w:val="365F91" w:themeColor="accent1" w:themeShade="BF"/>
                <w:sz w:val="24"/>
                <w:szCs w:val="24"/>
              </w:rPr>
              <w:t xml:space="preserve">Graphique </w:t>
            </w:r>
            <w:r w:rsidRPr="00AD7D99">
              <w:rPr>
                <w:rFonts w:asciiTheme="minorHAnsi" w:hAnsiTheme="minorHAnsi"/>
                <w:color w:val="365F91" w:themeColor="accent1" w:themeShade="BF"/>
                <w:sz w:val="24"/>
                <w:szCs w:val="24"/>
              </w:rPr>
              <w:fldChar w:fldCharType="begin"/>
            </w:r>
            <w:r w:rsidRPr="00AD7D99">
              <w:rPr>
                <w:rFonts w:asciiTheme="minorHAnsi" w:hAnsiTheme="minorHAnsi"/>
                <w:color w:val="365F91" w:themeColor="accent1" w:themeShade="BF"/>
                <w:sz w:val="24"/>
                <w:szCs w:val="24"/>
              </w:rPr>
              <w:instrText xml:space="preserve"> SEQ Graphique \* ARABIC </w:instrText>
            </w:r>
            <w:r w:rsidRPr="00AD7D99">
              <w:rPr>
                <w:rFonts w:asciiTheme="minorHAnsi" w:hAnsiTheme="minorHAnsi"/>
                <w:color w:val="365F91" w:themeColor="accent1" w:themeShade="BF"/>
                <w:sz w:val="24"/>
                <w:szCs w:val="24"/>
              </w:rPr>
              <w:fldChar w:fldCharType="separate"/>
            </w:r>
            <w:r w:rsidRPr="00AD7D99">
              <w:rPr>
                <w:rFonts w:asciiTheme="minorHAnsi" w:hAnsiTheme="minorHAnsi"/>
                <w:color w:val="365F91" w:themeColor="accent1" w:themeShade="BF"/>
                <w:sz w:val="24"/>
                <w:szCs w:val="24"/>
              </w:rPr>
              <w:t>10</w:t>
            </w:r>
            <w:r w:rsidRPr="00AD7D99">
              <w:rPr>
                <w:rFonts w:asciiTheme="minorHAnsi" w:hAnsiTheme="minorHAnsi"/>
                <w:color w:val="365F91" w:themeColor="accent1" w:themeShade="BF"/>
                <w:sz w:val="24"/>
                <w:szCs w:val="24"/>
              </w:rPr>
              <w:fldChar w:fldCharType="end"/>
            </w:r>
            <w:r w:rsidRPr="00AD7D99">
              <w:rPr>
                <w:rFonts w:asciiTheme="minorHAnsi" w:hAnsiTheme="minorHAnsi"/>
                <w:color w:val="365F91" w:themeColor="accent1" w:themeShade="BF"/>
                <w:sz w:val="24"/>
                <w:szCs w:val="24"/>
              </w:rPr>
              <w:t xml:space="preserve"> : Contribution à la croissance</w:t>
            </w:r>
            <w:bookmarkEnd w:id="18"/>
            <w:r w:rsidRPr="00AD7D99">
              <w:rPr>
                <w:rFonts w:asciiTheme="minorHAnsi" w:hAnsiTheme="minorHAnsi"/>
                <w:color w:val="365F91" w:themeColor="accent1" w:themeShade="BF"/>
                <w:sz w:val="24"/>
                <w:szCs w:val="24"/>
              </w:rPr>
              <w:t xml:space="preserve"> </w:t>
            </w:r>
            <w:bookmarkEnd w:id="19"/>
            <w:bookmarkEnd w:id="20"/>
          </w:p>
        </w:tc>
      </w:tr>
      <w:tr w:rsidR="006D56CF" w:rsidRPr="00704614" w:rsidTr="006D56CF">
        <w:tc>
          <w:tcPr>
            <w:tcW w:w="4605" w:type="dxa"/>
          </w:tcPr>
          <w:p w:rsidR="006D56CF" w:rsidRPr="00704614" w:rsidRDefault="006D56CF" w:rsidP="00B12FC2">
            <w:pPr>
              <w:spacing w:after="120"/>
              <w:jc w:val="both"/>
              <w:rPr>
                <w:rFonts w:asciiTheme="minorHAnsi" w:hAnsiTheme="minorHAnsi"/>
                <w:sz w:val="24"/>
                <w:szCs w:val="24"/>
              </w:rPr>
            </w:pPr>
            <w:r w:rsidRPr="00704614">
              <w:rPr>
                <w:rFonts w:asciiTheme="minorHAnsi" w:hAnsiTheme="minorHAnsi"/>
                <w:noProof/>
                <w:sz w:val="24"/>
                <w:szCs w:val="24"/>
                <w:lang w:val="de-DE" w:eastAsia="de-DE"/>
              </w:rPr>
              <w:drawing>
                <wp:inline distT="0" distB="0" distL="0" distR="0">
                  <wp:extent cx="2893454" cy="2219960"/>
                  <wp:effectExtent l="0" t="0" r="2540" b="8890"/>
                  <wp:docPr id="1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c>
          <w:tcPr>
            <w:tcW w:w="4606" w:type="dxa"/>
          </w:tcPr>
          <w:p w:rsidR="006D56CF" w:rsidRPr="00704614" w:rsidRDefault="006D56CF" w:rsidP="00B12FC2">
            <w:pPr>
              <w:spacing w:after="120"/>
              <w:jc w:val="both"/>
              <w:rPr>
                <w:rFonts w:asciiTheme="minorHAnsi" w:hAnsiTheme="minorHAnsi"/>
                <w:sz w:val="24"/>
                <w:szCs w:val="24"/>
              </w:rPr>
            </w:pPr>
            <w:r w:rsidRPr="00704614">
              <w:rPr>
                <w:rFonts w:asciiTheme="minorHAnsi" w:hAnsiTheme="minorHAnsi"/>
                <w:noProof/>
                <w:sz w:val="24"/>
                <w:szCs w:val="24"/>
                <w:lang w:val="de-DE" w:eastAsia="de-DE"/>
              </w:rPr>
              <w:drawing>
                <wp:inline distT="0" distB="0" distL="0" distR="0">
                  <wp:extent cx="2681619" cy="2223947"/>
                  <wp:effectExtent l="19050" t="0" r="23481" b="4903"/>
                  <wp:docPr id="19"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bl>
    <w:tbl>
      <w:tblPr>
        <w:tblW w:w="9700" w:type="dxa"/>
        <w:jc w:val="center"/>
        <w:tblCellMar>
          <w:left w:w="70" w:type="dxa"/>
          <w:right w:w="70" w:type="dxa"/>
        </w:tblCellMar>
        <w:tblLook w:val="00A0" w:firstRow="1" w:lastRow="0" w:firstColumn="1" w:lastColumn="0" w:noHBand="0" w:noVBand="0"/>
      </w:tblPr>
      <w:tblGrid>
        <w:gridCol w:w="9540"/>
        <w:gridCol w:w="160"/>
      </w:tblGrid>
      <w:tr w:rsidR="00B12FC2" w:rsidRPr="00704614" w:rsidTr="006D56CF">
        <w:trPr>
          <w:jc w:val="center"/>
        </w:trPr>
        <w:tc>
          <w:tcPr>
            <w:tcW w:w="9540" w:type="dxa"/>
          </w:tcPr>
          <w:tbl>
            <w:tblPr>
              <w:tblW w:w="9400" w:type="dxa"/>
              <w:jc w:val="center"/>
              <w:tblCellMar>
                <w:left w:w="70" w:type="dxa"/>
                <w:right w:w="70" w:type="dxa"/>
              </w:tblCellMar>
              <w:tblLook w:val="00A0" w:firstRow="1" w:lastRow="0" w:firstColumn="1" w:lastColumn="0" w:noHBand="0" w:noVBand="0"/>
            </w:tblPr>
            <w:tblGrid>
              <w:gridCol w:w="5277"/>
              <w:gridCol w:w="4123"/>
            </w:tblGrid>
            <w:tr w:rsidR="00B12FC2" w:rsidRPr="00704614" w:rsidTr="00B76ABD">
              <w:trPr>
                <w:jc w:val="center"/>
              </w:trPr>
              <w:tc>
                <w:tcPr>
                  <w:tcW w:w="5277" w:type="dxa"/>
                  <w:hideMark/>
                </w:tcPr>
                <w:p w:rsidR="00B12FC2" w:rsidRPr="00704614" w:rsidRDefault="00B12FC2" w:rsidP="00B76ABD">
                  <w:pPr>
                    <w:pStyle w:val="Retraitcorpsdetexte2"/>
                    <w:spacing w:after="120"/>
                    <w:ind w:left="427"/>
                    <w:rPr>
                      <w:rFonts w:asciiTheme="minorHAnsi" w:hAnsiTheme="minorHAnsi"/>
                      <w:noProof/>
                      <w:sz w:val="24"/>
                      <w:szCs w:val="24"/>
                    </w:rPr>
                  </w:pPr>
                </w:p>
              </w:tc>
              <w:tc>
                <w:tcPr>
                  <w:tcW w:w="4123" w:type="dxa"/>
                  <w:hideMark/>
                </w:tcPr>
                <w:p w:rsidR="00B12FC2" w:rsidRPr="00704614" w:rsidRDefault="00B12FC2" w:rsidP="00B76ABD">
                  <w:pPr>
                    <w:pStyle w:val="Retraitcorpsdetexte2"/>
                    <w:spacing w:after="120"/>
                    <w:rPr>
                      <w:rFonts w:asciiTheme="minorHAnsi" w:hAnsiTheme="minorHAnsi"/>
                      <w:noProof/>
                      <w:sz w:val="24"/>
                      <w:szCs w:val="24"/>
                    </w:rPr>
                  </w:pPr>
                </w:p>
              </w:tc>
            </w:tr>
          </w:tbl>
          <w:p w:rsidR="00B12FC2" w:rsidRPr="00704614" w:rsidRDefault="00B12FC2" w:rsidP="00B76ABD">
            <w:pPr>
              <w:pStyle w:val="Retraitcorpsdetexte2"/>
              <w:spacing w:after="120"/>
              <w:rPr>
                <w:rFonts w:asciiTheme="minorHAnsi" w:hAnsiTheme="minorHAnsi"/>
                <w:noProof/>
                <w:sz w:val="24"/>
                <w:szCs w:val="24"/>
              </w:rPr>
            </w:pPr>
          </w:p>
        </w:tc>
        <w:tc>
          <w:tcPr>
            <w:tcW w:w="160" w:type="dxa"/>
          </w:tcPr>
          <w:p w:rsidR="00B12FC2" w:rsidRPr="00704614" w:rsidRDefault="00B12FC2" w:rsidP="00B76ABD">
            <w:pPr>
              <w:pStyle w:val="Retraitcorpsdetexte2"/>
              <w:spacing w:after="120"/>
              <w:rPr>
                <w:rFonts w:asciiTheme="minorHAnsi" w:hAnsiTheme="minorHAnsi"/>
                <w:noProof/>
                <w:sz w:val="24"/>
                <w:szCs w:val="24"/>
              </w:rPr>
            </w:pPr>
          </w:p>
        </w:tc>
      </w:tr>
    </w:tbl>
    <w:p w:rsidR="00A94542" w:rsidRPr="00704614" w:rsidRDefault="00AD7D99" w:rsidP="00A94542">
      <w:pPr>
        <w:spacing w:after="120"/>
        <w:jc w:val="both"/>
        <w:rPr>
          <w:rFonts w:asciiTheme="minorHAnsi" w:hAnsiTheme="minorHAnsi"/>
          <w:sz w:val="24"/>
          <w:szCs w:val="24"/>
        </w:rPr>
      </w:pPr>
      <w:r w:rsidRPr="00AD7D99">
        <w:rPr>
          <w:rFonts w:asciiTheme="minorHAnsi" w:hAnsiTheme="minorHAnsi"/>
          <w:b/>
          <w:sz w:val="24"/>
          <w:szCs w:val="24"/>
        </w:rPr>
        <w:t>Au niveau des prix</w:t>
      </w:r>
      <w:r w:rsidRPr="00AD7D99">
        <w:rPr>
          <w:rFonts w:asciiTheme="minorHAnsi" w:hAnsiTheme="minorHAnsi"/>
          <w:sz w:val="24"/>
          <w:szCs w:val="24"/>
        </w:rPr>
        <w:t>, les pressions inflationnistes ont été maîtrisées dans la CEMAC au cours de l’année 2015, ramenant le taux d’inflation à +2,3 % en moyenne annuelle contre +3,2 % en 2014. Cette évolution des prix à la consommation s’explique par : i) le recul de la demande intérieure, face à une amélioration de l’offre au Cameroun, en Centrafrique, au Gabon, en Guinée Équatoriale ; (ii) le recul des prix de certains articles couramment utilisés par les ménages (habillement, tarifs de services de loisir, de santé et de logements au Gabon), produits alimentaires (Cameroun, Centrafrique, Gabon et Guinée Equatoriale). Il faut noter que l’amélioration de l’offre en Centrafrique a profité des efforts de sécurisation et de la réhabilitation progressive des circuits d’approvisionnement des principales villes du pays. La baisse significative du taux d’inflation dans la CEMAC cache néanmoins la résurgence des pressions inflationnistes au Tchad avec un taux d’inflation de +3,7 % en moyenne annuelle contre +1,7 % en 2014. Cette tendance a été exacerbée par les perturbations des circuits d’approvisionnement suite à la fermeture des frontières tchadiennes avec la Libye et le Nigéria.</w:t>
      </w:r>
    </w:p>
    <w:p w:rsidR="006D56CF" w:rsidRPr="00704614" w:rsidRDefault="00B12FC2" w:rsidP="00B12FC2">
      <w:pPr>
        <w:spacing w:after="120"/>
        <w:jc w:val="both"/>
        <w:rPr>
          <w:rFonts w:asciiTheme="minorHAnsi" w:hAnsiTheme="minorHAnsi"/>
          <w:sz w:val="24"/>
          <w:szCs w:val="24"/>
        </w:rPr>
      </w:pPr>
      <w:r w:rsidRPr="00704614">
        <w:rPr>
          <w:rFonts w:asciiTheme="minorHAnsi" w:hAnsiTheme="minorHAnsi"/>
          <w:sz w:val="24"/>
          <w:szCs w:val="24"/>
        </w:rPr>
        <w:t xml:space="preserve">Par pays, au 31 décembre 2015, l’inflation en moyenne annuelle se présente de la manière suivante : </w:t>
      </w:r>
    </w:p>
    <w:p w:rsidR="00B12FC2" w:rsidRPr="00704614" w:rsidRDefault="00B12FC2" w:rsidP="00B12FC2">
      <w:pPr>
        <w:spacing w:after="120"/>
        <w:jc w:val="both"/>
        <w:rPr>
          <w:rFonts w:asciiTheme="minorHAnsi" w:hAnsiTheme="minorHAnsi"/>
          <w:sz w:val="24"/>
          <w:szCs w:val="24"/>
          <w:highlight w:val="yellow"/>
        </w:rPr>
      </w:pPr>
      <w:r w:rsidRPr="00704614">
        <w:rPr>
          <w:rFonts w:asciiTheme="minorHAnsi" w:hAnsiTheme="minorHAnsi"/>
          <w:sz w:val="24"/>
          <w:szCs w:val="24"/>
        </w:rPr>
        <w:t>Cameroun (+2,7 %), République Centrafricaine (+2 %), Congo (+1,8 %), Gabon (-0,3 %), Guinée Equatoriale (+</w:t>
      </w:r>
      <w:r w:rsidR="00A94542" w:rsidRPr="00704614">
        <w:rPr>
          <w:rFonts w:asciiTheme="minorHAnsi" w:hAnsiTheme="minorHAnsi"/>
          <w:sz w:val="24"/>
          <w:szCs w:val="24"/>
        </w:rPr>
        <w:t>1</w:t>
      </w:r>
      <w:r w:rsidRPr="00704614">
        <w:rPr>
          <w:rFonts w:asciiTheme="minorHAnsi" w:hAnsiTheme="minorHAnsi"/>
          <w:sz w:val="24"/>
          <w:szCs w:val="24"/>
        </w:rPr>
        <w:t>,</w:t>
      </w:r>
      <w:r w:rsidR="00A94542" w:rsidRPr="00704614">
        <w:rPr>
          <w:rFonts w:asciiTheme="minorHAnsi" w:hAnsiTheme="minorHAnsi"/>
          <w:sz w:val="24"/>
          <w:szCs w:val="24"/>
        </w:rPr>
        <w:t>7</w:t>
      </w:r>
      <w:r w:rsidRPr="00704614">
        <w:rPr>
          <w:rFonts w:asciiTheme="minorHAnsi" w:hAnsiTheme="minorHAnsi"/>
          <w:sz w:val="24"/>
          <w:szCs w:val="24"/>
        </w:rPr>
        <w:t xml:space="preserve"> %) et Tchad (+3,7 %).</w:t>
      </w:r>
    </w:p>
    <w:p w:rsidR="00B12FC2" w:rsidRPr="00704614" w:rsidRDefault="00AD7D99" w:rsidP="006D56CF">
      <w:pPr>
        <w:pStyle w:val="Lgende"/>
        <w:ind w:left="142"/>
        <w:jc w:val="both"/>
        <w:rPr>
          <w:rFonts w:asciiTheme="minorHAnsi" w:hAnsiTheme="minorHAnsi"/>
          <w:sz w:val="24"/>
          <w:szCs w:val="24"/>
        </w:rPr>
      </w:pPr>
      <w:bookmarkStart w:id="21" w:name="_Toc332028351"/>
      <w:bookmarkStart w:id="22" w:name="_Toc413689833"/>
      <w:r w:rsidRPr="00AD7D99">
        <w:rPr>
          <w:rFonts w:asciiTheme="minorHAnsi" w:hAnsiTheme="minorHAnsi"/>
          <w:sz w:val="24"/>
          <w:szCs w:val="24"/>
        </w:rPr>
        <w:br w:type="page"/>
      </w:r>
      <w:bookmarkStart w:id="23" w:name="_Toc444335814"/>
      <w:r w:rsidRPr="00AD7D99">
        <w:rPr>
          <w:rFonts w:asciiTheme="minorHAnsi" w:hAnsiTheme="minorHAnsi"/>
          <w:color w:val="365F91" w:themeColor="accent1" w:themeShade="BF"/>
          <w:sz w:val="24"/>
          <w:szCs w:val="24"/>
        </w:rPr>
        <w:lastRenderedPageBreak/>
        <w:t xml:space="preserve">Graphique </w:t>
      </w:r>
      <w:r w:rsidRPr="00AD7D99">
        <w:rPr>
          <w:rFonts w:asciiTheme="minorHAnsi" w:hAnsiTheme="minorHAnsi"/>
          <w:color w:val="365F91" w:themeColor="accent1" w:themeShade="BF"/>
          <w:sz w:val="24"/>
          <w:szCs w:val="24"/>
        </w:rPr>
        <w:fldChar w:fldCharType="begin"/>
      </w:r>
      <w:r w:rsidRPr="00AD7D99">
        <w:rPr>
          <w:rFonts w:asciiTheme="minorHAnsi" w:hAnsiTheme="minorHAnsi"/>
          <w:color w:val="365F91" w:themeColor="accent1" w:themeShade="BF"/>
          <w:sz w:val="24"/>
          <w:szCs w:val="24"/>
        </w:rPr>
        <w:instrText xml:space="preserve"> SEQ Graphique \* ARABIC </w:instrText>
      </w:r>
      <w:r w:rsidRPr="00AD7D99">
        <w:rPr>
          <w:rFonts w:asciiTheme="minorHAnsi" w:hAnsiTheme="minorHAnsi"/>
          <w:color w:val="365F91" w:themeColor="accent1" w:themeShade="BF"/>
          <w:sz w:val="24"/>
          <w:szCs w:val="24"/>
        </w:rPr>
        <w:fldChar w:fldCharType="separate"/>
      </w:r>
      <w:r w:rsidRPr="00AD7D99">
        <w:rPr>
          <w:rFonts w:asciiTheme="minorHAnsi" w:hAnsiTheme="minorHAnsi"/>
          <w:color w:val="365F91" w:themeColor="accent1" w:themeShade="BF"/>
          <w:sz w:val="24"/>
          <w:szCs w:val="24"/>
        </w:rPr>
        <w:t>11</w:t>
      </w:r>
      <w:r w:rsidRPr="00AD7D99">
        <w:rPr>
          <w:rFonts w:asciiTheme="minorHAnsi" w:hAnsiTheme="minorHAnsi"/>
          <w:color w:val="365F91" w:themeColor="accent1" w:themeShade="BF"/>
          <w:sz w:val="24"/>
          <w:szCs w:val="24"/>
        </w:rPr>
        <w:fldChar w:fldCharType="end"/>
      </w:r>
      <w:r w:rsidRPr="00AD7D99">
        <w:rPr>
          <w:rFonts w:asciiTheme="minorHAnsi" w:hAnsiTheme="minorHAnsi"/>
          <w:color w:val="365F91" w:themeColor="accent1" w:themeShade="BF"/>
          <w:sz w:val="24"/>
          <w:szCs w:val="24"/>
        </w:rPr>
        <w:t>: Évolution de l’inflation dans la Sous-région</w:t>
      </w:r>
      <w:bookmarkEnd w:id="21"/>
      <w:bookmarkEnd w:id="22"/>
      <w:bookmarkEnd w:id="23"/>
    </w:p>
    <w:p w:rsidR="00B12FC2" w:rsidRPr="00704614" w:rsidRDefault="0004793F" w:rsidP="00B12FC2">
      <w:pPr>
        <w:spacing w:after="120"/>
        <w:jc w:val="both"/>
        <w:rPr>
          <w:rFonts w:asciiTheme="minorHAnsi" w:hAnsiTheme="minorHAnsi"/>
          <w:sz w:val="24"/>
          <w:szCs w:val="24"/>
          <w:highlight w:val="yellow"/>
        </w:rPr>
      </w:pPr>
      <w:r>
        <w:rPr>
          <w:rFonts w:asciiTheme="minorHAnsi" w:hAnsiTheme="minorHAnsi"/>
          <w:noProof/>
          <w:sz w:val="24"/>
          <w:szCs w:val="24"/>
          <w:lang w:val="de-DE" w:eastAsia="de-DE"/>
        </w:rPr>
        <w:drawing>
          <wp:inline distT="0" distB="0" distL="0" distR="0">
            <wp:extent cx="5812155" cy="2747493"/>
            <wp:effectExtent l="0" t="0" r="17145" b="15240"/>
            <wp:docPr id="6"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12FC2" w:rsidRPr="00704614" w:rsidRDefault="00B12FC2" w:rsidP="00B12FC2">
      <w:pPr>
        <w:spacing w:after="120"/>
        <w:jc w:val="both"/>
        <w:rPr>
          <w:rFonts w:asciiTheme="minorHAnsi" w:hAnsiTheme="minorHAnsi"/>
          <w:sz w:val="24"/>
          <w:szCs w:val="24"/>
        </w:rPr>
      </w:pPr>
    </w:p>
    <w:p w:rsidR="00B12FC2" w:rsidRPr="00704614" w:rsidRDefault="00B12FC2" w:rsidP="00B12FC2">
      <w:pPr>
        <w:spacing w:after="120"/>
        <w:jc w:val="both"/>
        <w:rPr>
          <w:rFonts w:asciiTheme="minorHAnsi" w:hAnsiTheme="minorHAnsi"/>
          <w:sz w:val="24"/>
          <w:szCs w:val="24"/>
        </w:rPr>
      </w:pPr>
      <w:r w:rsidRPr="00704614">
        <w:rPr>
          <w:rFonts w:asciiTheme="minorHAnsi" w:hAnsiTheme="minorHAnsi"/>
          <w:sz w:val="24"/>
          <w:szCs w:val="24"/>
        </w:rPr>
        <w:t xml:space="preserve">Au niveau des </w:t>
      </w:r>
      <w:r w:rsidRPr="00704614">
        <w:rPr>
          <w:rFonts w:asciiTheme="minorHAnsi" w:hAnsiTheme="minorHAnsi"/>
          <w:b/>
          <w:sz w:val="24"/>
          <w:szCs w:val="24"/>
        </w:rPr>
        <w:t>finances publiques</w:t>
      </w:r>
      <w:r w:rsidRPr="00C33E0F">
        <w:rPr>
          <w:rFonts w:asciiTheme="minorHAnsi" w:hAnsiTheme="minorHAnsi"/>
          <w:sz w:val="24"/>
          <w:szCs w:val="24"/>
        </w:rPr>
        <w:t xml:space="preserve">, l’exécution budgétaire dans les États membres de la CEMAC au cours de l’année 2015 s’est traduite par un creusement du déficit budgétaire, base engagements, hors dons, à 1 </w:t>
      </w:r>
      <w:r w:rsidR="00A94542" w:rsidRPr="001C509F">
        <w:rPr>
          <w:rFonts w:asciiTheme="minorHAnsi" w:hAnsiTheme="minorHAnsi"/>
          <w:sz w:val="24"/>
          <w:szCs w:val="24"/>
        </w:rPr>
        <w:t>378</w:t>
      </w:r>
      <w:r w:rsidR="00A94542" w:rsidRPr="00704614">
        <w:rPr>
          <w:rFonts w:asciiTheme="minorHAnsi" w:hAnsiTheme="minorHAnsi"/>
          <w:sz w:val="24"/>
          <w:szCs w:val="24"/>
        </w:rPr>
        <w:t>,2</w:t>
      </w:r>
      <w:r w:rsidRPr="00704614">
        <w:rPr>
          <w:rFonts w:asciiTheme="minorHAnsi" w:hAnsiTheme="minorHAnsi"/>
          <w:sz w:val="24"/>
          <w:szCs w:val="24"/>
        </w:rPr>
        <w:t xml:space="preserve"> milliards (-</w:t>
      </w:r>
      <w:r w:rsidR="00A94542" w:rsidRPr="00704614">
        <w:rPr>
          <w:rFonts w:asciiTheme="minorHAnsi" w:hAnsiTheme="minorHAnsi"/>
          <w:sz w:val="24"/>
          <w:szCs w:val="24"/>
        </w:rPr>
        <w:t>3</w:t>
      </w:r>
      <w:r w:rsidRPr="00704614">
        <w:rPr>
          <w:rFonts w:asciiTheme="minorHAnsi" w:hAnsiTheme="minorHAnsi"/>
          <w:sz w:val="24"/>
          <w:szCs w:val="24"/>
        </w:rPr>
        <w:t xml:space="preserve">,1 % du PIB) contre 758,8 milliards (-1,6 % du PIB) en 2014. </w:t>
      </w:r>
    </w:p>
    <w:p w:rsidR="00A94542" w:rsidRPr="00704614" w:rsidRDefault="00AD7D99" w:rsidP="00A94542">
      <w:pPr>
        <w:spacing w:after="120"/>
        <w:jc w:val="both"/>
        <w:rPr>
          <w:rFonts w:asciiTheme="minorHAnsi" w:hAnsiTheme="minorHAnsi"/>
          <w:spacing w:val="-3"/>
          <w:sz w:val="24"/>
          <w:szCs w:val="24"/>
        </w:rPr>
      </w:pPr>
      <w:r w:rsidRPr="00AD7D99">
        <w:rPr>
          <w:rFonts w:asciiTheme="minorHAnsi" w:hAnsiTheme="minorHAnsi"/>
          <w:spacing w:val="-3"/>
          <w:sz w:val="24"/>
          <w:szCs w:val="24"/>
        </w:rPr>
        <w:t xml:space="preserve">En effet, les </w:t>
      </w:r>
      <w:r w:rsidRPr="00AD7D99">
        <w:rPr>
          <w:rFonts w:asciiTheme="minorHAnsi" w:hAnsiTheme="minorHAnsi"/>
          <w:b/>
          <w:spacing w:val="-3"/>
          <w:sz w:val="24"/>
          <w:szCs w:val="24"/>
        </w:rPr>
        <w:t>recettes budgétaires totales</w:t>
      </w:r>
      <w:r w:rsidRPr="00AD7D99">
        <w:rPr>
          <w:rFonts w:asciiTheme="minorHAnsi" w:hAnsiTheme="minorHAnsi"/>
          <w:spacing w:val="-3"/>
          <w:sz w:val="24"/>
          <w:szCs w:val="24"/>
        </w:rPr>
        <w:t xml:space="preserve"> en 2015 ont baissé de 22,3 % pour s’établir à 9 349,2 milliards (21,3 % du PIB), composées de 3 907,7 milliards contre 6 548,8 milliards en 2014 de recettes pétrolières et 5 441,5 milliards contre 5 482 milliards en 2014 de recettes non pétrolières. </w:t>
      </w:r>
      <w:r w:rsidRPr="00AD7D99">
        <w:rPr>
          <w:rFonts w:asciiTheme="minorHAnsi" w:hAnsiTheme="minorHAnsi"/>
          <w:sz w:val="24"/>
          <w:szCs w:val="24"/>
        </w:rPr>
        <w:t>Ces contreperformances des finances publiques s’expliquent essentiellement par la chute des recettes pétrolières en raison de de l’effondrement des cours mondiaux du baril de pétrole, en dépit de l’augmentation de la production pétrolière.</w:t>
      </w:r>
      <w:r w:rsidRPr="00AD7D99">
        <w:rPr>
          <w:rFonts w:asciiTheme="minorHAnsi" w:hAnsiTheme="minorHAnsi"/>
          <w:color w:val="000000"/>
          <w:sz w:val="24"/>
          <w:szCs w:val="24"/>
          <w:lang w:val="fr-BE"/>
        </w:rPr>
        <w:t xml:space="preserve"> En effet, les prix du baril sur le marché mondial ont été estimés à 50,9 </w:t>
      </w:r>
      <w:r w:rsidRPr="00AD7D99">
        <w:rPr>
          <w:rFonts w:asciiTheme="minorHAnsi" w:hAnsiTheme="minorHAnsi"/>
          <w:sz w:val="24"/>
          <w:szCs w:val="24"/>
        </w:rPr>
        <w:t xml:space="preserve">dollars en moyenne en fin d’année 2015 contre </w:t>
      </w:r>
      <w:r w:rsidRPr="00AD7D99">
        <w:rPr>
          <w:rFonts w:asciiTheme="minorHAnsi" w:hAnsiTheme="minorHAnsi"/>
          <w:color w:val="000000"/>
          <w:sz w:val="24"/>
          <w:szCs w:val="24"/>
          <w:lang w:val="fr-BE"/>
        </w:rPr>
        <w:t xml:space="preserve">96,2 </w:t>
      </w:r>
      <w:r w:rsidRPr="00AD7D99">
        <w:rPr>
          <w:rFonts w:asciiTheme="minorHAnsi" w:hAnsiTheme="minorHAnsi"/>
          <w:sz w:val="24"/>
          <w:szCs w:val="24"/>
        </w:rPr>
        <w:t>dollars en 2014</w:t>
      </w:r>
      <w:r w:rsidRPr="00AD7D99">
        <w:rPr>
          <w:rFonts w:asciiTheme="minorHAnsi" w:hAnsiTheme="minorHAnsi"/>
          <w:color w:val="000000"/>
          <w:sz w:val="24"/>
          <w:szCs w:val="24"/>
          <w:lang w:val="fr-BE"/>
        </w:rPr>
        <w:t xml:space="preserve">. Parallèlement, les recettes non pétrolières ont, dans une moindre mesure, accusé un repli de 0,7 %, en rapport avec l’évolution de </w:t>
      </w:r>
      <w:r w:rsidRPr="00AD7D99">
        <w:rPr>
          <w:rFonts w:asciiTheme="minorHAnsi" w:hAnsiTheme="minorHAnsi"/>
          <w:spacing w:val="-3"/>
          <w:sz w:val="24"/>
          <w:szCs w:val="24"/>
        </w:rPr>
        <w:t>l’activité économique dans plusieurs États membres, ainsi que les effets collatéraux de la baisse du prix de pétrole sur l’économie communautaire tout entière.</w:t>
      </w:r>
    </w:p>
    <w:p w:rsidR="00B12FC2" w:rsidRPr="00704614" w:rsidRDefault="00AD7D99" w:rsidP="00B12FC2">
      <w:pPr>
        <w:spacing w:after="120"/>
        <w:jc w:val="both"/>
        <w:rPr>
          <w:rFonts w:asciiTheme="minorHAnsi" w:hAnsiTheme="minorHAnsi"/>
          <w:sz w:val="24"/>
          <w:szCs w:val="24"/>
        </w:rPr>
      </w:pPr>
      <w:r w:rsidRPr="00AD7D99">
        <w:rPr>
          <w:rFonts w:asciiTheme="minorHAnsi" w:hAnsiTheme="minorHAnsi"/>
          <w:spacing w:val="-3"/>
          <w:sz w:val="24"/>
          <w:szCs w:val="24"/>
        </w:rPr>
        <w:t xml:space="preserve">S’agissant des </w:t>
      </w:r>
      <w:r w:rsidRPr="00AD7D99">
        <w:rPr>
          <w:rFonts w:asciiTheme="minorHAnsi" w:hAnsiTheme="minorHAnsi"/>
          <w:b/>
          <w:i/>
          <w:spacing w:val="-3"/>
          <w:sz w:val="24"/>
          <w:szCs w:val="24"/>
        </w:rPr>
        <w:t>dépenses budgétaires totales</w:t>
      </w:r>
      <w:r w:rsidRPr="00AD7D99">
        <w:rPr>
          <w:rFonts w:asciiTheme="minorHAnsi" w:hAnsiTheme="minorHAnsi"/>
          <w:b/>
          <w:spacing w:val="-3"/>
          <w:sz w:val="24"/>
          <w:szCs w:val="24"/>
        </w:rPr>
        <w:t xml:space="preserve">, </w:t>
      </w:r>
      <w:r w:rsidRPr="00AD7D99">
        <w:rPr>
          <w:rFonts w:asciiTheme="minorHAnsi" w:hAnsiTheme="minorHAnsi"/>
          <w:spacing w:val="-3"/>
          <w:sz w:val="24"/>
          <w:szCs w:val="24"/>
        </w:rPr>
        <w:t xml:space="preserve">elles se sont contractées, mais dans des proportions moindres que la baisse enregistrée par les recettes totales. En effet, elles ont reculé de 16,1 % pour atteindre 10 727,4 milliards en 2015 (24,5 % du PIB), principalement en liaison avec la forte baisse des dépenses en capital de 26,9 % à 4 672,6 milliards en 2015, et une légère baisse de 5,4 % des dépenses courantes revenues à 6 054,9 milliards en 2015. L’évolution des dépenses en capital s’explique par les tensions de trésorerie des États membres face à la baisse des prix du pétrole qui ont réduit les rentrées financières des États les ont conduites à recourir ces derniers temps à des révisions de leur Loi de Finances. Pour les dépenses courantes, la baisse résulte principalement de celle relative </w:t>
      </w:r>
      <w:r w:rsidRPr="00AD7D99">
        <w:rPr>
          <w:rFonts w:asciiTheme="minorHAnsi" w:hAnsiTheme="minorHAnsi"/>
          <w:sz w:val="24"/>
          <w:szCs w:val="24"/>
        </w:rPr>
        <w:t>aux transferts et subventions (-11,4 % à 1 573,2 milliards en 2015) et des biens et services (-12,3 % à 1 680,3 milliards en 2015),</w:t>
      </w:r>
      <w:r w:rsidRPr="00AD7D99">
        <w:rPr>
          <w:rFonts w:asciiTheme="minorHAnsi" w:hAnsiTheme="minorHAnsi"/>
          <w:spacing w:val="-3"/>
          <w:sz w:val="24"/>
          <w:szCs w:val="24"/>
        </w:rPr>
        <w:t xml:space="preserve"> en dépit de l’augmentation des dépenses liées </w:t>
      </w:r>
      <w:r w:rsidRPr="00AD7D99">
        <w:rPr>
          <w:rFonts w:asciiTheme="minorHAnsi" w:hAnsiTheme="minorHAnsi"/>
          <w:sz w:val="24"/>
          <w:szCs w:val="24"/>
        </w:rPr>
        <w:t>aux traitements et salaires (+2 % à 2 454,3 milliards en 2015).</w:t>
      </w:r>
    </w:p>
    <w:p w:rsidR="00B12FC2" w:rsidRPr="00704614" w:rsidRDefault="00B12FC2" w:rsidP="00B12FC2">
      <w:pPr>
        <w:spacing w:after="120"/>
        <w:jc w:val="both"/>
        <w:rPr>
          <w:rFonts w:asciiTheme="minorHAnsi" w:hAnsiTheme="minorHAnsi"/>
          <w:sz w:val="24"/>
          <w:szCs w:val="24"/>
        </w:rPr>
      </w:pPr>
      <w:r w:rsidRPr="00704614">
        <w:rPr>
          <w:rFonts w:asciiTheme="minorHAnsi" w:hAnsiTheme="minorHAnsi"/>
          <w:spacing w:val="-3"/>
          <w:sz w:val="24"/>
          <w:szCs w:val="24"/>
        </w:rPr>
        <w:t xml:space="preserve">Le solde </w:t>
      </w:r>
      <w:r w:rsidRPr="00704614">
        <w:rPr>
          <w:rFonts w:asciiTheme="minorHAnsi" w:hAnsiTheme="minorHAnsi"/>
          <w:sz w:val="24"/>
          <w:szCs w:val="24"/>
        </w:rPr>
        <w:t>primaire excédentaire de 1,5 % du PIB en 2014 est devenu déficitaire de -</w:t>
      </w:r>
      <w:r w:rsidR="007B0B5E" w:rsidRPr="00704614">
        <w:rPr>
          <w:rFonts w:asciiTheme="minorHAnsi" w:hAnsiTheme="minorHAnsi"/>
          <w:sz w:val="24"/>
          <w:szCs w:val="24"/>
        </w:rPr>
        <w:t>0</w:t>
      </w:r>
      <w:r w:rsidRPr="00704614">
        <w:rPr>
          <w:rFonts w:asciiTheme="minorHAnsi" w:hAnsiTheme="minorHAnsi"/>
          <w:sz w:val="24"/>
          <w:szCs w:val="24"/>
        </w:rPr>
        <w:t>,</w:t>
      </w:r>
      <w:r w:rsidR="007B0B5E" w:rsidRPr="00704614">
        <w:rPr>
          <w:rFonts w:asciiTheme="minorHAnsi" w:hAnsiTheme="minorHAnsi"/>
          <w:sz w:val="24"/>
          <w:szCs w:val="24"/>
        </w:rPr>
        <w:t>2</w:t>
      </w:r>
      <w:r w:rsidRPr="00704614">
        <w:rPr>
          <w:rFonts w:asciiTheme="minorHAnsi" w:hAnsiTheme="minorHAnsi"/>
          <w:sz w:val="24"/>
          <w:szCs w:val="24"/>
        </w:rPr>
        <w:t xml:space="preserve"> % du PIB un an plus tard. De même, le solde budgétaire de base est ressorti déficitaire de </w:t>
      </w:r>
      <w:r w:rsidR="007B0B5E" w:rsidRPr="00704614">
        <w:rPr>
          <w:rFonts w:asciiTheme="minorHAnsi" w:hAnsiTheme="minorHAnsi"/>
          <w:sz w:val="24"/>
          <w:szCs w:val="24"/>
        </w:rPr>
        <w:t>1</w:t>
      </w:r>
      <w:r w:rsidRPr="00704614">
        <w:rPr>
          <w:rFonts w:asciiTheme="minorHAnsi" w:hAnsiTheme="minorHAnsi"/>
          <w:sz w:val="24"/>
          <w:szCs w:val="24"/>
        </w:rPr>
        <w:t xml:space="preserve"> % du PIB en 2015 contre un excédent de 0,9 % du PIB en 2014.</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444"/>
      </w:tblGrid>
      <w:tr w:rsidR="00CB31DF" w:rsidRPr="00704614" w:rsidTr="00CB31DF">
        <w:tc>
          <w:tcPr>
            <w:tcW w:w="4605" w:type="dxa"/>
          </w:tcPr>
          <w:p w:rsidR="00CB31DF" w:rsidRPr="00704614" w:rsidRDefault="00AD7D99" w:rsidP="00CB31DF">
            <w:pPr>
              <w:pStyle w:val="Lgende"/>
              <w:ind w:left="142"/>
              <w:jc w:val="both"/>
              <w:rPr>
                <w:rFonts w:asciiTheme="minorHAnsi" w:hAnsiTheme="minorHAnsi"/>
                <w:sz w:val="24"/>
                <w:szCs w:val="24"/>
              </w:rPr>
            </w:pPr>
            <w:bookmarkStart w:id="24" w:name="_Toc332028352"/>
            <w:bookmarkStart w:id="25" w:name="_Toc413689834"/>
            <w:bookmarkStart w:id="26" w:name="_Toc444335815"/>
            <w:r w:rsidRPr="00AD7D99">
              <w:rPr>
                <w:rFonts w:asciiTheme="minorHAnsi" w:hAnsiTheme="minorHAnsi"/>
                <w:color w:val="365F91" w:themeColor="accent1" w:themeShade="BF"/>
                <w:sz w:val="24"/>
                <w:szCs w:val="24"/>
              </w:rPr>
              <w:lastRenderedPageBreak/>
              <w:t xml:space="preserve">Graphique </w:t>
            </w:r>
            <w:r w:rsidRPr="00AD7D99">
              <w:rPr>
                <w:rFonts w:asciiTheme="minorHAnsi" w:hAnsiTheme="minorHAnsi"/>
                <w:color w:val="365F91" w:themeColor="accent1" w:themeShade="BF"/>
                <w:sz w:val="24"/>
                <w:szCs w:val="24"/>
              </w:rPr>
              <w:fldChar w:fldCharType="begin"/>
            </w:r>
            <w:r w:rsidRPr="00AD7D99">
              <w:rPr>
                <w:rFonts w:asciiTheme="minorHAnsi" w:hAnsiTheme="minorHAnsi"/>
                <w:color w:val="365F91" w:themeColor="accent1" w:themeShade="BF"/>
                <w:sz w:val="24"/>
                <w:szCs w:val="24"/>
              </w:rPr>
              <w:instrText xml:space="preserve"> SEQ Graphique \* ARABIC </w:instrText>
            </w:r>
            <w:r w:rsidRPr="00AD7D99">
              <w:rPr>
                <w:rFonts w:asciiTheme="minorHAnsi" w:hAnsiTheme="minorHAnsi"/>
                <w:color w:val="365F91" w:themeColor="accent1" w:themeShade="BF"/>
                <w:sz w:val="24"/>
                <w:szCs w:val="24"/>
              </w:rPr>
              <w:fldChar w:fldCharType="separate"/>
            </w:r>
            <w:r w:rsidRPr="00AD7D99">
              <w:rPr>
                <w:rFonts w:asciiTheme="minorHAnsi" w:hAnsiTheme="minorHAnsi"/>
                <w:color w:val="365F91" w:themeColor="accent1" w:themeShade="BF"/>
                <w:sz w:val="24"/>
                <w:szCs w:val="24"/>
              </w:rPr>
              <w:t>12</w:t>
            </w:r>
            <w:r w:rsidRPr="00AD7D99">
              <w:rPr>
                <w:rFonts w:asciiTheme="minorHAnsi" w:hAnsiTheme="minorHAnsi"/>
                <w:color w:val="365F91" w:themeColor="accent1" w:themeShade="BF"/>
                <w:sz w:val="24"/>
                <w:szCs w:val="24"/>
              </w:rPr>
              <w:fldChar w:fldCharType="end"/>
            </w:r>
            <w:r w:rsidRPr="00AD7D99">
              <w:rPr>
                <w:rFonts w:asciiTheme="minorHAnsi" w:hAnsiTheme="minorHAnsi"/>
                <w:color w:val="365F91" w:themeColor="accent1" w:themeShade="BF"/>
                <w:sz w:val="24"/>
                <w:szCs w:val="24"/>
              </w:rPr>
              <w:t>: Évolution de la structure des dépenses courantes</w:t>
            </w:r>
            <w:bookmarkEnd w:id="24"/>
            <w:bookmarkEnd w:id="25"/>
            <w:bookmarkEnd w:id="26"/>
          </w:p>
        </w:tc>
        <w:tc>
          <w:tcPr>
            <w:tcW w:w="4606" w:type="dxa"/>
          </w:tcPr>
          <w:p w:rsidR="00CB31DF" w:rsidRPr="00704614" w:rsidRDefault="00AD7D99" w:rsidP="00CB31DF">
            <w:pPr>
              <w:pStyle w:val="Lgende"/>
              <w:ind w:left="142"/>
              <w:jc w:val="both"/>
              <w:rPr>
                <w:rFonts w:asciiTheme="minorHAnsi" w:hAnsiTheme="minorHAnsi"/>
                <w:sz w:val="24"/>
                <w:szCs w:val="24"/>
              </w:rPr>
            </w:pPr>
            <w:bookmarkStart w:id="27" w:name="_Toc332028353"/>
            <w:bookmarkStart w:id="28" w:name="_Toc413689835"/>
            <w:bookmarkStart w:id="29" w:name="_Toc444335816"/>
            <w:r w:rsidRPr="00AD7D99">
              <w:rPr>
                <w:rFonts w:asciiTheme="minorHAnsi" w:hAnsiTheme="minorHAnsi"/>
                <w:color w:val="365F91" w:themeColor="accent1" w:themeShade="BF"/>
                <w:sz w:val="24"/>
                <w:szCs w:val="24"/>
              </w:rPr>
              <w:t xml:space="preserve">Graphique </w:t>
            </w:r>
            <w:r w:rsidRPr="00AD7D99">
              <w:rPr>
                <w:rFonts w:asciiTheme="minorHAnsi" w:hAnsiTheme="minorHAnsi"/>
                <w:color w:val="365F91" w:themeColor="accent1" w:themeShade="BF"/>
                <w:sz w:val="24"/>
                <w:szCs w:val="24"/>
              </w:rPr>
              <w:fldChar w:fldCharType="begin"/>
            </w:r>
            <w:r w:rsidRPr="00AD7D99">
              <w:rPr>
                <w:rFonts w:asciiTheme="minorHAnsi" w:hAnsiTheme="minorHAnsi"/>
                <w:color w:val="365F91" w:themeColor="accent1" w:themeShade="BF"/>
                <w:sz w:val="24"/>
                <w:szCs w:val="24"/>
              </w:rPr>
              <w:instrText xml:space="preserve"> SEQ Graphique \* ARABIC </w:instrText>
            </w:r>
            <w:r w:rsidRPr="00AD7D99">
              <w:rPr>
                <w:rFonts w:asciiTheme="minorHAnsi" w:hAnsiTheme="minorHAnsi"/>
                <w:color w:val="365F91" w:themeColor="accent1" w:themeShade="BF"/>
                <w:sz w:val="24"/>
                <w:szCs w:val="24"/>
              </w:rPr>
              <w:fldChar w:fldCharType="separate"/>
            </w:r>
            <w:r w:rsidRPr="00AD7D99">
              <w:rPr>
                <w:rFonts w:asciiTheme="minorHAnsi" w:hAnsiTheme="minorHAnsi"/>
                <w:color w:val="365F91" w:themeColor="accent1" w:themeShade="BF"/>
                <w:sz w:val="24"/>
                <w:szCs w:val="24"/>
              </w:rPr>
              <w:t>13</w:t>
            </w:r>
            <w:r w:rsidRPr="00AD7D99">
              <w:rPr>
                <w:rFonts w:asciiTheme="minorHAnsi" w:hAnsiTheme="minorHAnsi"/>
                <w:color w:val="365F91" w:themeColor="accent1" w:themeShade="BF"/>
                <w:sz w:val="24"/>
                <w:szCs w:val="24"/>
              </w:rPr>
              <w:fldChar w:fldCharType="end"/>
            </w:r>
            <w:r w:rsidRPr="00AD7D99">
              <w:rPr>
                <w:rFonts w:asciiTheme="minorHAnsi" w:hAnsiTheme="minorHAnsi"/>
                <w:color w:val="365F91" w:themeColor="accent1" w:themeShade="BF"/>
                <w:sz w:val="24"/>
                <w:szCs w:val="24"/>
              </w:rPr>
              <w:t>: Évolution de la structure des dépenses</w:t>
            </w:r>
            <w:bookmarkEnd w:id="27"/>
            <w:r w:rsidRPr="00AD7D99">
              <w:rPr>
                <w:rFonts w:asciiTheme="minorHAnsi" w:hAnsiTheme="minorHAnsi"/>
                <w:color w:val="365F91" w:themeColor="accent1" w:themeShade="BF"/>
                <w:sz w:val="24"/>
                <w:szCs w:val="24"/>
              </w:rPr>
              <w:t xml:space="preserve"> en capital</w:t>
            </w:r>
            <w:bookmarkEnd w:id="28"/>
            <w:bookmarkEnd w:id="29"/>
          </w:p>
        </w:tc>
      </w:tr>
      <w:tr w:rsidR="00CB31DF" w:rsidRPr="00704614" w:rsidTr="00CB31DF">
        <w:tc>
          <w:tcPr>
            <w:tcW w:w="4605" w:type="dxa"/>
          </w:tcPr>
          <w:p w:rsidR="00CB31DF" w:rsidRPr="00704614" w:rsidRDefault="00CB31DF" w:rsidP="00B12FC2">
            <w:pPr>
              <w:spacing w:after="60"/>
              <w:jc w:val="both"/>
              <w:rPr>
                <w:rFonts w:asciiTheme="minorHAnsi" w:hAnsiTheme="minorHAnsi"/>
                <w:sz w:val="24"/>
                <w:szCs w:val="24"/>
              </w:rPr>
            </w:pPr>
            <w:r w:rsidRPr="00704614">
              <w:rPr>
                <w:rFonts w:asciiTheme="minorHAnsi" w:hAnsiTheme="minorHAnsi"/>
                <w:noProof/>
                <w:sz w:val="24"/>
                <w:szCs w:val="24"/>
                <w:lang w:val="de-DE" w:eastAsia="de-DE"/>
              </w:rPr>
              <w:drawing>
                <wp:inline distT="0" distB="0" distL="0" distR="0">
                  <wp:extent cx="3048000" cy="2551430"/>
                  <wp:effectExtent l="19050" t="0" r="19050" b="1270"/>
                  <wp:docPr id="20"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c>
          <w:tcPr>
            <w:tcW w:w="4606" w:type="dxa"/>
          </w:tcPr>
          <w:p w:rsidR="00CB31DF" w:rsidRPr="00704614" w:rsidRDefault="00CB31DF" w:rsidP="00B12FC2">
            <w:pPr>
              <w:spacing w:after="60"/>
              <w:jc w:val="both"/>
              <w:rPr>
                <w:rFonts w:asciiTheme="minorHAnsi" w:hAnsiTheme="minorHAnsi"/>
                <w:sz w:val="24"/>
                <w:szCs w:val="24"/>
              </w:rPr>
            </w:pPr>
            <w:r w:rsidRPr="00704614">
              <w:rPr>
                <w:rFonts w:asciiTheme="minorHAnsi" w:hAnsiTheme="minorHAnsi"/>
                <w:noProof/>
                <w:sz w:val="24"/>
                <w:szCs w:val="24"/>
                <w:lang w:val="de-DE" w:eastAsia="de-DE"/>
              </w:rPr>
              <w:drawing>
                <wp:inline distT="0" distB="0" distL="0" distR="0">
                  <wp:extent cx="2803525" cy="2558603"/>
                  <wp:effectExtent l="0" t="0" r="15875" b="13335"/>
                  <wp:docPr id="21"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bl>
    <w:p w:rsidR="00B12FC2" w:rsidRPr="00704614" w:rsidRDefault="00B12FC2" w:rsidP="00B12FC2">
      <w:pPr>
        <w:spacing w:after="60"/>
        <w:jc w:val="both"/>
        <w:rPr>
          <w:rFonts w:asciiTheme="minorHAnsi" w:hAnsiTheme="minorHAnsi"/>
          <w:sz w:val="24"/>
          <w:szCs w:val="24"/>
        </w:rPr>
      </w:pPr>
    </w:p>
    <w:p w:rsidR="00B12FC2" w:rsidRPr="00704614" w:rsidRDefault="00B12FC2" w:rsidP="00B12FC2">
      <w:pPr>
        <w:spacing w:after="120"/>
        <w:jc w:val="both"/>
        <w:rPr>
          <w:rFonts w:asciiTheme="minorHAnsi" w:hAnsiTheme="minorHAnsi"/>
          <w:spacing w:val="-3"/>
          <w:sz w:val="24"/>
          <w:szCs w:val="24"/>
        </w:rPr>
      </w:pPr>
      <w:r w:rsidRPr="00704614">
        <w:rPr>
          <w:rFonts w:asciiTheme="minorHAnsi" w:hAnsiTheme="minorHAnsi"/>
          <w:spacing w:val="-3"/>
          <w:sz w:val="24"/>
          <w:szCs w:val="24"/>
        </w:rPr>
        <w:t xml:space="preserve">En définitive, la gestion des finances publiques dans les États membres de la CEMAC en 2015 s’est traduite par une détérioration des comptes publics, avec un creusement du déficit du solde budgétaire, hors dons, à 1 </w:t>
      </w:r>
      <w:r w:rsidR="007B0B5E" w:rsidRPr="00C33E0F">
        <w:rPr>
          <w:rFonts w:asciiTheme="minorHAnsi" w:hAnsiTheme="minorHAnsi"/>
          <w:spacing w:val="-3"/>
          <w:sz w:val="24"/>
          <w:szCs w:val="24"/>
        </w:rPr>
        <w:t>378</w:t>
      </w:r>
      <w:r w:rsidR="007B0B5E" w:rsidRPr="00704614">
        <w:rPr>
          <w:rFonts w:asciiTheme="minorHAnsi" w:hAnsiTheme="minorHAnsi"/>
          <w:spacing w:val="-3"/>
          <w:sz w:val="24"/>
          <w:szCs w:val="24"/>
        </w:rPr>
        <w:t>,2</w:t>
      </w:r>
      <w:r w:rsidRPr="00704614">
        <w:rPr>
          <w:rFonts w:asciiTheme="minorHAnsi" w:hAnsiTheme="minorHAnsi"/>
          <w:spacing w:val="-3"/>
          <w:sz w:val="24"/>
          <w:szCs w:val="24"/>
        </w:rPr>
        <w:t xml:space="preserve"> milliards (-</w:t>
      </w:r>
      <w:r w:rsidR="007B0B5E" w:rsidRPr="00704614">
        <w:rPr>
          <w:rFonts w:asciiTheme="minorHAnsi" w:hAnsiTheme="minorHAnsi"/>
          <w:spacing w:val="-3"/>
          <w:sz w:val="24"/>
          <w:szCs w:val="24"/>
        </w:rPr>
        <w:t>3</w:t>
      </w:r>
      <w:r w:rsidRPr="00704614">
        <w:rPr>
          <w:rFonts w:asciiTheme="minorHAnsi" w:hAnsiTheme="minorHAnsi"/>
          <w:spacing w:val="-3"/>
          <w:sz w:val="24"/>
          <w:szCs w:val="24"/>
        </w:rPr>
        <w:t>,1 % du PIB), contre 758,8 milliards (-1,6 % du PIB) l’année précédente.</w:t>
      </w:r>
    </w:p>
    <w:p w:rsidR="00B12FC2" w:rsidRPr="00704614" w:rsidRDefault="00B12FC2" w:rsidP="00B12FC2">
      <w:pPr>
        <w:spacing w:after="120"/>
        <w:jc w:val="both"/>
        <w:rPr>
          <w:rFonts w:asciiTheme="minorHAnsi" w:hAnsiTheme="minorHAnsi"/>
          <w:spacing w:val="-3"/>
          <w:sz w:val="24"/>
          <w:szCs w:val="24"/>
        </w:rPr>
      </w:pPr>
      <w:r w:rsidRPr="00704614">
        <w:rPr>
          <w:rFonts w:asciiTheme="minorHAnsi" w:hAnsiTheme="minorHAnsi"/>
          <w:spacing w:val="-3"/>
          <w:sz w:val="24"/>
          <w:szCs w:val="24"/>
        </w:rPr>
        <w:t>Tous les pays de la CEMAC ont enregistré un déficit en 2015 : au Cameroun (-</w:t>
      </w:r>
      <w:r w:rsidR="007B0B5E" w:rsidRPr="00704614">
        <w:rPr>
          <w:rFonts w:asciiTheme="minorHAnsi" w:hAnsiTheme="minorHAnsi"/>
          <w:spacing w:val="-3"/>
          <w:sz w:val="24"/>
          <w:szCs w:val="24"/>
        </w:rPr>
        <w:t>0</w:t>
      </w:r>
      <w:r w:rsidRPr="00704614">
        <w:rPr>
          <w:rFonts w:asciiTheme="minorHAnsi" w:hAnsiTheme="minorHAnsi"/>
          <w:spacing w:val="-3"/>
          <w:sz w:val="24"/>
          <w:szCs w:val="24"/>
        </w:rPr>
        <w:t>,</w:t>
      </w:r>
      <w:r w:rsidR="007B0B5E" w:rsidRPr="00704614">
        <w:rPr>
          <w:rFonts w:asciiTheme="minorHAnsi" w:hAnsiTheme="minorHAnsi"/>
          <w:spacing w:val="-3"/>
          <w:sz w:val="24"/>
          <w:szCs w:val="24"/>
        </w:rPr>
        <w:t>7</w:t>
      </w:r>
      <w:r w:rsidRPr="00704614">
        <w:rPr>
          <w:rFonts w:asciiTheme="minorHAnsi" w:hAnsiTheme="minorHAnsi"/>
          <w:spacing w:val="-3"/>
          <w:sz w:val="24"/>
          <w:szCs w:val="24"/>
        </w:rPr>
        <w:t xml:space="preserve"> % du PIB contre -3,0  % du PIB en 2014), en République Centrafricaine (-8,5 % du PIB contre -7,6 % du PIB en 2014), au Congo ( -11,5  % du PIB contre de +3,3 % du PIB en 2014), au Gabon (-1,5 % du PIB contre +2,5 % du PIB en 2014), en Guinée équatoriale (-4,9 % du PIB, contre -6,1 % en 2014), et au Tchad (-</w:t>
      </w:r>
      <w:r w:rsidR="007B0B5E" w:rsidRPr="00704614">
        <w:rPr>
          <w:rFonts w:asciiTheme="minorHAnsi" w:hAnsiTheme="minorHAnsi"/>
          <w:spacing w:val="-3"/>
          <w:sz w:val="24"/>
          <w:szCs w:val="24"/>
        </w:rPr>
        <w:t>2</w:t>
      </w:r>
      <w:r w:rsidRPr="00704614">
        <w:rPr>
          <w:rFonts w:asciiTheme="minorHAnsi" w:hAnsiTheme="minorHAnsi"/>
          <w:spacing w:val="-3"/>
          <w:sz w:val="24"/>
          <w:szCs w:val="24"/>
        </w:rPr>
        <w:t>,</w:t>
      </w:r>
      <w:r w:rsidR="007B0B5E" w:rsidRPr="00704614">
        <w:rPr>
          <w:rFonts w:asciiTheme="minorHAnsi" w:hAnsiTheme="minorHAnsi"/>
          <w:spacing w:val="-3"/>
          <w:sz w:val="24"/>
          <w:szCs w:val="24"/>
        </w:rPr>
        <w:t>6</w:t>
      </w:r>
      <w:r w:rsidRPr="00704614">
        <w:rPr>
          <w:rFonts w:asciiTheme="minorHAnsi" w:hAnsiTheme="minorHAnsi"/>
          <w:spacing w:val="-3"/>
          <w:sz w:val="24"/>
          <w:szCs w:val="24"/>
        </w:rPr>
        <w:t xml:space="preserve"> % du PIB, contre -</w:t>
      </w:r>
      <w:r w:rsidR="007B0B5E" w:rsidRPr="00704614">
        <w:rPr>
          <w:rFonts w:asciiTheme="minorHAnsi" w:hAnsiTheme="minorHAnsi"/>
          <w:spacing w:val="-3"/>
          <w:sz w:val="24"/>
          <w:szCs w:val="24"/>
        </w:rPr>
        <w:t>2</w:t>
      </w:r>
      <w:r w:rsidRPr="00704614">
        <w:rPr>
          <w:rFonts w:asciiTheme="minorHAnsi" w:hAnsiTheme="minorHAnsi"/>
          <w:spacing w:val="-3"/>
          <w:sz w:val="24"/>
          <w:szCs w:val="24"/>
        </w:rPr>
        <w:t>,</w:t>
      </w:r>
      <w:r w:rsidR="007B0B5E" w:rsidRPr="00704614">
        <w:rPr>
          <w:rFonts w:asciiTheme="minorHAnsi" w:hAnsiTheme="minorHAnsi"/>
          <w:spacing w:val="-3"/>
          <w:sz w:val="24"/>
          <w:szCs w:val="24"/>
        </w:rPr>
        <w:t>2</w:t>
      </w:r>
      <w:r w:rsidRPr="00704614">
        <w:rPr>
          <w:rFonts w:asciiTheme="minorHAnsi" w:hAnsiTheme="minorHAnsi"/>
          <w:spacing w:val="-3"/>
          <w:sz w:val="24"/>
          <w:szCs w:val="24"/>
        </w:rPr>
        <w:t xml:space="preserve"> % du PIB en 2014).</w:t>
      </w:r>
    </w:p>
    <w:p w:rsidR="00CB31DF" w:rsidRPr="00704614" w:rsidRDefault="00B12FC2" w:rsidP="00B12FC2">
      <w:pPr>
        <w:spacing w:after="120"/>
        <w:jc w:val="both"/>
        <w:rPr>
          <w:rFonts w:asciiTheme="minorHAnsi" w:hAnsiTheme="minorHAnsi"/>
          <w:spacing w:val="-3"/>
          <w:sz w:val="24"/>
          <w:szCs w:val="24"/>
        </w:rPr>
      </w:pPr>
      <w:r w:rsidRPr="00704614">
        <w:rPr>
          <w:rFonts w:asciiTheme="minorHAnsi" w:hAnsiTheme="minorHAnsi"/>
          <w:spacing w:val="-3"/>
          <w:sz w:val="24"/>
          <w:szCs w:val="24"/>
        </w:rPr>
        <w:t>Après la prise en compte de l’amortissement de la dette extérieure de 1 </w:t>
      </w:r>
      <w:r w:rsidR="007B0B5E" w:rsidRPr="00704614">
        <w:rPr>
          <w:rFonts w:asciiTheme="minorHAnsi" w:hAnsiTheme="minorHAnsi"/>
          <w:spacing w:val="-3"/>
          <w:sz w:val="24"/>
          <w:szCs w:val="24"/>
        </w:rPr>
        <w:t>103</w:t>
      </w:r>
      <w:r w:rsidRPr="00704614">
        <w:rPr>
          <w:rFonts w:asciiTheme="minorHAnsi" w:hAnsiTheme="minorHAnsi"/>
          <w:spacing w:val="-3"/>
          <w:sz w:val="24"/>
          <w:szCs w:val="24"/>
        </w:rPr>
        <w:t>,</w:t>
      </w:r>
      <w:r w:rsidR="007B0B5E" w:rsidRPr="00704614">
        <w:rPr>
          <w:rFonts w:asciiTheme="minorHAnsi" w:hAnsiTheme="minorHAnsi"/>
          <w:spacing w:val="-3"/>
          <w:sz w:val="24"/>
          <w:szCs w:val="24"/>
        </w:rPr>
        <w:t>8</w:t>
      </w:r>
      <w:r w:rsidRPr="00704614">
        <w:rPr>
          <w:rFonts w:asciiTheme="minorHAnsi" w:hAnsiTheme="minorHAnsi"/>
          <w:spacing w:val="-3"/>
          <w:sz w:val="24"/>
          <w:szCs w:val="24"/>
        </w:rPr>
        <w:t xml:space="preserve"> milliards, de l’approvisionnement du compte IMA à la Banque Mondiale par le Gabon de 53,8 milliards, de la réduction des arriérés de paiements de 563 milliards et du désengagement vis-à-vis du système non bancaire de </w:t>
      </w:r>
      <w:r w:rsidR="007B0B5E" w:rsidRPr="00704614">
        <w:rPr>
          <w:rFonts w:asciiTheme="minorHAnsi" w:hAnsiTheme="minorHAnsi"/>
          <w:spacing w:val="-3"/>
          <w:sz w:val="24"/>
          <w:szCs w:val="24"/>
        </w:rPr>
        <w:t>988</w:t>
      </w:r>
      <w:r w:rsidRPr="00704614">
        <w:rPr>
          <w:rFonts w:asciiTheme="minorHAnsi" w:hAnsiTheme="minorHAnsi"/>
          <w:spacing w:val="-3"/>
          <w:sz w:val="24"/>
          <w:szCs w:val="24"/>
        </w:rPr>
        <w:t>,</w:t>
      </w:r>
      <w:r w:rsidR="007B0B5E" w:rsidRPr="00704614">
        <w:rPr>
          <w:rFonts w:asciiTheme="minorHAnsi" w:hAnsiTheme="minorHAnsi"/>
          <w:spacing w:val="-3"/>
          <w:sz w:val="24"/>
          <w:szCs w:val="24"/>
        </w:rPr>
        <w:t>7</w:t>
      </w:r>
      <w:r w:rsidRPr="00704614">
        <w:rPr>
          <w:rFonts w:asciiTheme="minorHAnsi" w:hAnsiTheme="minorHAnsi"/>
          <w:spacing w:val="-3"/>
          <w:sz w:val="24"/>
          <w:szCs w:val="24"/>
        </w:rPr>
        <w:t xml:space="preserve"> milliards, le besoin de financement global des États s’est élevé à 4 </w:t>
      </w:r>
      <w:r w:rsidR="007B0B5E" w:rsidRPr="00704614">
        <w:rPr>
          <w:rFonts w:asciiTheme="minorHAnsi" w:hAnsiTheme="minorHAnsi"/>
          <w:spacing w:val="-3"/>
          <w:sz w:val="24"/>
          <w:szCs w:val="24"/>
        </w:rPr>
        <w:t>087</w:t>
      </w:r>
      <w:r w:rsidRPr="00704614">
        <w:rPr>
          <w:rFonts w:asciiTheme="minorHAnsi" w:hAnsiTheme="minorHAnsi"/>
          <w:spacing w:val="-3"/>
          <w:sz w:val="24"/>
          <w:szCs w:val="24"/>
        </w:rPr>
        <w:t>,</w:t>
      </w:r>
      <w:r w:rsidR="007B0B5E" w:rsidRPr="00704614">
        <w:rPr>
          <w:rFonts w:asciiTheme="minorHAnsi" w:hAnsiTheme="minorHAnsi"/>
          <w:spacing w:val="-3"/>
          <w:sz w:val="24"/>
          <w:szCs w:val="24"/>
        </w:rPr>
        <w:t>3</w:t>
      </w:r>
      <w:r w:rsidRPr="00704614">
        <w:rPr>
          <w:rFonts w:asciiTheme="minorHAnsi" w:hAnsiTheme="minorHAnsi"/>
          <w:spacing w:val="-3"/>
          <w:sz w:val="24"/>
          <w:szCs w:val="24"/>
        </w:rPr>
        <w:t xml:space="preserve"> milliards. Ce besoin de ressources a été couvert d’une part, par des concours extérieurs comprenant </w:t>
      </w:r>
      <w:r w:rsidR="007B0B5E" w:rsidRPr="00704614">
        <w:rPr>
          <w:rFonts w:asciiTheme="minorHAnsi" w:hAnsiTheme="minorHAnsi"/>
          <w:spacing w:val="-3"/>
          <w:sz w:val="24"/>
          <w:szCs w:val="24"/>
        </w:rPr>
        <w:t>217</w:t>
      </w:r>
      <w:r w:rsidRPr="00704614">
        <w:rPr>
          <w:rFonts w:asciiTheme="minorHAnsi" w:hAnsiTheme="minorHAnsi"/>
          <w:spacing w:val="-3"/>
          <w:sz w:val="24"/>
          <w:szCs w:val="24"/>
        </w:rPr>
        <w:t>,</w:t>
      </w:r>
      <w:r w:rsidR="007B0B5E" w:rsidRPr="00704614">
        <w:rPr>
          <w:rFonts w:asciiTheme="minorHAnsi" w:hAnsiTheme="minorHAnsi"/>
          <w:spacing w:val="-3"/>
          <w:sz w:val="24"/>
          <w:szCs w:val="24"/>
        </w:rPr>
        <w:t>5</w:t>
      </w:r>
      <w:r w:rsidRPr="00704614">
        <w:rPr>
          <w:rFonts w:asciiTheme="minorHAnsi" w:hAnsiTheme="minorHAnsi"/>
          <w:spacing w:val="-3"/>
          <w:sz w:val="24"/>
          <w:szCs w:val="24"/>
        </w:rPr>
        <w:t xml:space="preserve"> milliards de dons et 1 720,6 milliards de tirages sur prêts, et </w:t>
      </w:r>
      <w:r w:rsidR="007B0B5E" w:rsidRPr="00704614">
        <w:rPr>
          <w:rFonts w:asciiTheme="minorHAnsi" w:hAnsiTheme="minorHAnsi"/>
          <w:spacing w:val="-3"/>
          <w:sz w:val="24"/>
          <w:szCs w:val="24"/>
        </w:rPr>
        <w:t>516</w:t>
      </w:r>
      <w:r w:rsidRPr="00704614">
        <w:rPr>
          <w:rFonts w:asciiTheme="minorHAnsi" w:hAnsiTheme="minorHAnsi"/>
          <w:spacing w:val="-3"/>
          <w:sz w:val="24"/>
          <w:szCs w:val="24"/>
        </w:rPr>
        <w:t xml:space="preserve"> milliards d’allègements de la dette extérieure ; et, d’autre part, par des tirages sur le système bancaire de 1 6</w:t>
      </w:r>
      <w:r w:rsidR="007B0B5E" w:rsidRPr="00704614">
        <w:rPr>
          <w:rFonts w:asciiTheme="minorHAnsi" w:hAnsiTheme="minorHAnsi"/>
          <w:spacing w:val="-3"/>
          <w:sz w:val="24"/>
          <w:szCs w:val="24"/>
        </w:rPr>
        <w:t>33</w:t>
      </w:r>
      <w:r w:rsidRPr="00704614">
        <w:rPr>
          <w:rFonts w:asciiTheme="minorHAnsi" w:hAnsiTheme="minorHAnsi"/>
          <w:spacing w:val="-3"/>
          <w:sz w:val="24"/>
          <w:szCs w:val="24"/>
        </w:rPr>
        <w:t>,</w:t>
      </w:r>
      <w:r w:rsidR="007B0B5E" w:rsidRPr="00704614">
        <w:rPr>
          <w:rFonts w:asciiTheme="minorHAnsi" w:hAnsiTheme="minorHAnsi"/>
          <w:spacing w:val="-3"/>
          <w:sz w:val="24"/>
          <w:szCs w:val="24"/>
        </w:rPr>
        <w:t>3</w:t>
      </w:r>
      <w:r w:rsidRPr="00704614">
        <w:rPr>
          <w:rFonts w:asciiTheme="minorHAnsi" w:hAnsiTheme="minorHAnsi"/>
          <w:spacing w:val="-3"/>
          <w:sz w:val="24"/>
          <w:szCs w:val="24"/>
        </w:rPr>
        <w:t xml:space="preserve"> milliards.</w:t>
      </w:r>
      <w:bookmarkStart w:id="30" w:name="_Toc332028354"/>
      <w:bookmarkStart w:id="31" w:name="_Toc413689836"/>
    </w:p>
    <w:p w:rsidR="00CB31DF" w:rsidRPr="00704614" w:rsidRDefault="00CB31DF">
      <w:pPr>
        <w:rPr>
          <w:rFonts w:asciiTheme="minorHAnsi" w:hAnsiTheme="minorHAnsi"/>
          <w:spacing w:val="-3"/>
          <w:sz w:val="24"/>
          <w:szCs w:val="24"/>
        </w:rPr>
      </w:pPr>
      <w:r w:rsidRPr="00704614">
        <w:rPr>
          <w:rFonts w:asciiTheme="minorHAnsi" w:hAnsiTheme="minorHAnsi"/>
          <w:spacing w:val="-3"/>
          <w:sz w:val="24"/>
          <w:szCs w:val="24"/>
        </w:rPr>
        <w:br w:type="page"/>
      </w:r>
    </w:p>
    <w:p w:rsidR="00B12FC2" w:rsidRPr="00704614" w:rsidRDefault="00AD7D99" w:rsidP="00CB31DF">
      <w:pPr>
        <w:pStyle w:val="Lgende"/>
        <w:ind w:left="142"/>
        <w:jc w:val="both"/>
        <w:rPr>
          <w:rFonts w:asciiTheme="minorHAnsi" w:hAnsiTheme="minorHAnsi"/>
          <w:color w:val="365F91" w:themeColor="accent1" w:themeShade="BF"/>
          <w:sz w:val="24"/>
          <w:szCs w:val="24"/>
        </w:rPr>
      </w:pPr>
      <w:bookmarkStart w:id="32" w:name="_Toc444335817"/>
      <w:r w:rsidRPr="00AD7D99">
        <w:rPr>
          <w:rFonts w:asciiTheme="minorHAnsi" w:hAnsiTheme="minorHAnsi"/>
          <w:color w:val="365F91" w:themeColor="accent1" w:themeShade="BF"/>
          <w:sz w:val="24"/>
          <w:szCs w:val="24"/>
        </w:rPr>
        <w:lastRenderedPageBreak/>
        <w:t xml:space="preserve">Graphique </w:t>
      </w:r>
      <w:r w:rsidRPr="00AD7D99">
        <w:rPr>
          <w:rFonts w:asciiTheme="minorHAnsi" w:hAnsiTheme="minorHAnsi"/>
          <w:color w:val="365F91" w:themeColor="accent1" w:themeShade="BF"/>
          <w:sz w:val="24"/>
          <w:szCs w:val="24"/>
        </w:rPr>
        <w:fldChar w:fldCharType="begin"/>
      </w:r>
      <w:r w:rsidRPr="00AD7D99">
        <w:rPr>
          <w:rFonts w:asciiTheme="minorHAnsi" w:hAnsiTheme="minorHAnsi"/>
          <w:color w:val="365F91" w:themeColor="accent1" w:themeShade="BF"/>
          <w:sz w:val="24"/>
          <w:szCs w:val="24"/>
        </w:rPr>
        <w:instrText xml:space="preserve">SEQ Graphique \* ARABIC </w:instrText>
      </w:r>
      <w:r w:rsidRPr="00AD7D99">
        <w:rPr>
          <w:rFonts w:asciiTheme="minorHAnsi" w:hAnsiTheme="minorHAnsi"/>
          <w:color w:val="365F91" w:themeColor="accent1" w:themeShade="BF"/>
          <w:sz w:val="24"/>
          <w:szCs w:val="24"/>
        </w:rPr>
        <w:fldChar w:fldCharType="separate"/>
      </w:r>
      <w:r w:rsidRPr="00AD7D99">
        <w:rPr>
          <w:rFonts w:asciiTheme="minorHAnsi" w:hAnsiTheme="minorHAnsi"/>
          <w:color w:val="365F91" w:themeColor="accent1" w:themeShade="BF"/>
          <w:sz w:val="24"/>
          <w:szCs w:val="24"/>
        </w:rPr>
        <w:t>14</w:t>
      </w:r>
      <w:r w:rsidRPr="00AD7D99">
        <w:rPr>
          <w:rFonts w:asciiTheme="minorHAnsi" w:hAnsiTheme="minorHAnsi"/>
          <w:color w:val="365F91" w:themeColor="accent1" w:themeShade="BF"/>
          <w:sz w:val="24"/>
          <w:szCs w:val="24"/>
        </w:rPr>
        <w:fldChar w:fldCharType="end"/>
      </w:r>
      <w:r w:rsidRPr="00AD7D99">
        <w:rPr>
          <w:rFonts w:asciiTheme="minorHAnsi" w:hAnsiTheme="minorHAnsi"/>
          <w:color w:val="365F91" w:themeColor="accent1" w:themeShade="BF"/>
          <w:sz w:val="24"/>
          <w:szCs w:val="24"/>
        </w:rPr>
        <w:t>: Ratios budgétaires (en  % du PIB) de la Sous-région</w:t>
      </w:r>
      <w:bookmarkEnd w:id="30"/>
      <w:bookmarkEnd w:id="31"/>
      <w:bookmarkEnd w:id="32"/>
    </w:p>
    <w:p w:rsidR="00B12FC2" w:rsidRPr="00704614" w:rsidRDefault="0004793F" w:rsidP="00B12FC2">
      <w:pPr>
        <w:jc w:val="center"/>
        <w:rPr>
          <w:rFonts w:asciiTheme="minorHAnsi" w:hAnsiTheme="minorHAnsi"/>
          <w:sz w:val="24"/>
          <w:szCs w:val="24"/>
          <w:highlight w:val="yellow"/>
        </w:rPr>
      </w:pPr>
      <w:r>
        <w:rPr>
          <w:rFonts w:asciiTheme="minorHAnsi" w:hAnsiTheme="minorHAnsi"/>
          <w:noProof/>
          <w:sz w:val="24"/>
          <w:szCs w:val="24"/>
          <w:lang w:val="de-DE" w:eastAsia="de-DE"/>
        </w:rPr>
        <w:drawing>
          <wp:inline distT="0" distB="0" distL="0" distR="0">
            <wp:extent cx="5035640" cy="2541431"/>
            <wp:effectExtent l="0" t="0" r="12700" b="11430"/>
            <wp:docPr id="15"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B31DF" w:rsidRPr="00704614" w:rsidRDefault="00CB31DF" w:rsidP="00B12FC2">
      <w:pPr>
        <w:pStyle w:val="Textedebulles"/>
        <w:spacing w:after="120"/>
        <w:jc w:val="both"/>
        <w:rPr>
          <w:rFonts w:asciiTheme="minorHAnsi" w:hAnsiTheme="minorHAnsi"/>
          <w:sz w:val="24"/>
          <w:szCs w:val="24"/>
        </w:rPr>
      </w:pPr>
    </w:p>
    <w:p w:rsidR="00B12FC2" w:rsidRPr="00704614" w:rsidRDefault="00B12FC2" w:rsidP="00B12FC2">
      <w:pPr>
        <w:pStyle w:val="Textedebulles"/>
        <w:spacing w:after="120"/>
        <w:jc w:val="both"/>
        <w:rPr>
          <w:rFonts w:asciiTheme="minorHAnsi" w:hAnsiTheme="minorHAnsi"/>
          <w:i/>
          <w:sz w:val="24"/>
          <w:szCs w:val="24"/>
        </w:rPr>
      </w:pPr>
      <w:r w:rsidRPr="00704614">
        <w:rPr>
          <w:rFonts w:asciiTheme="minorHAnsi" w:hAnsiTheme="minorHAnsi"/>
          <w:sz w:val="24"/>
          <w:szCs w:val="24"/>
        </w:rPr>
        <w:t xml:space="preserve">Dans le domaine des </w:t>
      </w:r>
      <w:r w:rsidRPr="00704614">
        <w:rPr>
          <w:rFonts w:asciiTheme="minorHAnsi" w:hAnsiTheme="minorHAnsi"/>
          <w:b/>
          <w:sz w:val="24"/>
          <w:szCs w:val="24"/>
        </w:rPr>
        <w:t>échanges extérieurs</w:t>
      </w:r>
      <w:r w:rsidRPr="00C33E0F">
        <w:rPr>
          <w:rFonts w:asciiTheme="minorHAnsi" w:hAnsiTheme="minorHAnsi"/>
          <w:sz w:val="24"/>
          <w:szCs w:val="24"/>
        </w:rPr>
        <w:t xml:space="preserve">, le </w:t>
      </w:r>
      <w:r w:rsidRPr="001C509F">
        <w:rPr>
          <w:rFonts w:asciiTheme="minorHAnsi" w:hAnsiTheme="minorHAnsi"/>
          <w:i/>
          <w:iCs/>
          <w:sz w:val="24"/>
          <w:szCs w:val="24"/>
        </w:rPr>
        <w:t>déficit des</w:t>
      </w:r>
      <w:r w:rsidRPr="00704614">
        <w:rPr>
          <w:rFonts w:asciiTheme="minorHAnsi" w:hAnsiTheme="minorHAnsi"/>
          <w:i/>
          <w:sz w:val="24"/>
          <w:szCs w:val="24"/>
        </w:rPr>
        <w:t xml:space="preserve"> transactions courantes hors dons</w:t>
      </w:r>
      <w:r w:rsidRPr="00704614">
        <w:rPr>
          <w:rFonts w:asciiTheme="minorHAnsi" w:hAnsiTheme="minorHAnsi"/>
          <w:sz w:val="24"/>
          <w:szCs w:val="24"/>
        </w:rPr>
        <w:t xml:space="preserve"> de la CEMAC s’est davantage aggravé pour se situer</w:t>
      </w:r>
      <w:r w:rsidRPr="00704614" w:rsidDel="00316382">
        <w:rPr>
          <w:rFonts w:asciiTheme="minorHAnsi" w:hAnsiTheme="minorHAnsi"/>
          <w:sz w:val="24"/>
          <w:szCs w:val="24"/>
        </w:rPr>
        <w:t xml:space="preserve"> </w:t>
      </w:r>
      <w:r w:rsidRPr="00704614">
        <w:rPr>
          <w:rFonts w:asciiTheme="minorHAnsi" w:hAnsiTheme="minorHAnsi"/>
          <w:sz w:val="24"/>
          <w:szCs w:val="24"/>
        </w:rPr>
        <w:t>à -5 3</w:t>
      </w:r>
      <w:r w:rsidR="004401CF" w:rsidRPr="00704614">
        <w:rPr>
          <w:rFonts w:asciiTheme="minorHAnsi" w:hAnsiTheme="minorHAnsi"/>
          <w:sz w:val="24"/>
          <w:szCs w:val="24"/>
        </w:rPr>
        <w:t>28</w:t>
      </w:r>
      <w:r w:rsidRPr="00704614">
        <w:rPr>
          <w:rFonts w:asciiTheme="minorHAnsi" w:hAnsiTheme="minorHAnsi"/>
          <w:sz w:val="24"/>
          <w:szCs w:val="24"/>
        </w:rPr>
        <w:t>,</w:t>
      </w:r>
      <w:r w:rsidR="004401CF" w:rsidRPr="00704614">
        <w:rPr>
          <w:rFonts w:asciiTheme="minorHAnsi" w:hAnsiTheme="minorHAnsi"/>
          <w:sz w:val="24"/>
          <w:szCs w:val="24"/>
        </w:rPr>
        <w:t>5</w:t>
      </w:r>
      <w:r w:rsidRPr="00704614">
        <w:rPr>
          <w:rFonts w:asciiTheme="minorHAnsi" w:hAnsiTheme="minorHAnsi"/>
          <w:sz w:val="24"/>
          <w:szCs w:val="24"/>
        </w:rPr>
        <w:t xml:space="preserve"> milliards (-12,2 % du PIB) en 2015 contre -2 174,2 milliards (-4,4 % du PIB) un an plus tôt. L’évolution du solde courant est imputable au creusement du déficit de la balance commerciale</w:t>
      </w:r>
      <w:r w:rsidRPr="00704614">
        <w:rPr>
          <w:rFonts w:asciiTheme="minorHAnsi" w:hAnsiTheme="minorHAnsi"/>
          <w:i/>
          <w:sz w:val="24"/>
          <w:szCs w:val="24"/>
        </w:rPr>
        <w:t>,</w:t>
      </w:r>
      <w:r w:rsidRPr="00704614">
        <w:rPr>
          <w:rFonts w:asciiTheme="minorHAnsi" w:hAnsiTheme="minorHAnsi"/>
          <w:sz w:val="24"/>
          <w:szCs w:val="24"/>
        </w:rPr>
        <w:t xml:space="preserve"> conjugué avec les déficits structurels de la</w:t>
      </w:r>
      <w:r w:rsidRPr="00704614">
        <w:rPr>
          <w:rFonts w:asciiTheme="minorHAnsi" w:hAnsiTheme="minorHAnsi"/>
          <w:i/>
          <w:sz w:val="24"/>
          <w:szCs w:val="24"/>
        </w:rPr>
        <w:t xml:space="preserve"> balance des revenus </w:t>
      </w:r>
      <w:r w:rsidRPr="00704614">
        <w:rPr>
          <w:rFonts w:asciiTheme="minorHAnsi" w:hAnsiTheme="minorHAnsi"/>
          <w:sz w:val="24"/>
          <w:szCs w:val="24"/>
        </w:rPr>
        <w:t>et de la</w:t>
      </w:r>
      <w:r w:rsidRPr="00704614">
        <w:rPr>
          <w:rFonts w:asciiTheme="minorHAnsi" w:hAnsiTheme="minorHAnsi"/>
          <w:i/>
          <w:sz w:val="24"/>
          <w:szCs w:val="24"/>
        </w:rPr>
        <w:t xml:space="preserve"> balance des services.</w:t>
      </w:r>
    </w:p>
    <w:p w:rsidR="00B12FC2" w:rsidRPr="00704614" w:rsidRDefault="00AD7D99" w:rsidP="00B12FC2">
      <w:pPr>
        <w:spacing w:after="120"/>
        <w:jc w:val="both"/>
        <w:rPr>
          <w:rFonts w:asciiTheme="minorHAnsi" w:hAnsiTheme="minorHAnsi"/>
          <w:sz w:val="24"/>
          <w:szCs w:val="24"/>
        </w:rPr>
      </w:pPr>
      <w:r w:rsidRPr="00AD7D99">
        <w:rPr>
          <w:rFonts w:asciiTheme="minorHAnsi" w:hAnsiTheme="minorHAnsi"/>
          <w:sz w:val="24"/>
          <w:szCs w:val="24"/>
        </w:rPr>
        <w:t>En effet, l’excédent commercial de 8 611,1 milliards en 2014 a sensiblement reculé à 3 108,5 milliards en 2015, en liaison avec la forte détérioration des termes de l’échange (-38,9 %), elle-même induite par une forte baisse des prix à l’exportation. Cette baisse des prix à l’exportation est la conséquence de la chute des cours du pétrole brut et du gaz naturel. Ainsi, les exportations ont diminué de 30,3 % à 14 752,9 milliards en 2015, en liaison avec une réduction des ventes notamment de pétrole brut (-37,6 % à 9 125,6 milliards), de méthanol et autres gaz (-44,4 % à 1 651,4 milliards) et de manganèse (-9,2 % à 342,4 milliards). Ce mouvement à la baisse serait toutefois atténué par l’augmentation des ventes de bois (+10,8 % à 834,1 milliards). Quant aux importations, elles ont baissé de 7,3 % pour s’établir à 11 644,3 milliards en 2015.</w:t>
      </w:r>
    </w:p>
    <w:p w:rsidR="00B12FC2" w:rsidRPr="00704614" w:rsidRDefault="00B12FC2" w:rsidP="00B12FC2">
      <w:pPr>
        <w:spacing w:after="120"/>
        <w:jc w:val="both"/>
        <w:rPr>
          <w:rFonts w:asciiTheme="minorHAnsi" w:hAnsiTheme="minorHAnsi"/>
          <w:sz w:val="24"/>
          <w:szCs w:val="24"/>
        </w:rPr>
      </w:pPr>
      <w:r w:rsidRPr="00704614">
        <w:rPr>
          <w:rFonts w:asciiTheme="minorHAnsi" w:hAnsiTheme="minorHAnsi"/>
          <w:sz w:val="24"/>
          <w:szCs w:val="24"/>
        </w:rPr>
        <w:t xml:space="preserve">Les déficits de la balance des services et des revenus sont demeurés élevés pendant que l’excédent du </w:t>
      </w:r>
      <w:r w:rsidRPr="00704614">
        <w:rPr>
          <w:rFonts w:asciiTheme="minorHAnsi" w:hAnsiTheme="minorHAnsi"/>
          <w:i/>
          <w:sz w:val="24"/>
          <w:szCs w:val="24"/>
        </w:rPr>
        <w:t>compte de capital et d’opérations financière</w:t>
      </w:r>
      <w:r w:rsidRPr="00704614">
        <w:rPr>
          <w:rFonts w:asciiTheme="minorHAnsi" w:hAnsiTheme="minorHAnsi"/>
          <w:sz w:val="24"/>
          <w:szCs w:val="24"/>
        </w:rPr>
        <w:t xml:space="preserve">s s’est contracté à 2 </w:t>
      </w:r>
      <w:r w:rsidR="004401CF" w:rsidRPr="00704614">
        <w:rPr>
          <w:rFonts w:asciiTheme="minorHAnsi" w:hAnsiTheme="minorHAnsi"/>
          <w:sz w:val="24"/>
          <w:szCs w:val="24"/>
        </w:rPr>
        <w:t>652</w:t>
      </w:r>
      <w:r w:rsidRPr="00704614">
        <w:rPr>
          <w:rFonts w:asciiTheme="minorHAnsi" w:hAnsiTheme="minorHAnsi"/>
          <w:sz w:val="24"/>
          <w:szCs w:val="24"/>
        </w:rPr>
        <w:t>,</w:t>
      </w:r>
      <w:r w:rsidR="004401CF" w:rsidRPr="00704614">
        <w:rPr>
          <w:rFonts w:asciiTheme="minorHAnsi" w:hAnsiTheme="minorHAnsi"/>
          <w:sz w:val="24"/>
          <w:szCs w:val="24"/>
        </w:rPr>
        <w:t>7</w:t>
      </w:r>
      <w:r w:rsidRPr="00704614">
        <w:rPr>
          <w:rFonts w:asciiTheme="minorHAnsi" w:hAnsiTheme="minorHAnsi"/>
          <w:sz w:val="24"/>
          <w:szCs w:val="24"/>
        </w:rPr>
        <w:t xml:space="preserve"> milliards en 2015 contre 3 249,9 milliards en 2014.</w:t>
      </w:r>
    </w:p>
    <w:p w:rsidR="00B12FC2" w:rsidRPr="00704614" w:rsidRDefault="00B12FC2" w:rsidP="00B12FC2">
      <w:pPr>
        <w:spacing w:after="120"/>
        <w:jc w:val="both"/>
        <w:rPr>
          <w:rFonts w:asciiTheme="minorHAnsi" w:hAnsiTheme="minorHAnsi"/>
          <w:sz w:val="24"/>
          <w:szCs w:val="24"/>
          <w:highlight w:val="yellow"/>
        </w:rPr>
      </w:pPr>
      <w:r w:rsidRPr="00704614">
        <w:rPr>
          <w:rFonts w:asciiTheme="minorHAnsi" w:hAnsiTheme="minorHAnsi"/>
          <w:sz w:val="24"/>
          <w:szCs w:val="24"/>
        </w:rPr>
        <w:t xml:space="preserve">En définitive, </w:t>
      </w:r>
      <w:r w:rsidRPr="00704614">
        <w:rPr>
          <w:rFonts w:asciiTheme="minorHAnsi" w:hAnsiTheme="minorHAnsi"/>
          <w:i/>
          <w:sz w:val="24"/>
          <w:szCs w:val="24"/>
        </w:rPr>
        <w:t xml:space="preserve">le déficit global de la balance des paiements </w:t>
      </w:r>
      <w:r w:rsidRPr="00704614">
        <w:rPr>
          <w:rFonts w:asciiTheme="minorHAnsi" w:hAnsiTheme="minorHAnsi"/>
          <w:sz w:val="24"/>
          <w:szCs w:val="24"/>
        </w:rPr>
        <w:t xml:space="preserve">s’est creusé, passant de 456,9 milliards en 2014 à </w:t>
      </w:r>
      <w:r w:rsidR="004401CF" w:rsidRPr="00704614">
        <w:rPr>
          <w:rFonts w:asciiTheme="minorHAnsi" w:hAnsiTheme="minorHAnsi"/>
          <w:sz w:val="24"/>
          <w:szCs w:val="24"/>
        </w:rPr>
        <w:t>2 795,8</w:t>
      </w:r>
      <w:r w:rsidRPr="00704614">
        <w:rPr>
          <w:rFonts w:asciiTheme="minorHAnsi" w:hAnsiTheme="minorHAnsi"/>
          <w:sz w:val="24"/>
          <w:szCs w:val="24"/>
        </w:rPr>
        <w:t xml:space="preserve"> milliards en 2015. Il a été couvert par une ponction sur les réserves officielles à hauteur 2 32</w:t>
      </w:r>
      <w:r w:rsidR="004401CF" w:rsidRPr="00704614">
        <w:rPr>
          <w:rFonts w:asciiTheme="minorHAnsi" w:hAnsiTheme="minorHAnsi"/>
          <w:sz w:val="24"/>
          <w:szCs w:val="24"/>
        </w:rPr>
        <w:t>1</w:t>
      </w:r>
      <w:r w:rsidRPr="00704614">
        <w:rPr>
          <w:rFonts w:asciiTheme="minorHAnsi" w:hAnsiTheme="minorHAnsi"/>
          <w:sz w:val="24"/>
          <w:szCs w:val="24"/>
        </w:rPr>
        <w:t xml:space="preserve"> milliards, et par un financement exceptionnel de </w:t>
      </w:r>
      <w:r w:rsidR="00C31823" w:rsidRPr="00704614">
        <w:rPr>
          <w:rFonts w:asciiTheme="minorHAnsi" w:hAnsiTheme="minorHAnsi"/>
          <w:sz w:val="24"/>
          <w:szCs w:val="24"/>
        </w:rPr>
        <w:t>474</w:t>
      </w:r>
      <w:r w:rsidRPr="00704614">
        <w:rPr>
          <w:rFonts w:asciiTheme="minorHAnsi" w:hAnsiTheme="minorHAnsi"/>
          <w:sz w:val="24"/>
          <w:szCs w:val="24"/>
        </w:rPr>
        <w:t>,</w:t>
      </w:r>
      <w:r w:rsidR="00C31823" w:rsidRPr="00704614">
        <w:rPr>
          <w:rFonts w:asciiTheme="minorHAnsi" w:hAnsiTheme="minorHAnsi"/>
          <w:sz w:val="24"/>
          <w:szCs w:val="24"/>
        </w:rPr>
        <w:t>8</w:t>
      </w:r>
      <w:r w:rsidRPr="00704614">
        <w:rPr>
          <w:rFonts w:asciiTheme="minorHAnsi" w:hAnsiTheme="minorHAnsi"/>
          <w:sz w:val="24"/>
          <w:szCs w:val="24"/>
        </w:rPr>
        <w:t xml:space="preserve"> milliards, dont 5</w:t>
      </w:r>
      <w:r w:rsidR="00C31823" w:rsidRPr="00704614">
        <w:rPr>
          <w:rFonts w:asciiTheme="minorHAnsi" w:hAnsiTheme="minorHAnsi"/>
          <w:sz w:val="24"/>
          <w:szCs w:val="24"/>
        </w:rPr>
        <w:t>16</w:t>
      </w:r>
      <w:r w:rsidRPr="00704614">
        <w:rPr>
          <w:rFonts w:asciiTheme="minorHAnsi" w:hAnsiTheme="minorHAnsi"/>
          <w:sz w:val="24"/>
          <w:szCs w:val="24"/>
        </w:rPr>
        <w:t xml:space="preserve"> milliards d’allègements de dette, suite essentiellement à l’atteinte du point d’achèvement de l’initiative des pays pauvres très endettés (PPTE) par le Tchad.</w:t>
      </w:r>
    </w:p>
    <w:p w:rsidR="00CB31DF" w:rsidRPr="00704614" w:rsidRDefault="00AD7D99" w:rsidP="00B12FC2">
      <w:pPr>
        <w:spacing w:after="120"/>
        <w:jc w:val="both"/>
        <w:rPr>
          <w:rFonts w:asciiTheme="minorHAnsi" w:hAnsiTheme="minorHAnsi"/>
          <w:sz w:val="24"/>
          <w:szCs w:val="24"/>
        </w:rPr>
      </w:pPr>
      <w:r w:rsidRPr="00AD7D99">
        <w:rPr>
          <w:rFonts w:asciiTheme="minorHAnsi" w:hAnsiTheme="minorHAnsi"/>
          <w:sz w:val="24"/>
          <w:szCs w:val="24"/>
        </w:rPr>
        <w:t xml:space="preserve">Par pays, le solde extérieur courant a été déficitaire dans tous les États membres : au Cameroun (-4,5 % du PIB contre -4,7 % du PIB un an auparavant), en </w:t>
      </w:r>
      <w:r w:rsidRPr="00AD7D99">
        <w:rPr>
          <w:rFonts w:asciiTheme="minorHAnsi" w:hAnsiTheme="minorHAnsi"/>
          <w:iCs/>
          <w:sz w:val="24"/>
          <w:szCs w:val="24"/>
        </w:rPr>
        <w:t>République Centrafricaine</w:t>
      </w:r>
      <w:r w:rsidRPr="00AD7D99">
        <w:rPr>
          <w:rFonts w:asciiTheme="minorHAnsi" w:hAnsiTheme="minorHAnsi"/>
          <w:sz w:val="24"/>
          <w:szCs w:val="24"/>
        </w:rPr>
        <w:t xml:space="preserve"> (-13,3 % du PIB contre -16,6 % du PIB en 2014), au Congo (-42,1 % du PIB contre -7% du PIB en 2014), au Gabon (-2,7 % du PIB en 2015 contre +3,7 % du PIB en 2014), en Guinée équatoriale (-17,4 % du PIB contre -3,2 % du PIB en 2014) et au Tchad (-15,9 % du PIB contre -12 % du PIB un an auparavant)</w:t>
      </w:r>
      <w:r w:rsidR="00B12FC2" w:rsidRPr="00704614">
        <w:rPr>
          <w:rFonts w:asciiTheme="minorHAnsi" w:hAnsiTheme="minorHAnsi"/>
          <w:sz w:val="24"/>
          <w:szCs w:val="24"/>
        </w:rPr>
        <w:t>.</w:t>
      </w:r>
    </w:p>
    <w:p w:rsidR="00CB31DF" w:rsidRPr="00704614" w:rsidRDefault="00CB31DF">
      <w:pPr>
        <w:rPr>
          <w:rFonts w:asciiTheme="minorHAnsi" w:hAnsiTheme="minorHAnsi"/>
          <w:sz w:val="24"/>
          <w:szCs w:val="24"/>
        </w:rPr>
      </w:pPr>
      <w:r w:rsidRPr="00704614">
        <w:rPr>
          <w:rFonts w:asciiTheme="minorHAnsi" w:hAnsiTheme="minorHAnsi"/>
          <w:sz w:val="24"/>
          <w:szCs w:val="24"/>
        </w:rPr>
        <w:br w:type="page"/>
      </w:r>
    </w:p>
    <w:p w:rsidR="00B12FC2" w:rsidRPr="00704614" w:rsidRDefault="00B12FC2" w:rsidP="00B12FC2">
      <w:pPr>
        <w:spacing w:after="120"/>
        <w:jc w:val="both"/>
        <w:rPr>
          <w:rFonts w:asciiTheme="minorHAnsi" w:hAnsiTheme="minorHAnsi"/>
          <w:sz w:val="24"/>
          <w:szCs w:val="24"/>
        </w:rPr>
      </w:pPr>
    </w:p>
    <w:tbl>
      <w:tblPr>
        <w:tblStyle w:val="Grilledutableau"/>
        <w:tblW w:w="9288" w:type="dxa"/>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4648"/>
        <w:gridCol w:w="4640"/>
      </w:tblGrid>
      <w:tr w:rsidR="00B12FC2" w:rsidRPr="00704614" w:rsidTr="00B76ABD">
        <w:tc>
          <w:tcPr>
            <w:tcW w:w="4648" w:type="dxa"/>
          </w:tcPr>
          <w:p w:rsidR="00B12FC2" w:rsidRPr="00704614" w:rsidRDefault="00AD7D99" w:rsidP="00CB31DF">
            <w:pPr>
              <w:pStyle w:val="Lgende"/>
              <w:ind w:left="142"/>
              <w:jc w:val="both"/>
              <w:rPr>
                <w:rFonts w:asciiTheme="minorHAnsi" w:hAnsiTheme="minorHAnsi"/>
                <w:color w:val="365F91" w:themeColor="accent1" w:themeShade="BF"/>
                <w:sz w:val="24"/>
                <w:szCs w:val="24"/>
              </w:rPr>
            </w:pPr>
            <w:bookmarkStart w:id="33" w:name="_Toc444335818"/>
            <w:r w:rsidRPr="00AD7D99">
              <w:rPr>
                <w:rFonts w:asciiTheme="minorHAnsi" w:hAnsiTheme="minorHAnsi"/>
                <w:color w:val="365F91" w:themeColor="accent1" w:themeShade="BF"/>
                <w:sz w:val="24"/>
                <w:szCs w:val="24"/>
              </w:rPr>
              <w:t xml:space="preserve">Graphique </w:t>
            </w:r>
            <w:r w:rsidRPr="00AD7D99">
              <w:rPr>
                <w:rFonts w:asciiTheme="minorHAnsi" w:hAnsiTheme="minorHAnsi"/>
                <w:color w:val="365F91" w:themeColor="accent1" w:themeShade="BF"/>
                <w:sz w:val="24"/>
                <w:szCs w:val="24"/>
              </w:rPr>
              <w:fldChar w:fldCharType="begin"/>
            </w:r>
            <w:r w:rsidRPr="00AD7D99">
              <w:rPr>
                <w:rFonts w:asciiTheme="minorHAnsi" w:hAnsiTheme="minorHAnsi"/>
                <w:color w:val="365F91" w:themeColor="accent1" w:themeShade="BF"/>
                <w:sz w:val="24"/>
                <w:szCs w:val="24"/>
              </w:rPr>
              <w:instrText xml:space="preserve">SEQ Graphique \* ARABIC </w:instrText>
            </w:r>
            <w:r w:rsidRPr="00AD7D99">
              <w:rPr>
                <w:rFonts w:asciiTheme="minorHAnsi" w:hAnsiTheme="minorHAnsi"/>
                <w:color w:val="365F91" w:themeColor="accent1" w:themeShade="BF"/>
                <w:sz w:val="24"/>
                <w:szCs w:val="24"/>
              </w:rPr>
              <w:fldChar w:fldCharType="separate"/>
            </w:r>
            <w:r w:rsidRPr="00AD7D99">
              <w:rPr>
                <w:rFonts w:asciiTheme="minorHAnsi" w:hAnsiTheme="minorHAnsi"/>
                <w:color w:val="365F91" w:themeColor="accent1" w:themeShade="BF"/>
                <w:sz w:val="24"/>
                <w:szCs w:val="24"/>
              </w:rPr>
              <w:t>15</w:t>
            </w:r>
            <w:r w:rsidRPr="00AD7D99">
              <w:rPr>
                <w:rFonts w:asciiTheme="minorHAnsi" w:hAnsiTheme="minorHAnsi"/>
                <w:color w:val="365F91" w:themeColor="accent1" w:themeShade="BF"/>
                <w:sz w:val="24"/>
                <w:szCs w:val="24"/>
              </w:rPr>
              <w:fldChar w:fldCharType="end"/>
            </w:r>
            <w:r w:rsidRPr="00AD7D99">
              <w:rPr>
                <w:rFonts w:asciiTheme="minorHAnsi" w:hAnsiTheme="minorHAnsi"/>
                <w:color w:val="365F91" w:themeColor="accent1" w:themeShade="BF"/>
                <w:sz w:val="24"/>
                <w:szCs w:val="24"/>
              </w:rPr>
              <w:t>: Commerce extérieur sous régional (en  % du PIB)</w:t>
            </w:r>
            <w:bookmarkEnd w:id="33"/>
          </w:p>
          <w:p w:rsidR="00B12FC2" w:rsidRPr="00704614" w:rsidRDefault="0004793F" w:rsidP="00B76ABD">
            <w:pPr>
              <w:spacing w:after="60"/>
              <w:jc w:val="both"/>
              <w:rPr>
                <w:rFonts w:asciiTheme="minorHAnsi" w:hAnsiTheme="minorHAnsi"/>
                <w:sz w:val="24"/>
                <w:szCs w:val="24"/>
              </w:rPr>
            </w:pPr>
            <w:r>
              <w:rPr>
                <w:rFonts w:asciiTheme="minorHAnsi" w:hAnsiTheme="minorHAnsi"/>
                <w:noProof/>
                <w:sz w:val="24"/>
                <w:szCs w:val="24"/>
                <w:lang w:val="de-DE" w:eastAsia="de-DE"/>
              </w:rPr>
              <w:drawing>
                <wp:inline distT="0" distB="0" distL="0" distR="0">
                  <wp:extent cx="2836545" cy="2374265"/>
                  <wp:effectExtent l="0" t="0" r="1905" b="6985"/>
                  <wp:docPr id="16"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c>
          <w:tcPr>
            <w:tcW w:w="4640" w:type="dxa"/>
          </w:tcPr>
          <w:p w:rsidR="00B12FC2" w:rsidRPr="00704614" w:rsidRDefault="00AD7D99" w:rsidP="00CB31DF">
            <w:pPr>
              <w:pStyle w:val="Lgende"/>
              <w:keepNext/>
              <w:spacing w:before="480" w:after="240"/>
              <w:ind w:left="142"/>
              <w:jc w:val="both"/>
              <w:outlineLvl w:val="0"/>
              <w:rPr>
                <w:rFonts w:asciiTheme="minorHAnsi" w:hAnsiTheme="minorHAnsi"/>
                <w:color w:val="365F91" w:themeColor="accent1" w:themeShade="BF"/>
                <w:sz w:val="24"/>
                <w:szCs w:val="24"/>
              </w:rPr>
            </w:pPr>
            <w:bookmarkStart w:id="34" w:name="_Toc444335819"/>
            <w:r w:rsidRPr="00AD7D99">
              <w:rPr>
                <w:rFonts w:asciiTheme="minorHAnsi" w:hAnsiTheme="minorHAnsi"/>
                <w:color w:val="365F91" w:themeColor="accent1" w:themeShade="BF"/>
                <w:sz w:val="24"/>
                <w:szCs w:val="24"/>
              </w:rPr>
              <w:t xml:space="preserve">Graphique </w:t>
            </w:r>
            <w:r w:rsidRPr="00AD7D99">
              <w:rPr>
                <w:rFonts w:asciiTheme="minorHAnsi" w:hAnsiTheme="minorHAnsi"/>
                <w:color w:val="365F91" w:themeColor="accent1" w:themeShade="BF"/>
                <w:sz w:val="24"/>
                <w:szCs w:val="24"/>
              </w:rPr>
              <w:fldChar w:fldCharType="begin"/>
            </w:r>
            <w:r w:rsidRPr="00AD7D99">
              <w:rPr>
                <w:rFonts w:asciiTheme="minorHAnsi" w:hAnsiTheme="minorHAnsi"/>
                <w:color w:val="365F91" w:themeColor="accent1" w:themeShade="BF"/>
                <w:sz w:val="24"/>
                <w:szCs w:val="24"/>
              </w:rPr>
              <w:instrText xml:space="preserve">SEQ Graphique \* ARABIC </w:instrText>
            </w:r>
            <w:r w:rsidRPr="00AD7D99">
              <w:rPr>
                <w:rFonts w:asciiTheme="minorHAnsi" w:hAnsiTheme="minorHAnsi"/>
                <w:color w:val="365F91" w:themeColor="accent1" w:themeShade="BF"/>
                <w:sz w:val="24"/>
                <w:szCs w:val="24"/>
              </w:rPr>
              <w:fldChar w:fldCharType="separate"/>
            </w:r>
            <w:r w:rsidRPr="00AD7D99">
              <w:rPr>
                <w:rFonts w:asciiTheme="minorHAnsi" w:hAnsiTheme="minorHAnsi"/>
                <w:color w:val="365F91" w:themeColor="accent1" w:themeShade="BF"/>
                <w:sz w:val="24"/>
                <w:szCs w:val="24"/>
              </w:rPr>
              <w:t>16</w:t>
            </w:r>
            <w:r w:rsidRPr="00AD7D99">
              <w:rPr>
                <w:rFonts w:asciiTheme="minorHAnsi" w:hAnsiTheme="minorHAnsi"/>
                <w:color w:val="365F91" w:themeColor="accent1" w:themeShade="BF"/>
                <w:sz w:val="24"/>
                <w:szCs w:val="24"/>
              </w:rPr>
              <w:fldChar w:fldCharType="end"/>
            </w:r>
            <w:r w:rsidRPr="00AD7D99">
              <w:rPr>
                <w:rFonts w:asciiTheme="minorHAnsi" w:hAnsiTheme="minorHAnsi"/>
                <w:color w:val="365F91" w:themeColor="accent1" w:themeShade="BF"/>
                <w:sz w:val="24"/>
                <w:szCs w:val="24"/>
              </w:rPr>
              <w:t>: Commerce extérieur sous régional (en  % du PIB)</w:t>
            </w:r>
            <w:bookmarkEnd w:id="34"/>
          </w:p>
          <w:p w:rsidR="00B12FC2" w:rsidRPr="00704614" w:rsidRDefault="0004793F" w:rsidP="00B76ABD">
            <w:pPr>
              <w:spacing w:after="60"/>
              <w:jc w:val="both"/>
              <w:rPr>
                <w:rFonts w:asciiTheme="minorHAnsi" w:hAnsiTheme="minorHAnsi"/>
                <w:sz w:val="24"/>
                <w:szCs w:val="24"/>
              </w:rPr>
            </w:pPr>
            <w:r>
              <w:rPr>
                <w:rFonts w:asciiTheme="minorHAnsi" w:hAnsiTheme="minorHAnsi"/>
                <w:noProof/>
                <w:sz w:val="24"/>
                <w:szCs w:val="24"/>
                <w:lang w:val="de-DE" w:eastAsia="de-DE"/>
              </w:rPr>
              <w:drawing>
                <wp:inline distT="0" distB="0" distL="0" distR="0">
                  <wp:extent cx="2854960" cy="2330476"/>
                  <wp:effectExtent l="0" t="0" r="2540" b="12700"/>
                  <wp:docPr id="17" name="Graphique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bl>
    <w:p w:rsidR="00B12FC2" w:rsidRPr="00704614" w:rsidRDefault="00B12FC2" w:rsidP="00B12FC2">
      <w:pPr>
        <w:spacing w:after="60"/>
        <w:jc w:val="both"/>
        <w:rPr>
          <w:rFonts w:asciiTheme="minorHAnsi" w:hAnsiTheme="minorHAnsi"/>
          <w:sz w:val="24"/>
          <w:szCs w:val="24"/>
        </w:rPr>
      </w:pPr>
    </w:p>
    <w:p w:rsidR="00B12FC2" w:rsidRPr="00704614" w:rsidRDefault="00B12FC2" w:rsidP="00B12FC2">
      <w:pPr>
        <w:spacing w:after="60"/>
        <w:jc w:val="both"/>
        <w:rPr>
          <w:rFonts w:asciiTheme="minorHAnsi" w:hAnsiTheme="minorHAnsi"/>
          <w:sz w:val="24"/>
          <w:szCs w:val="24"/>
        </w:rPr>
      </w:pPr>
      <w:r w:rsidRPr="00704614">
        <w:rPr>
          <w:rFonts w:asciiTheme="minorHAnsi" w:hAnsiTheme="minorHAnsi"/>
          <w:sz w:val="24"/>
          <w:szCs w:val="24"/>
        </w:rPr>
        <w:t xml:space="preserve">En ce qui concerne la </w:t>
      </w:r>
      <w:r w:rsidRPr="00704614">
        <w:rPr>
          <w:rFonts w:asciiTheme="minorHAnsi" w:hAnsiTheme="minorHAnsi"/>
          <w:b/>
          <w:sz w:val="24"/>
          <w:szCs w:val="24"/>
        </w:rPr>
        <w:t>dett</w:t>
      </w:r>
      <w:r w:rsidRPr="00C33E0F">
        <w:rPr>
          <w:rFonts w:asciiTheme="minorHAnsi" w:hAnsiTheme="minorHAnsi"/>
          <w:b/>
          <w:sz w:val="24"/>
          <w:szCs w:val="24"/>
        </w:rPr>
        <w:t xml:space="preserve">e publique extérieure, </w:t>
      </w:r>
      <w:r w:rsidRPr="001C509F">
        <w:rPr>
          <w:rFonts w:asciiTheme="minorHAnsi" w:hAnsiTheme="minorHAnsi"/>
          <w:bCs/>
          <w:sz w:val="24"/>
          <w:szCs w:val="24"/>
        </w:rPr>
        <w:t>l’encours de la dette rapporté au PIB est passé de 20,1 % en 2014 à 24,</w:t>
      </w:r>
      <w:r w:rsidR="00EE0D3A" w:rsidRPr="00704614">
        <w:rPr>
          <w:rFonts w:asciiTheme="minorHAnsi" w:hAnsiTheme="minorHAnsi"/>
          <w:bCs/>
          <w:sz w:val="24"/>
          <w:szCs w:val="24"/>
        </w:rPr>
        <w:t>9</w:t>
      </w:r>
      <w:r w:rsidRPr="00704614">
        <w:rPr>
          <w:rFonts w:asciiTheme="minorHAnsi" w:hAnsiTheme="minorHAnsi"/>
          <w:bCs/>
          <w:sz w:val="24"/>
          <w:szCs w:val="24"/>
        </w:rPr>
        <w:t xml:space="preserve"> % en 2015. Le service de la dette a représenté 1</w:t>
      </w:r>
      <w:r w:rsidR="00EE0D3A" w:rsidRPr="00704614">
        <w:rPr>
          <w:rFonts w:asciiTheme="minorHAnsi" w:hAnsiTheme="minorHAnsi"/>
          <w:bCs/>
          <w:sz w:val="24"/>
          <w:szCs w:val="24"/>
        </w:rPr>
        <w:t>4</w:t>
      </w:r>
      <w:r w:rsidRPr="00704614">
        <w:rPr>
          <w:rFonts w:asciiTheme="minorHAnsi" w:hAnsiTheme="minorHAnsi"/>
          <w:bCs/>
          <w:sz w:val="24"/>
          <w:szCs w:val="24"/>
        </w:rPr>
        <w:t>,</w:t>
      </w:r>
      <w:r w:rsidR="00EE0D3A" w:rsidRPr="00704614">
        <w:rPr>
          <w:rFonts w:asciiTheme="minorHAnsi" w:hAnsiTheme="minorHAnsi"/>
          <w:bCs/>
          <w:sz w:val="24"/>
          <w:szCs w:val="24"/>
        </w:rPr>
        <w:t>1</w:t>
      </w:r>
      <w:r w:rsidRPr="00704614">
        <w:rPr>
          <w:rFonts w:asciiTheme="minorHAnsi" w:hAnsiTheme="minorHAnsi"/>
          <w:bCs/>
          <w:sz w:val="24"/>
          <w:szCs w:val="24"/>
        </w:rPr>
        <w:t xml:space="preserve"> % des recettes budgétaires en 2015 contre 8,4 % en 2014 et, </w:t>
      </w:r>
      <w:r w:rsidR="00EE0D3A" w:rsidRPr="00704614">
        <w:rPr>
          <w:rFonts w:asciiTheme="minorHAnsi" w:hAnsiTheme="minorHAnsi"/>
          <w:bCs/>
          <w:sz w:val="24"/>
          <w:szCs w:val="24"/>
        </w:rPr>
        <w:t>7,</w:t>
      </w:r>
      <w:r w:rsidRPr="00704614">
        <w:rPr>
          <w:rFonts w:asciiTheme="minorHAnsi" w:hAnsiTheme="minorHAnsi"/>
          <w:bCs/>
          <w:sz w:val="24"/>
          <w:szCs w:val="24"/>
        </w:rPr>
        <w:t xml:space="preserve">9 % des </w:t>
      </w:r>
      <w:r w:rsidRPr="00704614">
        <w:rPr>
          <w:rFonts w:asciiTheme="minorHAnsi" w:hAnsiTheme="minorHAnsi"/>
          <w:sz w:val="24"/>
          <w:szCs w:val="24"/>
        </w:rPr>
        <w:t xml:space="preserve">exportations de biens et services </w:t>
      </w:r>
      <w:r w:rsidRPr="00704614">
        <w:rPr>
          <w:rFonts w:asciiTheme="minorHAnsi" w:hAnsiTheme="minorHAnsi"/>
          <w:bCs/>
          <w:sz w:val="24"/>
          <w:szCs w:val="24"/>
        </w:rPr>
        <w:t xml:space="preserve">en 2015 contre 4,4 % en 2014.  </w:t>
      </w:r>
    </w:p>
    <w:p w:rsidR="00B12FC2" w:rsidRPr="00704614" w:rsidRDefault="00B12FC2" w:rsidP="00B12FC2">
      <w:pPr>
        <w:spacing w:after="120"/>
        <w:jc w:val="both"/>
        <w:rPr>
          <w:rFonts w:asciiTheme="minorHAnsi" w:hAnsiTheme="minorHAnsi"/>
          <w:sz w:val="24"/>
          <w:szCs w:val="24"/>
        </w:rPr>
      </w:pPr>
      <w:r w:rsidRPr="00704614">
        <w:rPr>
          <w:rFonts w:asciiTheme="minorHAnsi" w:hAnsiTheme="minorHAnsi"/>
          <w:sz w:val="24"/>
          <w:szCs w:val="24"/>
        </w:rPr>
        <w:t xml:space="preserve">Au 31 décembre 2015, la </w:t>
      </w:r>
      <w:r w:rsidRPr="00704614">
        <w:rPr>
          <w:rFonts w:asciiTheme="minorHAnsi" w:hAnsiTheme="minorHAnsi"/>
          <w:b/>
          <w:sz w:val="24"/>
          <w:szCs w:val="24"/>
        </w:rPr>
        <w:t>situation monétaire</w:t>
      </w:r>
      <w:r w:rsidRPr="00704614">
        <w:rPr>
          <w:rFonts w:asciiTheme="minorHAnsi" w:hAnsiTheme="minorHAnsi"/>
          <w:sz w:val="24"/>
          <w:szCs w:val="24"/>
        </w:rPr>
        <w:t xml:space="preserve"> dans la CEMAC a été marquée par une baisse des avoirs e</w:t>
      </w:r>
      <w:bookmarkStart w:id="35" w:name="_GoBack"/>
      <w:bookmarkEnd w:id="35"/>
      <w:r w:rsidRPr="00704614">
        <w:rPr>
          <w:rFonts w:asciiTheme="minorHAnsi" w:hAnsiTheme="minorHAnsi"/>
          <w:sz w:val="24"/>
          <w:szCs w:val="24"/>
        </w:rPr>
        <w:t>xtérieurs nets, une dégradation de la position nette créditrice des États, un accroissement des crédits à l’économie, par conséquent une baisse de la masse monétaire.</w:t>
      </w:r>
    </w:p>
    <w:p w:rsidR="00B12FC2" w:rsidRPr="00704614" w:rsidRDefault="00B12FC2" w:rsidP="00B12FC2">
      <w:pPr>
        <w:spacing w:after="120"/>
        <w:jc w:val="both"/>
        <w:rPr>
          <w:rFonts w:asciiTheme="minorHAnsi" w:hAnsiTheme="minorHAnsi"/>
          <w:sz w:val="24"/>
          <w:szCs w:val="24"/>
        </w:rPr>
      </w:pPr>
      <w:r w:rsidRPr="00704614">
        <w:rPr>
          <w:rFonts w:asciiTheme="minorHAnsi" w:hAnsiTheme="minorHAnsi"/>
          <w:sz w:val="24"/>
          <w:szCs w:val="24"/>
        </w:rPr>
        <w:t>En effet, les avoirs extérieurs nets ont baissé de 2</w:t>
      </w:r>
      <w:r w:rsidR="00EE0D3A" w:rsidRPr="00704614">
        <w:rPr>
          <w:rFonts w:asciiTheme="minorHAnsi" w:hAnsiTheme="minorHAnsi"/>
          <w:sz w:val="24"/>
          <w:szCs w:val="24"/>
        </w:rPr>
        <w:t>7</w:t>
      </w:r>
      <w:r w:rsidRPr="00704614">
        <w:rPr>
          <w:rFonts w:asciiTheme="minorHAnsi" w:hAnsiTheme="minorHAnsi"/>
          <w:sz w:val="24"/>
          <w:szCs w:val="24"/>
        </w:rPr>
        <w:t xml:space="preserve"> % au 31 décembre 2015 à 5 </w:t>
      </w:r>
      <w:r w:rsidR="00EE0D3A" w:rsidRPr="00704614">
        <w:rPr>
          <w:rFonts w:asciiTheme="minorHAnsi" w:hAnsiTheme="minorHAnsi"/>
          <w:sz w:val="24"/>
          <w:szCs w:val="24"/>
        </w:rPr>
        <w:t>750</w:t>
      </w:r>
      <w:r w:rsidRPr="00704614">
        <w:rPr>
          <w:rFonts w:asciiTheme="minorHAnsi" w:hAnsiTheme="minorHAnsi"/>
          <w:sz w:val="24"/>
          <w:szCs w:val="24"/>
        </w:rPr>
        <w:t xml:space="preserve"> milliards contre 7 </w:t>
      </w:r>
      <w:r w:rsidR="00EE0D3A" w:rsidRPr="00704614">
        <w:rPr>
          <w:rFonts w:asciiTheme="minorHAnsi" w:hAnsiTheme="minorHAnsi"/>
          <w:sz w:val="24"/>
          <w:szCs w:val="24"/>
        </w:rPr>
        <w:t>878</w:t>
      </w:r>
      <w:r w:rsidRPr="00704614">
        <w:rPr>
          <w:rFonts w:asciiTheme="minorHAnsi" w:hAnsiTheme="minorHAnsi"/>
          <w:sz w:val="24"/>
          <w:szCs w:val="24"/>
        </w:rPr>
        <w:t>,</w:t>
      </w:r>
      <w:r w:rsidR="00EE0D3A" w:rsidRPr="00704614">
        <w:rPr>
          <w:rFonts w:asciiTheme="minorHAnsi" w:hAnsiTheme="minorHAnsi"/>
          <w:sz w:val="24"/>
          <w:szCs w:val="24"/>
        </w:rPr>
        <w:t>9</w:t>
      </w:r>
      <w:r w:rsidRPr="00704614">
        <w:rPr>
          <w:rFonts w:asciiTheme="minorHAnsi" w:hAnsiTheme="minorHAnsi"/>
          <w:sz w:val="24"/>
          <w:szCs w:val="24"/>
        </w:rPr>
        <w:t xml:space="preserve"> milliards au 31 décembre 2014, imputable à la chute des recettes d’exportation dans un contexte de recul des prix du pétrole brut. Ainsi, le taux de couverture extérieure de la monnaie s’est établi à </w:t>
      </w:r>
      <w:r w:rsidR="00EE0D3A" w:rsidRPr="00704614">
        <w:rPr>
          <w:rFonts w:asciiTheme="minorHAnsi" w:hAnsiTheme="minorHAnsi"/>
          <w:sz w:val="24"/>
          <w:szCs w:val="24"/>
        </w:rPr>
        <w:t>77</w:t>
      </w:r>
      <w:r w:rsidRPr="00704614">
        <w:rPr>
          <w:rFonts w:asciiTheme="minorHAnsi" w:hAnsiTheme="minorHAnsi"/>
          <w:sz w:val="24"/>
          <w:szCs w:val="24"/>
        </w:rPr>
        <w:t>,</w:t>
      </w:r>
      <w:r w:rsidR="00EE0D3A" w:rsidRPr="00704614">
        <w:rPr>
          <w:rFonts w:asciiTheme="minorHAnsi" w:hAnsiTheme="minorHAnsi"/>
          <w:sz w:val="24"/>
          <w:szCs w:val="24"/>
        </w:rPr>
        <w:t>1</w:t>
      </w:r>
      <w:r w:rsidRPr="00704614">
        <w:rPr>
          <w:rFonts w:asciiTheme="minorHAnsi" w:hAnsiTheme="minorHAnsi"/>
          <w:sz w:val="24"/>
          <w:szCs w:val="24"/>
        </w:rPr>
        <w:t xml:space="preserve"> % au 31 décembre 2015 contre 89,8 % un an plus tôt.</w:t>
      </w:r>
    </w:p>
    <w:p w:rsidR="00B12FC2" w:rsidRPr="00704614" w:rsidRDefault="00B12FC2" w:rsidP="00B12FC2">
      <w:pPr>
        <w:spacing w:after="120"/>
        <w:jc w:val="both"/>
        <w:rPr>
          <w:rFonts w:asciiTheme="minorHAnsi" w:hAnsiTheme="minorHAnsi"/>
          <w:sz w:val="24"/>
          <w:szCs w:val="24"/>
        </w:rPr>
      </w:pPr>
      <w:r w:rsidRPr="00704614">
        <w:rPr>
          <w:rFonts w:asciiTheme="minorHAnsi" w:hAnsiTheme="minorHAnsi"/>
          <w:sz w:val="24"/>
          <w:szCs w:val="24"/>
        </w:rPr>
        <w:t>La position nette créditrice des États vis-à-vis du système bancaire s’est dégradée à -</w:t>
      </w:r>
      <w:r w:rsidR="00EE0D3A" w:rsidRPr="00704614">
        <w:rPr>
          <w:rFonts w:asciiTheme="minorHAnsi" w:hAnsiTheme="minorHAnsi"/>
          <w:sz w:val="24"/>
          <w:szCs w:val="24"/>
        </w:rPr>
        <w:t>373</w:t>
      </w:r>
      <w:r w:rsidRPr="00704614">
        <w:rPr>
          <w:rFonts w:asciiTheme="minorHAnsi" w:hAnsiTheme="minorHAnsi"/>
          <w:sz w:val="24"/>
          <w:szCs w:val="24"/>
        </w:rPr>
        <w:t>,</w:t>
      </w:r>
      <w:r w:rsidR="00EE0D3A" w:rsidRPr="00704614">
        <w:rPr>
          <w:rFonts w:asciiTheme="minorHAnsi" w:hAnsiTheme="minorHAnsi"/>
          <w:sz w:val="24"/>
          <w:szCs w:val="24"/>
        </w:rPr>
        <w:t>7</w:t>
      </w:r>
      <w:r w:rsidRPr="00704614">
        <w:rPr>
          <w:rFonts w:asciiTheme="minorHAnsi" w:hAnsiTheme="minorHAnsi"/>
          <w:sz w:val="24"/>
          <w:szCs w:val="24"/>
        </w:rPr>
        <w:t xml:space="preserve"> milliards à fin décembre 2015, alors qu’elle était à -1 </w:t>
      </w:r>
      <w:r w:rsidR="00EE0D3A" w:rsidRPr="00704614">
        <w:rPr>
          <w:rFonts w:asciiTheme="minorHAnsi" w:hAnsiTheme="minorHAnsi"/>
          <w:sz w:val="24"/>
          <w:szCs w:val="24"/>
        </w:rPr>
        <w:t>798,1</w:t>
      </w:r>
      <w:r w:rsidRPr="00704614">
        <w:rPr>
          <w:rFonts w:asciiTheme="minorHAnsi" w:hAnsiTheme="minorHAnsi"/>
          <w:sz w:val="24"/>
          <w:szCs w:val="24"/>
        </w:rPr>
        <w:t xml:space="preserve"> milliards à fin décembre 2014, sous l’effet de la chute des recettes publiques, principalement d’origine pétrolière.</w:t>
      </w:r>
    </w:p>
    <w:p w:rsidR="00B12FC2" w:rsidRPr="00704614" w:rsidRDefault="00B12FC2" w:rsidP="00B12FC2">
      <w:pPr>
        <w:spacing w:after="120"/>
        <w:jc w:val="both"/>
        <w:rPr>
          <w:rFonts w:asciiTheme="minorHAnsi" w:hAnsiTheme="minorHAnsi"/>
          <w:sz w:val="24"/>
          <w:szCs w:val="24"/>
        </w:rPr>
      </w:pPr>
      <w:r w:rsidRPr="00704614">
        <w:rPr>
          <w:rFonts w:asciiTheme="minorHAnsi" w:hAnsiTheme="minorHAnsi"/>
          <w:sz w:val="24"/>
          <w:szCs w:val="24"/>
        </w:rPr>
        <w:t xml:space="preserve">Les crédits à l’économie se sont accrus de </w:t>
      </w:r>
      <w:r w:rsidR="00EE0D3A" w:rsidRPr="00704614">
        <w:rPr>
          <w:rFonts w:asciiTheme="minorHAnsi" w:hAnsiTheme="minorHAnsi"/>
          <w:sz w:val="24"/>
          <w:szCs w:val="24"/>
        </w:rPr>
        <w:t>9</w:t>
      </w:r>
      <w:r w:rsidRPr="00704614">
        <w:rPr>
          <w:rFonts w:asciiTheme="minorHAnsi" w:hAnsiTheme="minorHAnsi"/>
          <w:sz w:val="24"/>
          <w:szCs w:val="24"/>
        </w:rPr>
        <w:t>,</w:t>
      </w:r>
      <w:r w:rsidR="00EE0D3A" w:rsidRPr="00704614">
        <w:rPr>
          <w:rFonts w:asciiTheme="minorHAnsi" w:hAnsiTheme="minorHAnsi"/>
          <w:sz w:val="24"/>
          <w:szCs w:val="24"/>
        </w:rPr>
        <w:t>9</w:t>
      </w:r>
      <w:r w:rsidRPr="00704614">
        <w:rPr>
          <w:rFonts w:asciiTheme="minorHAnsi" w:hAnsiTheme="minorHAnsi"/>
          <w:sz w:val="24"/>
          <w:szCs w:val="24"/>
        </w:rPr>
        <w:t xml:space="preserve"> % à 7 </w:t>
      </w:r>
      <w:r w:rsidR="00EE0D3A" w:rsidRPr="00704614">
        <w:rPr>
          <w:rFonts w:asciiTheme="minorHAnsi" w:hAnsiTheme="minorHAnsi"/>
          <w:sz w:val="24"/>
          <w:szCs w:val="24"/>
        </w:rPr>
        <w:t>542</w:t>
      </w:r>
      <w:r w:rsidRPr="00704614">
        <w:rPr>
          <w:rFonts w:asciiTheme="minorHAnsi" w:hAnsiTheme="minorHAnsi"/>
          <w:sz w:val="24"/>
          <w:szCs w:val="24"/>
        </w:rPr>
        <w:t>,</w:t>
      </w:r>
      <w:r w:rsidR="00EE0D3A" w:rsidRPr="00704614">
        <w:rPr>
          <w:rFonts w:asciiTheme="minorHAnsi" w:hAnsiTheme="minorHAnsi"/>
          <w:sz w:val="24"/>
          <w:szCs w:val="24"/>
        </w:rPr>
        <w:t>1</w:t>
      </w:r>
      <w:r w:rsidRPr="00704614">
        <w:rPr>
          <w:rFonts w:asciiTheme="minorHAnsi" w:hAnsiTheme="minorHAnsi"/>
          <w:sz w:val="24"/>
          <w:szCs w:val="24"/>
        </w:rPr>
        <w:t xml:space="preserve"> milliards à fin décembre 2015, en rapport avec l'évolution de l'activité économique non pétrolière dans les États membres.</w:t>
      </w:r>
    </w:p>
    <w:p w:rsidR="00B12FC2" w:rsidRPr="00704614" w:rsidRDefault="00B12FC2" w:rsidP="00B12FC2">
      <w:pPr>
        <w:spacing w:after="120"/>
        <w:jc w:val="both"/>
        <w:rPr>
          <w:rFonts w:asciiTheme="minorHAnsi" w:hAnsiTheme="minorHAnsi"/>
          <w:sz w:val="24"/>
          <w:szCs w:val="24"/>
        </w:rPr>
      </w:pPr>
      <w:r w:rsidRPr="00704614">
        <w:rPr>
          <w:rFonts w:asciiTheme="minorHAnsi" w:hAnsiTheme="minorHAnsi"/>
          <w:sz w:val="24"/>
          <w:szCs w:val="24"/>
        </w:rPr>
        <w:t>Traduisant toutes ces évolutions, la masse monétaire a baissé de 1,</w:t>
      </w:r>
      <w:r w:rsidR="00EE0D3A" w:rsidRPr="00704614">
        <w:rPr>
          <w:rFonts w:asciiTheme="minorHAnsi" w:hAnsiTheme="minorHAnsi"/>
          <w:sz w:val="24"/>
          <w:szCs w:val="24"/>
        </w:rPr>
        <w:t>5</w:t>
      </w:r>
      <w:r w:rsidRPr="00704614">
        <w:rPr>
          <w:rFonts w:asciiTheme="minorHAnsi" w:hAnsiTheme="minorHAnsi"/>
          <w:sz w:val="24"/>
          <w:szCs w:val="24"/>
        </w:rPr>
        <w:t xml:space="preserve"> %, pour s’établir à 11 </w:t>
      </w:r>
      <w:r w:rsidR="00EE0D3A" w:rsidRPr="00704614">
        <w:rPr>
          <w:rFonts w:asciiTheme="minorHAnsi" w:hAnsiTheme="minorHAnsi"/>
          <w:sz w:val="24"/>
          <w:szCs w:val="24"/>
        </w:rPr>
        <w:t>222</w:t>
      </w:r>
      <w:r w:rsidRPr="00704614">
        <w:rPr>
          <w:rFonts w:asciiTheme="minorHAnsi" w:hAnsiTheme="minorHAnsi"/>
          <w:sz w:val="24"/>
          <w:szCs w:val="24"/>
        </w:rPr>
        <w:t>,</w:t>
      </w:r>
      <w:r w:rsidR="00EE0D3A" w:rsidRPr="00704614">
        <w:rPr>
          <w:rFonts w:asciiTheme="minorHAnsi" w:hAnsiTheme="minorHAnsi"/>
          <w:sz w:val="24"/>
          <w:szCs w:val="24"/>
        </w:rPr>
        <w:t>1</w:t>
      </w:r>
      <w:r w:rsidRPr="00704614">
        <w:rPr>
          <w:rFonts w:asciiTheme="minorHAnsi" w:hAnsiTheme="minorHAnsi"/>
          <w:sz w:val="24"/>
          <w:szCs w:val="24"/>
        </w:rPr>
        <w:t xml:space="preserve"> milliards au 31 décembre 2015.</w:t>
      </w:r>
    </w:p>
    <w:p w:rsidR="00B12FC2" w:rsidRPr="00704614" w:rsidRDefault="00B12FC2" w:rsidP="00B12FC2">
      <w:pPr>
        <w:spacing w:after="120"/>
        <w:jc w:val="both"/>
        <w:rPr>
          <w:rFonts w:asciiTheme="minorHAnsi" w:hAnsiTheme="minorHAnsi"/>
          <w:sz w:val="24"/>
          <w:szCs w:val="24"/>
        </w:rPr>
      </w:pPr>
    </w:p>
    <w:p w:rsidR="00B12FC2" w:rsidRPr="00704614" w:rsidRDefault="00B12FC2" w:rsidP="00B12FC2">
      <w:pPr>
        <w:spacing w:after="120"/>
        <w:jc w:val="both"/>
        <w:rPr>
          <w:rFonts w:asciiTheme="minorHAnsi" w:hAnsiTheme="minorHAnsi"/>
          <w:sz w:val="24"/>
          <w:szCs w:val="24"/>
        </w:rPr>
      </w:pPr>
      <w:r w:rsidRPr="00704614">
        <w:rPr>
          <w:rFonts w:asciiTheme="minorHAnsi" w:hAnsiTheme="minorHAnsi"/>
          <w:sz w:val="24"/>
          <w:szCs w:val="24"/>
        </w:rPr>
        <w:t xml:space="preserve">Les </w:t>
      </w:r>
      <w:r w:rsidRPr="00704614">
        <w:rPr>
          <w:rFonts w:asciiTheme="minorHAnsi" w:hAnsiTheme="minorHAnsi"/>
          <w:b/>
          <w:i/>
          <w:sz w:val="24"/>
          <w:szCs w:val="24"/>
        </w:rPr>
        <w:t>perspectives macroéconomiques de la CEMAC pour l’année 2016</w:t>
      </w:r>
      <w:r w:rsidRPr="00704614">
        <w:rPr>
          <w:rFonts w:asciiTheme="minorHAnsi" w:hAnsiTheme="minorHAnsi"/>
          <w:sz w:val="24"/>
          <w:szCs w:val="24"/>
        </w:rPr>
        <w:t xml:space="preserve"> se caractériseraient par un ralentissement économique, suite à l’effet cumulé de la baisse persistante des prix du pétrole brut, et de la contraction de la production des hydrocarbures dans la plupart des États membres de CEMAC. Cette contreperformance serait suivie d’une dégradation de tous les autres comptes économiques : les finances publiques, les comptes courants et la situation monétaire.</w:t>
      </w:r>
    </w:p>
    <w:p w:rsidR="00B12FC2" w:rsidRPr="00704614" w:rsidRDefault="00B12FC2" w:rsidP="00B12FC2">
      <w:pPr>
        <w:spacing w:after="120"/>
        <w:jc w:val="both"/>
        <w:rPr>
          <w:rFonts w:asciiTheme="minorHAnsi" w:hAnsiTheme="minorHAnsi"/>
          <w:sz w:val="24"/>
          <w:szCs w:val="24"/>
        </w:rPr>
      </w:pPr>
      <w:r w:rsidRPr="00704614">
        <w:rPr>
          <w:rFonts w:asciiTheme="minorHAnsi" w:hAnsiTheme="minorHAnsi"/>
          <w:sz w:val="24"/>
          <w:szCs w:val="24"/>
        </w:rPr>
        <w:lastRenderedPageBreak/>
        <w:t xml:space="preserve">Ainsi, le taux de croissance en termes réels s’établirait à </w:t>
      </w:r>
      <w:r w:rsidR="00FE3BFF" w:rsidRPr="00704614">
        <w:rPr>
          <w:rFonts w:asciiTheme="minorHAnsi" w:hAnsiTheme="minorHAnsi"/>
          <w:sz w:val="24"/>
          <w:szCs w:val="24"/>
        </w:rPr>
        <w:t>2</w:t>
      </w:r>
      <w:r w:rsidRPr="00704614">
        <w:rPr>
          <w:rFonts w:asciiTheme="minorHAnsi" w:hAnsiTheme="minorHAnsi"/>
          <w:sz w:val="24"/>
          <w:szCs w:val="24"/>
        </w:rPr>
        <w:t>,</w:t>
      </w:r>
      <w:r w:rsidR="00FE3BFF" w:rsidRPr="00704614">
        <w:rPr>
          <w:rFonts w:asciiTheme="minorHAnsi" w:hAnsiTheme="minorHAnsi"/>
          <w:sz w:val="24"/>
          <w:szCs w:val="24"/>
        </w:rPr>
        <w:t>7</w:t>
      </w:r>
      <w:r w:rsidRPr="00704614">
        <w:rPr>
          <w:rFonts w:asciiTheme="minorHAnsi" w:hAnsiTheme="minorHAnsi"/>
          <w:sz w:val="24"/>
          <w:szCs w:val="24"/>
        </w:rPr>
        <w:t xml:space="preserve"> % en 2016 contre 2,8 % un an plus tôt, provenant de -3</w:t>
      </w:r>
      <w:r w:rsidR="00FE3BFF" w:rsidRPr="00704614">
        <w:rPr>
          <w:rFonts w:asciiTheme="minorHAnsi" w:hAnsiTheme="minorHAnsi"/>
          <w:sz w:val="24"/>
          <w:szCs w:val="24"/>
        </w:rPr>
        <w:t>,1</w:t>
      </w:r>
      <w:r w:rsidRPr="00704614">
        <w:rPr>
          <w:rFonts w:asciiTheme="minorHAnsi" w:hAnsiTheme="minorHAnsi"/>
          <w:sz w:val="24"/>
          <w:szCs w:val="24"/>
        </w:rPr>
        <w:t xml:space="preserve"> % du secteur pétrolier et +4,</w:t>
      </w:r>
      <w:r w:rsidR="00FE3BFF" w:rsidRPr="00704614">
        <w:rPr>
          <w:rFonts w:asciiTheme="minorHAnsi" w:hAnsiTheme="minorHAnsi"/>
          <w:sz w:val="24"/>
          <w:szCs w:val="24"/>
        </w:rPr>
        <w:t>8</w:t>
      </w:r>
      <w:r w:rsidRPr="00704614">
        <w:rPr>
          <w:rFonts w:asciiTheme="minorHAnsi" w:hAnsiTheme="minorHAnsi"/>
          <w:sz w:val="24"/>
          <w:szCs w:val="24"/>
        </w:rPr>
        <w:t xml:space="preserve"> % du secteur non pétrolier.</w:t>
      </w:r>
    </w:p>
    <w:p w:rsidR="00B12FC2" w:rsidRPr="00704614" w:rsidRDefault="00B12FC2" w:rsidP="00B12FC2">
      <w:pPr>
        <w:spacing w:after="120"/>
        <w:jc w:val="both"/>
        <w:rPr>
          <w:rFonts w:asciiTheme="minorHAnsi" w:hAnsiTheme="minorHAnsi"/>
          <w:sz w:val="24"/>
          <w:szCs w:val="24"/>
        </w:rPr>
      </w:pPr>
      <w:r w:rsidRPr="00704614">
        <w:rPr>
          <w:rFonts w:asciiTheme="minorHAnsi" w:hAnsiTheme="minorHAnsi"/>
          <w:sz w:val="24"/>
          <w:szCs w:val="24"/>
        </w:rPr>
        <w:t>La baisse attendue de la production du secteur pétrolier affecterait la production du pétrole brut (4</w:t>
      </w:r>
      <w:r w:rsidR="00F91CF7" w:rsidRPr="00704614">
        <w:rPr>
          <w:rFonts w:asciiTheme="minorHAnsi" w:hAnsiTheme="minorHAnsi"/>
          <w:sz w:val="24"/>
          <w:szCs w:val="24"/>
        </w:rPr>
        <w:t>5,</w:t>
      </w:r>
      <w:r w:rsidRPr="00704614">
        <w:rPr>
          <w:rFonts w:asciiTheme="minorHAnsi" w:hAnsiTheme="minorHAnsi"/>
          <w:sz w:val="24"/>
          <w:szCs w:val="24"/>
        </w:rPr>
        <w:t xml:space="preserve">3 millions de tonnes contre 47,9 millions de tonnes en 2015, soit une contraction de </w:t>
      </w:r>
      <w:r w:rsidR="00F91CF7" w:rsidRPr="00704614">
        <w:rPr>
          <w:rFonts w:asciiTheme="minorHAnsi" w:hAnsiTheme="minorHAnsi"/>
          <w:sz w:val="24"/>
          <w:szCs w:val="24"/>
        </w:rPr>
        <w:t>5,4</w:t>
      </w:r>
      <w:r w:rsidRPr="00704614">
        <w:rPr>
          <w:rFonts w:asciiTheme="minorHAnsi" w:hAnsiTheme="minorHAnsi"/>
          <w:sz w:val="24"/>
          <w:szCs w:val="24"/>
        </w:rPr>
        <w:t xml:space="preserve"> %). La production du gaz enregistrerait une hausse de </w:t>
      </w:r>
      <w:r w:rsidR="00F91CF7" w:rsidRPr="00704614">
        <w:rPr>
          <w:rFonts w:asciiTheme="minorHAnsi" w:hAnsiTheme="minorHAnsi"/>
          <w:sz w:val="24"/>
          <w:szCs w:val="24"/>
        </w:rPr>
        <w:t>8,5</w:t>
      </w:r>
      <w:r w:rsidRPr="00704614">
        <w:rPr>
          <w:rFonts w:asciiTheme="minorHAnsi" w:hAnsiTheme="minorHAnsi"/>
          <w:sz w:val="24"/>
          <w:szCs w:val="24"/>
        </w:rPr>
        <w:t xml:space="preserve"> % à 8,</w:t>
      </w:r>
      <w:r w:rsidR="00F91CF7" w:rsidRPr="00704614">
        <w:rPr>
          <w:rFonts w:asciiTheme="minorHAnsi" w:hAnsiTheme="minorHAnsi"/>
          <w:sz w:val="24"/>
          <w:szCs w:val="24"/>
        </w:rPr>
        <w:t>8</w:t>
      </w:r>
      <w:r w:rsidRPr="00704614">
        <w:rPr>
          <w:rFonts w:asciiTheme="minorHAnsi" w:hAnsiTheme="minorHAnsi"/>
          <w:sz w:val="24"/>
          <w:szCs w:val="24"/>
        </w:rPr>
        <w:t xml:space="preserve"> millions de tonnes en 2016. Les tensions inflationnistes, quant à elles, resteraient contenues, avec un taux à 2,7 % en moyenne annuelle en 2016 contre 2,3 % en 2015.</w:t>
      </w:r>
    </w:p>
    <w:p w:rsidR="00B12FC2" w:rsidRPr="00704614" w:rsidRDefault="00B12FC2" w:rsidP="00B12FC2">
      <w:pPr>
        <w:spacing w:after="120"/>
        <w:jc w:val="both"/>
        <w:rPr>
          <w:rFonts w:asciiTheme="minorHAnsi" w:hAnsiTheme="minorHAnsi"/>
          <w:sz w:val="24"/>
          <w:szCs w:val="24"/>
        </w:rPr>
      </w:pPr>
      <w:r w:rsidRPr="00704614">
        <w:rPr>
          <w:rFonts w:asciiTheme="minorHAnsi" w:hAnsiTheme="minorHAnsi"/>
          <w:sz w:val="24"/>
          <w:szCs w:val="24"/>
        </w:rPr>
        <w:t>La gestion des finances publiques en 2016, pour sa part, conduirait à une détérioration des comptes publics, avec un solde budgétaire, hors dons, déficitaire de -7 % du PIB, contre -</w:t>
      </w:r>
      <w:r w:rsidR="00F91CF7" w:rsidRPr="00704614">
        <w:rPr>
          <w:rFonts w:asciiTheme="minorHAnsi" w:hAnsiTheme="minorHAnsi"/>
          <w:sz w:val="24"/>
          <w:szCs w:val="24"/>
        </w:rPr>
        <w:t>3</w:t>
      </w:r>
      <w:r w:rsidRPr="00704614">
        <w:rPr>
          <w:rFonts w:asciiTheme="minorHAnsi" w:hAnsiTheme="minorHAnsi"/>
          <w:sz w:val="24"/>
          <w:szCs w:val="24"/>
        </w:rPr>
        <w:t>,1 % du PIB l’année précédente. Cette dégradation des finances publiques procéderait essentiellement du recul des recettes pétrolières de 2</w:t>
      </w:r>
      <w:r w:rsidR="00F91CF7" w:rsidRPr="00704614">
        <w:rPr>
          <w:rFonts w:asciiTheme="minorHAnsi" w:hAnsiTheme="minorHAnsi"/>
          <w:sz w:val="24"/>
          <w:szCs w:val="24"/>
        </w:rPr>
        <w:t>5</w:t>
      </w:r>
      <w:r w:rsidRPr="00704614">
        <w:rPr>
          <w:rFonts w:asciiTheme="minorHAnsi" w:hAnsiTheme="minorHAnsi"/>
          <w:sz w:val="24"/>
          <w:szCs w:val="24"/>
        </w:rPr>
        <w:t xml:space="preserve">,2 %. Pour leur part, les dépenses budgétaires totales augmenteraient de </w:t>
      </w:r>
      <w:r w:rsidR="00F91CF7" w:rsidRPr="00704614">
        <w:rPr>
          <w:rFonts w:asciiTheme="minorHAnsi" w:hAnsiTheme="minorHAnsi"/>
          <w:sz w:val="24"/>
          <w:szCs w:val="24"/>
        </w:rPr>
        <w:t>14</w:t>
      </w:r>
      <w:r w:rsidRPr="00704614">
        <w:rPr>
          <w:rFonts w:asciiTheme="minorHAnsi" w:hAnsiTheme="minorHAnsi"/>
          <w:sz w:val="24"/>
          <w:szCs w:val="24"/>
        </w:rPr>
        <w:t>,</w:t>
      </w:r>
      <w:r w:rsidR="00F91CF7" w:rsidRPr="00704614">
        <w:rPr>
          <w:rFonts w:asciiTheme="minorHAnsi" w:hAnsiTheme="minorHAnsi"/>
          <w:sz w:val="24"/>
          <w:szCs w:val="24"/>
        </w:rPr>
        <w:t>1</w:t>
      </w:r>
      <w:r w:rsidRPr="00704614">
        <w:rPr>
          <w:rFonts w:asciiTheme="minorHAnsi" w:hAnsiTheme="minorHAnsi"/>
          <w:sz w:val="24"/>
          <w:szCs w:val="24"/>
        </w:rPr>
        <w:t xml:space="preserve"> %, sous l’influence de la hausse des dépenses en capital de </w:t>
      </w:r>
      <w:r w:rsidR="00F91CF7" w:rsidRPr="00704614">
        <w:rPr>
          <w:rFonts w:asciiTheme="minorHAnsi" w:hAnsiTheme="minorHAnsi"/>
          <w:sz w:val="24"/>
          <w:szCs w:val="24"/>
        </w:rPr>
        <w:t>20</w:t>
      </w:r>
      <w:r w:rsidRPr="00704614">
        <w:rPr>
          <w:rFonts w:asciiTheme="minorHAnsi" w:hAnsiTheme="minorHAnsi"/>
          <w:sz w:val="24"/>
          <w:szCs w:val="24"/>
        </w:rPr>
        <w:t>,</w:t>
      </w:r>
      <w:r w:rsidR="00F91CF7" w:rsidRPr="00704614">
        <w:rPr>
          <w:rFonts w:asciiTheme="minorHAnsi" w:hAnsiTheme="minorHAnsi"/>
          <w:sz w:val="24"/>
          <w:szCs w:val="24"/>
        </w:rPr>
        <w:t>7</w:t>
      </w:r>
      <w:r w:rsidRPr="00704614">
        <w:rPr>
          <w:rFonts w:asciiTheme="minorHAnsi" w:hAnsiTheme="minorHAnsi"/>
          <w:sz w:val="24"/>
          <w:szCs w:val="24"/>
        </w:rPr>
        <w:t xml:space="preserve"> %.  </w:t>
      </w:r>
    </w:p>
    <w:p w:rsidR="00B12FC2" w:rsidRPr="00704614" w:rsidRDefault="00B12FC2" w:rsidP="00B12FC2">
      <w:pPr>
        <w:spacing w:after="120"/>
        <w:jc w:val="both"/>
        <w:rPr>
          <w:rFonts w:asciiTheme="minorHAnsi" w:hAnsiTheme="minorHAnsi"/>
          <w:sz w:val="24"/>
          <w:szCs w:val="24"/>
        </w:rPr>
      </w:pPr>
      <w:r w:rsidRPr="00704614">
        <w:rPr>
          <w:rFonts w:asciiTheme="minorHAnsi" w:hAnsiTheme="minorHAnsi"/>
          <w:sz w:val="24"/>
          <w:szCs w:val="24"/>
        </w:rPr>
        <w:t>S’agissant des échanges extérieurs, le déficit du compte extérieur courant, hors dons, qui représentait 12,2 % du PIB en 2015 s’aggraverait à 14,6 % du PIB en 2016, sous l’effet d’un repli marqué de la balance commerciale en raison de la baisse combinée des cours du pétrole brut et de sa production.</w:t>
      </w:r>
    </w:p>
    <w:p w:rsidR="00B12FC2" w:rsidRPr="00704614" w:rsidRDefault="00B12FC2" w:rsidP="00B12FC2">
      <w:pPr>
        <w:spacing w:after="120"/>
        <w:jc w:val="both"/>
        <w:rPr>
          <w:rFonts w:asciiTheme="minorHAnsi" w:hAnsiTheme="minorHAnsi"/>
          <w:sz w:val="24"/>
          <w:szCs w:val="24"/>
        </w:rPr>
      </w:pPr>
      <w:r w:rsidRPr="00704614">
        <w:rPr>
          <w:rFonts w:asciiTheme="minorHAnsi" w:hAnsiTheme="minorHAnsi"/>
          <w:sz w:val="24"/>
          <w:szCs w:val="24"/>
        </w:rPr>
        <w:t>Enfin, la situation monétaire se caractériserait par un accroissement de la masse monétaire de 3,</w:t>
      </w:r>
      <w:r w:rsidR="00A46787" w:rsidRPr="00704614">
        <w:rPr>
          <w:rFonts w:asciiTheme="minorHAnsi" w:hAnsiTheme="minorHAnsi"/>
          <w:sz w:val="24"/>
          <w:szCs w:val="24"/>
        </w:rPr>
        <w:t>5</w:t>
      </w:r>
      <w:r w:rsidRPr="00704614">
        <w:rPr>
          <w:rFonts w:asciiTheme="minorHAnsi" w:hAnsiTheme="minorHAnsi"/>
          <w:sz w:val="24"/>
          <w:szCs w:val="24"/>
        </w:rPr>
        <w:t xml:space="preserve"> %, une diminution des avoirs extérieurs nets de 2</w:t>
      </w:r>
      <w:r w:rsidR="00A46787" w:rsidRPr="00704614">
        <w:rPr>
          <w:rFonts w:asciiTheme="minorHAnsi" w:hAnsiTheme="minorHAnsi"/>
          <w:sz w:val="24"/>
          <w:szCs w:val="24"/>
        </w:rPr>
        <w:t>5</w:t>
      </w:r>
      <w:r w:rsidRPr="00704614">
        <w:rPr>
          <w:rFonts w:asciiTheme="minorHAnsi" w:hAnsiTheme="minorHAnsi"/>
          <w:sz w:val="24"/>
          <w:szCs w:val="24"/>
        </w:rPr>
        <w:t>,</w:t>
      </w:r>
      <w:r w:rsidR="00A46787" w:rsidRPr="00704614">
        <w:rPr>
          <w:rFonts w:asciiTheme="minorHAnsi" w:hAnsiTheme="minorHAnsi"/>
          <w:sz w:val="24"/>
          <w:szCs w:val="24"/>
        </w:rPr>
        <w:t>5</w:t>
      </w:r>
      <w:r w:rsidRPr="00704614">
        <w:rPr>
          <w:rFonts w:asciiTheme="minorHAnsi" w:hAnsiTheme="minorHAnsi"/>
          <w:sz w:val="24"/>
          <w:szCs w:val="24"/>
        </w:rPr>
        <w:t xml:space="preserve"> %, une augmentation des crédits à l’économie de 1</w:t>
      </w:r>
      <w:r w:rsidR="00A46787" w:rsidRPr="00704614">
        <w:rPr>
          <w:rFonts w:asciiTheme="minorHAnsi" w:hAnsiTheme="minorHAnsi"/>
          <w:sz w:val="24"/>
          <w:szCs w:val="24"/>
        </w:rPr>
        <w:t>3,</w:t>
      </w:r>
      <w:r w:rsidRPr="00704614">
        <w:rPr>
          <w:rFonts w:asciiTheme="minorHAnsi" w:hAnsiTheme="minorHAnsi"/>
          <w:sz w:val="24"/>
          <w:szCs w:val="24"/>
        </w:rPr>
        <w:t>1 %, et une accentuation de la position nette débitrice de l’État de 239</w:t>
      </w:r>
      <w:r w:rsidR="00CB31DF" w:rsidRPr="00704614">
        <w:rPr>
          <w:rFonts w:asciiTheme="minorHAnsi" w:hAnsiTheme="minorHAnsi"/>
          <w:sz w:val="24"/>
          <w:szCs w:val="24"/>
        </w:rPr>
        <w:t> </w:t>
      </w:r>
      <w:r w:rsidRPr="00704614">
        <w:rPr>
          <w:rFonts w:asciiTheme="minorHAnsi" w:hAnsiTheme="minorHAnsi"/>
          <w:sz w:val="24"/>
          <w:szCs w:val="24"/>
        </w:rPr>
        <w:t>%. Ainsi, il ressortirait un taux de couverture extérieure de la monnaie de 60,</w:t>
      </w:r>
      <w:r w:rsidR="00A46787" w:rsidRPr="00704614">
        <w:rPr>
          <w:rFonts w:asciiTheme="minorHAnsi" w:hAnsiTheme="minorHAnsi"/>
          <w:sz w:val="24"/>
          <w:szCs w:val="24"/>
        </w:rPr>
        <w:t>5</w:t>
      </w:r>
      <w:r w:rsidRPr="00704614">
        <w:rPr>
          <w:rFonts w:asciiTheme="minorHAnsi" w:hAnsiTheme="minorHAnsi"/>
          <w:sz w:val="24"/>
          <w:szCs w:val="24"/>
        </w:rPr>
        <w:t xml:space="preserve"> % à fin décembre 2016 contre </w:t>
      </w:r>
      <w:r w:rsidR="00A46787" w:rsidRPr="00704614">
        <w:rPr>
          <w:rFonts w:asciiTheme="minorHAnsi" w:hAnsiTheme="minorHAnsi"/>
          <w:sz w:val="24"/>
          <w:szCs w:val="24"/>
        </w:rPr>
        <w:t>77</w:t>
      </w:r>
      <w:r w:rsidRPr="00704614">
        <w:rPr>
          <w:rFonts w:asciiTheme="minorHAnsi" w:hAnsiTheme="minorHAnsi"/>
          <w:sz w:val="24"/>
          <w:szCs w:val="24"/>
        </w:rPr>
        <w:t>,</w:t>
      </w:r>
      <w:r w:rsidR="00A46787" w:rsidRPr="00704614">
        <w:rPr>
          <w:rFonts w:asciiTheme="minorHAnsi" w:hAnsiTheme="minorHAnsi"/>
          <w:sz w:val="24"/>
          <w:szCs w:val="24"/>
        </w:rPr>
        <w:t>1</w:t>
      </w:r>
      <w:r w:rsidRPr="00704614">
        <w:rPr>
          <w:rFonts w:asciiTheme="minorHAnsi" w:hAnsiTheme="minorHAnsi"/>
          <w:sz w:val="24"/>
          <w:szCs w:val="24"/>
        </w:rPr>
        <w:t xml:space="preserve"> % à fin décembre 2015.</w:t>
      </w:r>
    </w:p>
    <w:p w:rsidR="00D956CC" w:rsidRPr="002A1A95" w:rsidRDefault="00D956CC" w:rsidP="00813AA3">
      <w:pPr>
        <w:spacing w:before="120" w:after="120"/>
        <w:ind w:right="-1"/>
        <w:jc w:val="both"/>
        <w:rPr>
          <w:rFonts w:asciiTheme="minorHAnsi" w:hAnsiTheme="minorHAnsi" w:cs="Arial"/>
          <w:sz w:val="24"/>
          <w:szCs w:val="24"/>
          <w:highlight w:val="yellow"/>
        </w:rPr>
      </w:pPr>
    </w:p>
    <w:p w:rsidR="00E25029" w:rsidRPr="00180D0D" w:rsidRDefault="001E6E8C" w:rsidP="007B1D8C">
      <w:pPr>
        <w:pStyle w:val="RAPPORTCONVNOMT2"/>
        <w:rPr>
          <w:rFonts w:asciiTheme="minorHAnsi" w:hAnsiTheme="minorHAnsi" w:cstheme="minorHAnsi"/>
          <w:b/>
        </w:rPr>
      </w:pPr>
      <w:bookmarkStart w:id="36" w:name="_Toc336261297"/>
      <w:bookmarkStart w:id="37" w:name="_Toc444614017"/>
      <w:bookmarkEnd w:id="36"/>
      <w:r w:rsidRPr="00180D0D">
        <w:rPr>
          <w:rFonts w:asciiTheme="minorHAnsi" w:hAnsiTheme="minorHAnsi" w:cstheme="minorHAnsi"/>
          <w:b/>
        </w:rPr>
        <w:t>Situation économique a</w:t>
      </w:r>
      <w:r w:rsidR="00E25029" w:rsidRPr="00180D0D">
        <w:rPr>
          <w:rFonts w:asciiTheme="minorHAnsi" w:hAnsiTheme="minorHAnsi" w:cstheme="minorHAnsi"/>
          <w:b/>
        </w:rPr>
        <w:t>ux Comores</w:t>
      </w:r>
      <w:bookmarkEnd w:id="37"/>
    </w:p>
    <w:p w:rsidR="00180D0D" w:rsidRPr="00180D0D" w:rsidRDefault="00180D0D" w:rsidP="00180D0D">
      <w:pPr>
        <w:spacing w:before="360" w:after="240"/>
        <w:rPr>
          <w:rFonts w:asciiTheme="minorHAnsi" w:hAnsiTheme="minorHAnsi" w:cstheme="minorHAnsi"/>
          <w:b/>
          <w:color w:val="1F497D" w:themeColor="text2"/>
          <w:sz w:val="24"/>
          <w:szCs w:val="24"/>
          <w:u w:val="single"/>
        </w:rPr>
      </w:pPr>
      <w:r w:rsidRPr="00180D0D">
        <w:rPr>
          <w:rFonts w:asciiTheme="minorHAnsi" w:hAnsiTheme="minorHAnsi" w:cstheme="minorHAnsi"/>
          <w:b/>
          <w:color w:val="1F497D" w:themeColor="text2"/>
          <w:sz w:val="24"/>
          <w:szCs w:val="24"/>
          <w:u w:val="single"/>
        </w:rPr>
        <w:t xml:space="preserve">Situation économique des Comores en 2015 </w:t>
      </w:r>
      <w:r w:rsidRPr="00180D0D">
        <w:rPr>
          <w:rFonts w:asciiTheme="minorHAnsi" w:hAnsiTheme="minorHAnsi" w:cstheme="minorHAnsi"/>
          <w:b/>
          <w:color w:val="1F497D" w:themeColor="text2"/>
          <w:sz w:val="24"/>
          <w:szCs w:val="24"/>
        </w:rPr>
        <w:t>(chiffres provisoires)</w:t>
      </w:r>
    </w:p>
    <w:p w:rsidR="00180D0D" w:rsidRPr="00180D0D" w:rsidRDefault="00180D0D" w:rsidP="00180D0D">
      <w:pPr>
        <w:spacing w:before="120"/>
        <w:jc w:val="both"/>
        <w:rPr>
          <w:rFonts w:asciiTheme="minorHAnsi" w:hAnsiTheme="minorHAnsi" w:cstheme="minorHAnsi"/>
          <w:sz w:val="24"/>
          <w:szCs w:val="24"/>
        </w:rPr>
      </w:pPr>
      <w:r w:rsidRPr="00180D0D">
        <w:rPr>
          <w:rFonts w:asciiTheme="minorHAnsi" w:hAnsiTheme="minorHAnsi" w:cstheme="minorHAnsi"/>
          <w:sz w:val="24"/>
          <w:szCs w:val="24"/>
        </w:rPr>
        <w:t xml:space="preserve">L’année 2015 a été marquée par la poursuite de la crise de l’énergie, l’accumulation des arriérés des salaires et la faible exécution du programme des investissements publics. Ces difficultés déjà observées dès le second semestre de l’année 2014, avaient conduit à la révision à la baisse du taux de croissance de l’année 2014 de 3,9% à 2,1%. </w:t>
      </w:r>
    </w:p>
    <w:p w:rsidR="00180D0D" w:rsidRPr="00180D0D" w:rsidRDefault="00180D0D" w:rsidP="00180D0D">
      <w:pPr>
        <w:spacing w:before="120"/>
        <w:jc w:val="both"/>
        <w:rPr>
          <w:rFonts w:asciiTheme="minorHAnsi" w:hAnsiTheme="minorHAnsi" w:cstheme="minorHAnsi"/>
          <w:sz w:val="24"/>
          <w:szCs w:val="24"/>
        </w:rPr>
      </w:pPr>
      <w:r w:rsidRPr="00180D0D">
        <w:rPr>
          <w:rFonts w:asciiTheme="minorHAnsi" w:hAnsiTheme="minorHAnsi" w:cstheme="minorHAnsi"/>
          <w:sz w:val="24"/>
          <w:szCs w:val="24"/>
        </w:rPr>
        <w:t>Au dernier trimestre de l’année 2015, des améliorations ont toutefois été enregistrées, grâce à des concours extérieurs et à la finalisation du processus de vente d’une licence de téléphonie mobile, qui ont permis :</w:t>
      </w:r>
    </w:p>
    <w:p w:rsidR="00180D0D" w:rsidRPr="00180D0D" w:rsidRDefault="00180D0D" w:rsidP="00C45F9E">
      <w:pPr>
        <w:numPr>
          <w:ilvl w:val="0"/>
          <w:numId w:val="15"/>
        </w:numPr>
        <w:spacing w:before="120"/>
        <w:jc w:val="both"/>
        <w:rPr>
          <w:rFonts w:asciiTheme="minorHAnsi" w:hAnsiTheme="minorHAnsi" w:cstheme="minorHAnsi"/>
          <w:sz w:val="24"/>
          <w:szCs w:val="24"/>
        </w:rPr>
      </w:pPr>
      <w:r w:rsidRPr="00180D0D">
        <w:rPr>
          <w:rFonts w:asciiTheme="minorHAnsi" w:hAnsiTheme="minorHAnsi" w:cstheme="minorHAnsi"/>
          <w:sz w:val="24"/>
          <w:szCs w:val="24"/>
        </w:rPr>
        <w:t xml:space="preserve">l’amélioration de la production de l’énergie, en liaison avec l’acquisition avec l’aide de la Banque africaine de développement (BAD), de trois nouveaux groupes d’une capacité totale de 5 MW (environ un tiers des capacités existantes), </w:t>
      </w:r>
    </w:p>
    <w:p w:rsidR="00180D0D" w:rsidRPr="00180D0D" w:rsidRDefault="00180D0D" w:rsidP="00C45F9E">
      <w:pPr>
        <w:numPr>
          <w:ilvl w:val="0"/>
          <w:numId w:val="15"/>
        </w:numPr>
        <w:spacing w:before="120"/>
        <w:jc w:val="both"/>
        <w:rPr>
          <w:rFonts w:asciiTheme="minorHAnsi" w:hAnsiTheme="minorHAnsi" w:cstheme="minorHAnsi"/>
          <w:sz w:val="24"/>
          <w:szCs w:val="24"/>
        </w:rPr>
      </w:pPr>
      <w:r w:rsidRPr="00180D0D">
        <w:rPr>
          <w:rFonts w:asciiTheme="minorHAnsi" w:hAnsiTheme="minorHAnsi" w:cstheme="minorHAnsi"/>
          <w:sz w:val="24"/>
          <w:szCs w:val="24"/>
        </w:rPr>
        <w:t>l’apurement des arriérés de salaires des fonctionnaires,</w:t>
      </w:r>
    </w:p>
    <w:p w:rsidR="00180D0D" w:rsidRPr="00180D0D" w:rsidRDefault="00180D0D" w:rsidP="00C45F9E">
      <w:pPr>
        <w:numPr>
          <w:ilvl w:val="0"/>
          <w:numId w:val="15"/>
        </w:numPr>
        <w:spacing w:before="120"/>
        <w:jc w:val="both"/>
        <w:rPr>
          <w:rFonts w:asciiTheme="minorHAnsi" w:hAnsiTheme="minorHAnsi" w:cstheme="minorHAnsi"/>
          <w:sz w:val="24"/>
          <w:szCs w:val="24"/>
        </w:rPr>
      </w:pPr>
      <w:r w:rsidRPr="00180D0D">
        <w:rPr>
          <w:rFonts w:asciiTheme="minorHAnsi" w:hAnsiTheme="minorHAnsi" w:cstheme="minorHAnsi"/>
          <w:sz w:val="24"/>
          <w:szCs w:val="24"/>
        </w:rPr>
        <w:t xml:space="preserve">la réduction de la dette intérieure de l’Etat,  </w:t>
      </w:r>
    </w:p>
    <w:p w:rsidR="00180D0D" w:rsidRPr="00180D0D" w:rsidRDefault="00180D0D" w:rsidP="00C45F9E">
      <w:pPr>
        <w:numPr>
          <w:ilvl w:val="0"/>
          <w:numId w:val="15"/>
        </w:numPr>
        <w:spacing w:before="120"/>
        <w:jc w:val="both"/>
        <w:rPr>
          <w:rFonts w:asciiTheme="minorHAnsi" w:hAnsiTheme="minorHAnsi" w:cstheme="minorHAnsi"/>
          <w:sz w:val="24"/>
          <w:szCs w:val="24"/>
        </w:rPr>
      </w:pPr>
      <w:r w:rsidRPr="00180D0D">
        <w:rPr>
          <w:rFonts w:asciiTheme="minorHAnsi" w:hAnsiTheme="minorHAnsi" w:cstheme="minorHAnsi"/>
          <w:sz w:val="24"/>
          <w:szCs w:val="24"/>
        </w:rPr>
        <w:t xml:space="preserve">le financement de quelques investissements publics déjà engagés. </w:t>
      </w:r>
    </w:p>
    <w:p w:rsidR="00180D0D" w:rsidRPr="00180D0D" w:rsidRDefault="00180D0D" w:rsidP="00180D0D">
      <w:pPr>
        <w:spacing w:before="120"/>
        <w:jc w:val="both"/>
        <w:rPr>
          <w:rFonts w:asciiTheme="minorHAnsi" w:hAnsiTheme="minorHAnsi" w:cstheme="minorHAnsi"/>
          <w:sz w:val="24"/>
          <w:szCs w:val="24"/>
        </w:rPr>
      </w:pPr>
      <w:r w:rsidRPr="00180D0D">
        <w:rPr>
          <w:rFonts w:asciiTheme="minorHAnsi" w:hAnsiTheme="minorHAnsi" w:cstheme="minorHAnsi"/>
          <w:sz w:val="24"/>
          <w:szCs w:val="24"/>
        </w:rPr>
        <w:t xml:space="preserve">En dépit de ces évolutions positives enregistrées pour l’essentiel en fin d’année, le taux de croissance du Pib pour l’année 2015 est resté faible, projeté à 1,2%, après  2,1% en 2014 et 3,5% en 2013. </w:t>
      </w:r>
    </w:p>
    <w:p w:rsidR="00180D0D" w:rsidRPr="00180D0D" w:rsidRDefault="00180D0D" w:rsidP="00180D0D">
      <w:pPr>
        <w:spacing w:before="120"/>
        <w:jc w:val="both"/>
        <w:rPr>
          <w:rFonts w:asciiTheme="minorHAnsi" w:hAnsiTheme="minorHAnsi" w:cstheme="minorHAnsi"/>
          <w:sz w:val="24"/>
          <w:szCs w:val="24"/>
        </w:rPr>
      </w:pPr>
      <w:r w:rsidRPr="00180D0D">
        <w:rPr>
          <w:rFonts w:asciiTheme="minorHAnsi" w:hAnsiTheme="minorHAnsi" w:cstheme="minorHAnsi"/>
          <w:sz w:val="24"/>
          <w:szCs w:val="24"/>
        </w:rPr>
        <w:lastRenderedPageBreak/>
        <w:t xml:space="preserve">Cette faible croissance est soutenue par la demande intérieure privée qui a bénéficié de l’accroissement de 16,1% des crédits à l’économie du système bancaire et des envois de fonds de la diaspora. </w:t>
      </w:r>
    </w:p>
    <w:p w:rsidR="00180D0D" w:rsidRPr="00180D0D" w:rsidRDefault="00180D0D" w:rsidP="00180D0D">
      <w:pPr>
        <w:autoSpaceDE w:val="0"/>
        <w:autoSpaceDN w:val="0"/>
        <w:adjustRightInd w:val="0"/>
        <w:spacing w:before="120"/>
        <w:jc w:val="both"/>
        <w:rPr>
          <w:rFonts w:asciiTheme="minorHAnsi" w:hAnsiTheme="minorHAnsi" w:cstheme="minorHAnsi"/>
          <w:sz w:val="24"/>
          <w:szCs w:val="24"/>
        </w:rPr>
      </w:pPr>
      <w:r w:rsidRPr="00180D0D">
        <w:rPr>
          <w:rFonts w:asciiTheme="minorHAnsi" w:hAnsiTheme="minorHAnsi" w:cstheme="minorHAnsi"/>
          <w:sz w:val="24"/>
          <w:szCs w:val="24"/>
        </w:rPr>
        <w:t>L’activité économique s’est déroulée dans un contexte d’évolution contenue du niveau général des prix. Les chiffres communiqués par l’</w:t>
      </w:r>
      <w:r w:rsidRPr="00180D0D">
        <w:rPr>
          <w:rFonts w:asciiTheme="minorHAnsi" w:hAnsiTheme="minorHAnsi" w:cstheme="minorHAnsi"/>
          <w:color w:val="222222"/>
          <w:sz w:val="24"/>
          <w:szCs w:val="24"/>
        </w:rPr>
        <w:t xml:space="preserve">Institut National de la Statistique et des </w:t>
      </w:r>
      <w:r w:rsidR="00BE1DD8" w:rsidRPr="00180D0D">
        <w:rPr>
          <w:rFonts w:asciiTheme="minorHAnsi" w:hAnsiTheme="minorHAnsi" w:cstheme="minorHAnsi"/>
          <w:color w:val="222222"/>
          <w:sz w:val="24"/>
          <w:szCs w:val="24"/>
        </w:rPr>
        <w:t>Études</w:t>
      </w:r>
      <w:r w:rsidRPr="00180D0D">
        <w:rPr>
          <w:rFonts w:asciiTheme="minorHAnsi" w:hAnsiTheme="minorHAnsi" w:cstheme="minorHAnsi"/>
          <w:color w:val="222222"/>
          <w:sz w:val="24"/>
          <w:szCs w:val="24"/>
        </w:rPr>
        <w:t xml:space="preserve"> </w:t>
      </w:r>
      <w:r w:rsidR="00BE1DD8" w:rsidRPr="00180D0D">
        <w:rPr>
          <w:rFonts w:asciiTheme="minorHAnsi" w:hAnsiTheme="minorHAnsi" w:cstheme="minorHAnsi"/>
          <w:color w:val="222222"/>
          <w:sz w:val="24"/>
          <w:szCs w:val="24"/>
        </w:rPr>
        <w:t>Économiques</w:t>
      </w:r>
      <w:r w:rsidRPr="00180D0D">
        <w:rPr>
          <w:rFonts w:asciiTheme="minorHAnsi" w:hAnsiTheme="minorHAnsi" w:cstheme="minorHAnsi"/>
          <w:color w:val="222222"/>
          <w:sz w:val="24"/>
          <w:szCs w:val="24"/>
        </w:rPr>
        <w:t xml:space="preserve"> et Démographiques (</w:t>
      </w:r>
      <w:r w:rsidRPr="00180D0D">
        <w:rPr>
          <w:rFonts w:asciiTheme="minorHAnsi" w:hAnsiTheme="minorHAnsi" w:cstheme="minorHAnsi"/>
          <w:sz w:val="24"/>
          <w:szCs w:val="24"/>
        </w:rPr>
        <w:t>INSEED) affichent  </w:t>
      </w:r>
      <w:r w:rsidRPr="00180D0D">
        <w:rPr>
          <w:rFonts w:asciiTheme="minorHAnsi" w:hAnsiTheme="minorHAnsi" w:cstheme="minorHAnsi"/>
          <w:b/>
          <w:bCs/>
          <w:sz w:val="24"/>
          <w:szCs w:val="24"/>
        </w:rPr>
        <w:t>un taux d’inflation moyen de 1,3% pour l’année 2015</w:t>
      </w:r>
      <w:r w:rsidRPr="00180D0D">
        <w:rPr>
          <w:rFonts w:asciiTheme="minorHAnsi" w:hAnsiTheme="minorHAnsi" w:cstheme="minorHAnsi"/>
          <w:sz w:val="24"/>
          <w:szCs w:val="24"/>
        </w:rPr>
        <w:t>, en liaison avec la bonne production agricole et, dans une moindre mesure, avec l’impact de la baisse du cours du pétrole sur les coûts de fret, atténué par un  taux de change défavorable du Franc Comorien par rapport au Dollar.</w:t>
      </w:r>
    </w:p>
    <w:p w:rsidR="00180D0D" w:rsidRPr="00180D0D" w:rsidRDefault="00180D0D" w:rsidP="00180D0D">
      <w:pPr>
        <w:tabs>
          <w:tab w:val="num" w:pos="360"/>
        </w:tabs>
        <w:spacing w:before="360" w:after="240"/>
        <w:rPr>
          <w:rFonts w:asciiTheme="minorHAnsi" w:hAnsiTheme="minorHAnsi" w:cstheme="minorHAnsi"/>
          <w:b/>
          <w:color w:val="1F497D" w:themeColor="text2"/>
          <w:sz w:val="24"/>
          <w:szCs w:val="24"/>
          <w:u w:val="single"/>
        </w:rPr>
      </w:pPr>
      <w:bookmarkStart w:id="38" w:name="_Toc223500231"/>
      <w:bookmarkStart w:id="39" w:name="_Toc258064786"/>
      <w:r w:rsidRPr="00180D0D">
        <w:rPr>
          <w:rFonts w:asciiTheme="minorHAnsi" w:hAnsiTheme="minorHAnsi" w:cstheme="minorHAnsi"/>
          <w:b/>
          <w:color w:val="1F497D" w:themeColor="text2"/>
          <w:sz w:val="24"/>
          <w:szCs w:val="24"/>
          <w:u w:val="single"/>
        </w:rPr>
        <w:t>Finances publiques</w:t>
      </w:r>
      <w:bookmarkEnd w:id="38"/>
      <w:bookmarkEnd w:id="39"/>
    </w:p>
    <w:p w:rsidR="00180D0D" w:rsidRPr="00180D0D" w:rsidRDefault="00180D0D" w:rsidP="00180D0D">
      <w:pPr>
        <w:spacing w:before="120" w:after="120"/>
        <w:jc w:val="both"/>
        <w:rPr>
          <w:rFonts w:asciiTheme="minorHAnsi" w:hAnsiTheme="minorHAnsi" w:cstheme="minorHAnsi"/>
          <w:sz w:val="24"/>
          <w:szCs w:val="24"/>
        </w:rPr>
      </w:pPr>
      <w:r w:rsidRPr="00180D0D">
        <w:rPr>
          <w:rFonts w:asciiTheme="minorHAnsi" w:hAnsiTheme="minorHAnsi" w:cstheme="minorHAnsi"/>
          <w:sz w:val="24"/>
          <w:szCs w:val="24"/>
        </w:rPr>
        <w:t>Dans le domaine des finances publiques, les principaux soldes budgétaires se sont améliorés en fin d’année :</w:t>
      </w:r>
    </w:p>
    <w:p w:rsidR="00180D0D" w:rsidRPr="00180D0D" w:rsidRDefault="00180D0D" w:rsidP="00C45F9E">
      <w:pPr>
        <w:numPr>
          <w:ilvl w:val="0"/>
          <w:numId w:val="17"/>
        </w:numPr>
        <w:spacing w:before="60"/>
        <w:jc w:val="both"/>
        <w:rPr>
          <w:rFonts w:asciiTheme="minorHAnsi" w:hAnsiTheme="minorHAnsi" w:cstheme="minorHAnsi"/>
          <w:sz w:val="24"/>
          <w:szCs w:val="24"/>
        </w:rPr>
      </w:pPr>
      <w:r w:rsidRPr="00180D0D">
        <w:rPr>
          <w:rFonts w:asciiTheme="minorHAnsi" w:hAnsiTheme="minorHAnsi" w:cstheme="minorHAnsi"/>
          <w:sz w:val="24"/>
          <w:szCs w:val="24"/>
        </w:rPr>
        <w:t>Le solde primaire, après deux années déficitaires consécutives, ressort excédentaire à un peu plus de 0,6 million FC, représentant 0,2% du PIB, contre des déficits de 2,1% et de 1,1% respectivement en 2014 et en 2013,</w:t>
      </w:r>
    </w:p>
    <w:p w:rsidR="00180D0D" w:rsidRPr="00180D0D" w:rsidRDefault="00180D0D" w:rsidP="00C45F9E">
      <w:pPr>
        <w:numPr>
          <w:ilvl w:val="0"/>
          <w:numId w:val="17"/>
        </w:numPr>
        <w:spacing w:before="60"/>
        <w:jc w:val="both"/>
        <w:rPr>
          <w:rFonts w:asciiTheme="minorHAnsi" w:hAnsiTheme="minorHAnsi" w:cstheme="minorHAnsi"/>
          <w:sz w:val="24"/>
          <w:szCs w:val="24"/>
        </w:rPr>
      </w:pPr>
      <w:r w:rsidRPr="00180D0D">
        <w:rPr>
          <w:rFonts w:asciiTheme="minorHAnsi" w:hAnsiTheme="minorHAnsi" w:cstheme="minorHAnsi"/>
          <w:sz w:val="24"/>
          <w:szCs w:val="24"/>
        </w:rPr>
        <w:t>Le solde budgétaire de base s’améliore également, s’établissant à un déficit de 1,5% du PIB, après des déficits de 2,2% en 2014 et de 1,9% en 2013,</w:t>
      </w:r>
    </w:p>
    <w:p w:rsidR="00180D0D" w:rsidRPr="00180D0D" w:rsidRDefault="00180D0D" w:rsidP="00C45F9E">
      <w:pPr>
        <w:numPr>
          <w:ilvl w:val="0"/>
          <w:numId w:val="17"/>
        </w:numPr>
        <w:spacing w:before="60"/>
        <w:jc w:val="both"/>
        <w:rPr>
          <w:rFonts w:asciiTheme="minorHAnsi" w:hAnsiTheme="minorHAnsi" w:cstheme="minorHAnsi"/>
          <w:sz w:val="24"/>
          <w:szCs w:val="24"/>
        </w:rPr>
      </w:pPr>
      <w:r w:rsidRPr="00180D0D">
        <w:rPr>
          <w:rFonts w:asciiTheme="minorHAnsi" w:hAnsiTheme="minorHAnsi" w:cstheme="minorHAnsi"/>
          <w:sz w:val="24"/>
          <w:szCs w:val="24"/>
        </w:rPr>
        <w:t>Le déficit du solde global hors dons se résorbe légèrement, pour s’établir à 9% du PIB après 10,5% en 2014 et 8,6% en 2013,</w:t>
      </w:r>
    </w:p>
    <w:p w:rsidR="00180D0D" w:rsidRPr="00180D0D" w:rsidRDefault="00180D0D" w:rsidP="00C45F9E">
      <w:pPr>
        <w:numPr>
          <w:ilvl w:val="0"/>
          <w:numId w:val="17"/>
        </w:numPr>
        <w:spacing w:before="60"/>
        <w:jc w:val="both"/>
        <w:rPr>
          <w:rFonts w:asciiTheme="minorHAnsi" w:hAnsiTheme="minorHAnsi" w:cstheme="minorHAnsi"/>
          <w:sz w:val="24"/>
          <w:szCs w:val="24"/>
        </w:rPr>
      </w:pPr>
      <w:r w:rsidRPr="00180D0D">
        <w:rPr>
          <w:rFonts w:asciiTheme="minorHAnsi" w:hAnsiTheme="minorHAnsi" w:cstheme="minorHAnsi"/>
          <w:sz w:val="24"/>
          <w:szCs w:val="24"/>
        </w:rPr>
        <w:t>Le ratio de l’endettement public s’améliore également, avec un taux de 21,3% du PIB après 25,9% en 2014 et 26,3% en 2013.</w:t>
      </w:r>
    </w:p>
    <w:p w:rsidR="00180D0D" w:rsidRPr="00180D0D" w:rsidRDefault="00180D0D" w:rsidP="00180D0D">
      <w:pPr>
        <w:spacing w:before="120"/>
        <w:jc w:val="both"/>
        <w:rPr>
          <w:rFonts w:asciiTheme="minorHAnsi" w:hAnsiTheme="minorHAnsi" w:cstheme="minorHAnsi"/>
          <w:sz w:val="24"/>
          <w:szCs w:val="24"/>
        </w:rPr>
      </w:pPr>
      <w:r w:rsidRPr="00180D0D">
        <w:rPr>
          <w:rFonts w:asciiTheme="minorHAnsi" w:hAnsiTheme="minorHAnsi" w:cstheme="minorHAnsi"/>
          <w:sz w:val="24"/>
          <w:szCs w:val="24"/>
        </w:rPr>
        <w:t>Les projections pour la fin de l’année 2015 ont été arrêtées comme suit :</w:t>
      </w:r>
    </w:p>
    <w:p w:rsidR="00180D0D" w:rsidRPr="00180D0D" w:rsidRDefault="00180D0D" w:rsidP="00C45F9E">
      <w:pPr>
        <w:numPr>
          <w:ilvl w:val="0"/>
          <w:numId w:val="14"/>
        </w:numPr>
        <w:autoSpaceDN w:val="0"/>
        <w:spacing w:before="120"/>
        <w:ind w:left="426" w:hanging="426"/>
        <w:jc w:val="both"/>
        <w:rPr>
          <w:rFonts w:asciiTheme="minorHAnsi" w:hAnsiTheme="minorHAnsi" w:cstheme="minorHAnsi"/>
          <w:kern w:val="1"/>
          <w:sz w:val="24"/>
          <w:szCs w:val="24"/>
        </w:rPr>
      </w:pPr>
      <w:r w:rsidRPr="00180D0D">
        <w:rPr>
          <w:rFonts w:asciiTheme="minorHAnsi" w:hAnsiTheme="minorHAnsi" w:cstheme="minorHAnsi"/>
          <w:b/>
          <w:kern w:val="1"/>
          <w:sz w:val="24"/>
          <w:szCs w:val="24"/>
        </w:rPr>
        <w:t>une hausse de 24,3% des recettes publiques internes</w:t>
      </w:r>
      <w:r w:rsidRPr="00180D0D">
        <w:rPr>
          <w:rFonts w:asciiTheme="minorHAnsi" w:hAnsiTheme="minorHAnsi" w:cstheme="minorHAnsi"/>
          <w:kern w:val="1"/>
          <w:sz w:val="24"/>
          <w:szCs w:val="24"/>
        </w:rPr>
        <w:t xml:space="preserve">, projetées à 45,7 milliards FC contre une réalisation de 36,8 milliards FC en 2014, dont : </w:t>
      </w:r>
    </w:p>
    <w:p w:rsidR="00180D0D" w:rsidRPr="00180D0D" w:rsidRDefault="00180D0D" w:rsidP="00C45F9E">
      <w:pPr>
        <w:numPr>
          <w:ilvl w:val="3"/>
          <w:numId w:val="14"/>
        </w:numPr>
        <w:autoSpaceDN w:val="0"/>
        <w:jc w:val="both"/>
        <w:rPr>
          <w:rFonts w:asciiTheme="minorHAnsi" w:hAnsiTheme="minorHAnsi" w:cstheme="minorHAnsi"/>
          <w:kern w:val="1"/>
          <w:sz w:val="24"/>
          <w:szCs w:val="24"/>
        </w:rPr>
      </w:pPr>
      <w:r w:rsidRPr="00180D0D">
        <w:rPr>
          <w:rFonts w:asciiTheme="minorHAnsi" w:hAnsiTheme="minorHAnsi" w:cstheme="minorHAnsi"/>
          <w:kern w:val="1"/>
          <w:sz w:val="24"/>
          <w:szCs w:val="24"/>
        </w:rPr>
        <w:t>une hausse de 2% des recettes fiscales : 30,5 milliards FC contre 29,5 milliards FC en 2014,</w:t>
      </w:r>
    </w:p>
    <w:p w:rsidR="00180D0D" w:rsidRPr="00180D0D" w:rsidRDefault="00180D0D" w:rsidP="00C45F9E">
      <w:pPr>
        <w:numPr>
          <w:ilvl w:val="3"/>
          <w:numId w:val="14"/>
        </w:numPr>
        <w:autoSpaceDN w:val="0"/>
        <w:jc w:val="both"/>
        <w:rPr>
          <w:rFonts w:asciiTheme="minorHAnsi" w:hAnsiTheme="minorHAnsi" w:cstheme="minorHAnsi"/>
          <w:kern w:val="1"/>
          <w:sz w:val="24"/>
          <w:szCs w:val="24"/>
        </w:rPr>
      </w:pPr>
      <w:r w:rsidRPr="00180D0D">
        <w:rPr>
          <w:rFonts w:asciiTheme="minorHAnsi" w:hAnsiTheme="minorHAnsi" w:cstheme="minorHAnsi"/>
          <w:kern w:val="1"/>
          <w:sz w:val="24"/>
          <w:szCs w:val="24"/>
        </w:rPr>
        <w:t>un doublement des recettes non fiscales de 6,8 milliards FC en 2014 à 15,2 milliards FC (+122,5%),  en relation avec la vente de la licence de téléphonie mobile,</w:t>
      </w:r>
    </w:p>
    <w:p w:rsidR="00180D0D" w:rsidRPr="00180D0D" w:rsidRDefault="00180D0D" w:rsidP="00C45F9E">
      <w:pPr>
        <w:numPr>
          <w:ilvl w:val="0"/>
          <w:numId w:val="14"/>
        </w:numPr>
        <w:autoSpaceDN w:val="0"/>
        <w:spacing w:before="120"/>
        <w:ind w:left="426" w:hanging="426"/>
        <w:jc w:val="both"/>
        <w:rPr>
          <w:rFonts w:asciiTheme="minorHAnsi" w:hAnsiTheme="minorHAnsi" w:cstheme="minorHAnsi"/>
          <w:kern w:val="1"/>
          <w:sz w:val="24"/>
          <w:szCs w:val="24"/>
        </w:rPr>
      </w:pPr>
      <w:r w:rsidRPr="00180D0D">
        <w:rPr>
          <w:rFonts w:asciiTheme="minorHAnsi" w:hAnsiTheme="minorHAnsi" w:cstheme="minorHAnsi"/>
          <w:b/>
          <w:kern w:val="1"/>
          <w:sz w:val="24"/>
          <w:szCs w:val="24"/>
        </w:rPr>
        <w:t>une contraction de 20,2% des recettes externes</w:t>
      </w:r>
      <w:r w:rsidRPr="00180D0D">
        <w:rPr>
          <w:rFonts w:asciiTheme="minorHAnsi" w:hAnsiTheme="minorHAnsi" w:cstheme="minorHAnsi"/>
          <w:kern w:val="1"/>
          <w:sz w:val="24"/>
          <w:szCs w:val="24"/>
        </w:rPr>
        <w:t> : 18,9 milliards FC contre 23,7 milliards FC en 2014 :</w:t>
      </w:r>
    </w:p>
    <w:p w:rsidR="00180D0D" w:rsidRPr="00180D0D" w:rsidRDefault="00180D0D" w:rsidP="00C45F9E">
      <w:pPr>
        <w:numPr>
          <w:ilvl w:val="3"/>
          <w:numId w:val="14"/>
        </w:numPr>
        <w:autoSpaceDN w:val="0"/>
        <w:jc w:val="both"/>
        <w:rPr>
          <w:rFonts w:asciiTheme="minorHAnsi" w:hAnsiTheme="minorHAnsi" w:cstheme="minorHAnsi"/>
          <w:kern w:val="1"/>
          <w:sz w:val="24"/>
          <w:szCs w:val="24"/>
        </w:rPr>
      </w:pPr>
      <w:r w:rsidRPr="00180D0D">
        <w:rPr>
          <w:rFonts w:asciiTheme="minorHAnsi" w:hAnsiTheme="minorHAnsi" w:cstheme="minorHAnsi"/>
          <w:kern w:val="1"/>
          <w:sz w:val="24"/>
          <w:szCs w:val="24"/>
        </w:rPr>
        <w:t>Les aides budgétaires ont été projetées à 3 milliards FC (3,9 milliards FC en 2014), avant prise en compte de l’appui budgétaire extérieur,</w:t>
      </w:r>
    </w:p>
    <w:p w:rsidR="00180D0D" w:rsidRPr="00180D0D" w:rsidRDefault="00180D0D" w:rsidP="00C45F9E">
      <w:pPr>
        <w:numPr>
          <w:ilvl w:val="3"/>
          <w:numId w:val="14"/>
        </w:numPr>
        <w:autoSpaceDN w:val="0"/>
        <w:jc w:val="both"/>
        <w:rPr>
          <w:rFonts w:asciiTheme="minorHAnsi" w:hAnsiTheme="minorHAnsi" w:cstheme="minorHAnsi"/>
          <w:kern w:val="1"/>
          <w:sz w:val="24"/>
          <w:szCs w:val="24"/>
        </w:rPr>
      </w:pPr>
      <w:r w:rsidRPr="00180D0D">
        <w:rPr>
          <w:rFonts w:asciiTheme="minorHAnsi" w:hAnsiTheme="minorHAnsi" w:cstheme="minorHAnsi"/>
          <w:kern w:val="1"/>
          <w:sz w:val="24"/>
          <w:szCs w:val="24"/>
        </w:rPr>
        <w:t>Les dons–projets devraient atteindre 15,9 milliards FC contre 19,8 milliards FC en 2014, soit une baisse de 19,5%, en relation avec la faible exécution du PIP,</w:t>
      </w:r>
    </w:p>
    <w:p w:rsidR="00180D0D" w:rsidRPr="00180D0D" w:rsidRDefault="00180D0D" w:rsidP="00C45F9E">
      <w:pPr>
        <w:numPr>
          <w:ilvl w:val="0"/>
          <w:numId w:val="14"/>
        </w:numPr>
        <w:autoSpaceDN w:val="0"/>
        <w:spacing w:before="120"/>
        <w:ind w:left="426" w:hanging="426"/>
        <w:jc w:val="both"/>
        <w:rPr>
          <w:rFonts w:asciiTheme="minorHAnsi" w:hAnsiTheme="minorHAnsi" w:cstheme="minorHAnsi"/>
          <w:kern w:val="1"/>
          <w:sz w:val="24"/>
          <w:szCs w:val="24"/>
        </w:rPr>
      </w:pPr>
      <w:r w:rsidRPr="00180D0D">
        <w:rPr>
          <w:rFonts w:asciiTheme="minorHAnsi" w:hAnsiTheme="minorHAnsi" w:cstheme="minorHAnsi"/>
          <w:b/>
          <w:kern w:val="1"/>
          <w:sz w:val="24"/>
          <w:szCs w:val="24"/>
        </w:rPr>
        <w:t>une hausse de 5,4% des dépenses courantes primaires</w:t>
      </w:r>
      <w:r w:rsidRPr="00180D0D">
        <w:rPr>
          <w:rFonts w:asciiTheme="minorHAnsi" w:hAnsiTheme="minorHAnsi" w:cstheme="minorHAnsi"/>
          <w:kern w:val="1"/>
          <w:sz w:val="24"/>
          <w:szCs w:val="24"/>
        </w:rPr>
        <w:t>, estimées à 43,7 milliards FC contre 41,5 milliards FC en 2014, dont :</w:t>
      </w:r>
    </w:p>
    <w:p w:rsidR="00180D0D" w:rsidRPr="00180D0D" w:rsidRDefault="00180D0D" w:rsidP="00C45F9E">
      <w:pPr>
        <w:numPr>
          <w:ilvl w:val="3"/>
          <w:numId w:val="14"/>
        </w:numPr>
        <w:autoSpaceDN w:val="0"/>
        <w:jc w:val="both"/>
        <w:rPr>
          <w:rFonts w:asciiTheme="minorHAnsi" w:hAnsiTheme="minorHAnsi" w:cstheme="minorHAnsi"/>
          <w:kern w:val="1"/>
          <w:sz w:val="24"/>
          <w:szCs w:val="24"/>
        </w:rPr>
      </w:pPr>
      <w:r w:rsidRPr="00180D0D">
        <w:rPr>
          <w:rFonts w:asciiTheme="minorHAnsi" w:hAnsiTheme="minorHAnsi" w:cstheme="minorHAnsi"/>
          <w:kern w:val="1"/>
          <w:sz w:val="24"/>
          <w:szCs w:val="24"/>
        </w:rPr>
        <w:t>une hausse de 12,1% des salaires : 24 milliards FC contre 21,4 milliards FC en 2014, suite notamment à une régularisation rétroactive portant sur la période octobre 2013–mai 2014, conformément à l’accord conclu en mars 2014 avec le syndicat des enseignants ainsi que l’impact en année pleine (2015) des augmentations d’effectifs réalisés en 2014 au niveau des gouvernorats,</w:t>
      </w:r>
    </w:p>
    <w:p w:rsidR="00180D0D" w:rsidRPr="00180D0D" w:rsidRDefault="00180D0D" w:rsidP="00C45F9E">
      <w:pPr>
        <w:numPr>
          <w:ilvl w:val="3"/>
          <w:numId w:val="14"/>
        </w:numPr>
        <w:autoSpaceDN w:val="0"/>
        <w:jc w:val="both"/>
        <w:rPr>
          <w:rFonts w:asciiTheme="minorHAnsi" w:hAnsiTheme="minorHAnsi" w:cstheme="minorHAnsi"/>
          <w:kern w:val="1"/>
          <w:sz w:val="24"/>
          <w:szCs w:val="24"/>
        </w:rPr>
      </w:pPr>
      <w:r w:rsidRPr="00180D0D">
        <w:rPr>
          <w:rFonts w:asciiTheme="minorHAnsi" w:hAnsiTheme="minorHAnsi" w:cstheme="minorHAnsi"/>
          <w:kern w:val="1"/>
          <w:sz w:val="24"/>
          <w:szCs w:val="24"/>
        </w:rPr>
        <w:t>une baisse de 6% des dépenses de biens et services : 11,1 milliards FC contre 11,8 milliards FC en 2014,</w:t>
      </w:r>
    </w:p>
    <w:p w:rsidR="00180D0D" w:rsidRPr="00180D0D" w:rsidRDefault="00180D0D" w:rsidP="00C45F9E">
      <w:pPr>
        <w:numPr>
          <w:ilvl w:val="3"/>
          <w:numId w:val="14"/>
        </w:numPr>
        <w:autoSpaceDN w:val="0"/>
        <w:jc w:val="both"/>
        <w:rPr>
          <w:rFonts w:asciiTheme="minorHAnsi" w:hAnsiTheme="minorHAnsi" w:cstheme="minorHAnsi"/>
          <w:kern w:val="1"/>
          <w:sz w:val="24"/>
          <w:szCs w:val="24"/>
        </w:rPr>
      </w:pPr>
      <w:r w:rsidRPr="00180D0D">
        <w:rPr>
          <w:rFonts w:asciiTheme="minorHAnsi" w:hAnsiTheme="minorHAnsi" w:cstheme="minorHAnsi"/>
          <w:kern w:val="1"/>
          <w:sz w:val="24"/>
          <w:szCs w:val="24"/>
        </w:rPr>
        <w:lastRenderedPageBreak/>
        <w:t>une hausse de 9,2% des transferts : 5,6 milliards FC contre 5,1 milliards FC en 2014,</w:t>
      </w:r>
    </w:p>
    <w:p w:rsidR="00180D0D" w:rsidRPr="00180D0D" w:rsidRDefault="00180D0D" w:rsidP="00C45F9E">
      <w:pPr>
        <w:numPr>
          <w:ilvl w:val="0"/>
          <w:numId w:val="14"/>
        </w:numPr>
        <w:autoSpaceDN w:val="0"/>
        <w:spacing w:before="120"/>
        <w:ind w:left="426" w:hanging="426"/>
        <w:jc w:val="both"/>
        <w:rPr>
          <w:rFonts w:asciiTheme="minorHAnsi" w:hAnsiTheme="minorHAnsi" w:cstheme="minorHAnsi"/>
          <w:kern w:val="1"/>
          <w:sz w:val="24"/>
          <w:szCs w:val="24"/>
        </w:rPr>
      </w:pPr>
      <w:r w:rsidRPr="00180D0D">
        <w:rPr>
          <w:rFonts w:asciiTheme="minorHAnsi" w:hAnsiTheme="minorHAnsi" w:cstheme="minorHAnsi"/>
          <w:b/>
          <w:kern w:val="1"/>
          <w:sz w:val="24"/>
          <w:szCs w:val="24"/>
        </w:rPr>
        <w:t>un accroissement de 2,8% des dépenses en capita</w:t>
      </w:r>
      <w:r w:rsidRPr="00180D0D">
        <w:rPr>
          <w:rFonts w:asciiTheme="minorHAnsi" w:hAnsiTheme="minorHAnsi" w:cstheme="minorHAnsi"/>
          <w:kern w:val="1"/>
          <w:sz w:val="24"/>
          <w:szCs w:val="24"/>
        </w:rPr>
        <w:t>l, évaluées à 20,8 milliards FC contre 20,3 milliards FC en 2014 :</w:t>
      </w:r>
    </w:p>
    <w:p w:rsidR="00180D0D" w:rsidRPr="00180D0D" w:rsidRDefault="00180D0D" w:rsidP="00C45F9E">
      <w:pPr>
        <w:numPr>
          <w:ilvl w:val="3"/>
          <w:numId w:val="14"/>
        </w:numPr>
        <w:autoSpaceDN w:val="0"/>
        <w:jc w:val="both"/>
        <w:rPr>
          <w:rFonts w:asciiTheme="minorHAnsi" w:hAnsiTheme="minorHAnsi" w:cstheme="minorHAnsi"/>
          <w:kern w:val="1"/>
          <w:sz w:val="24"/>
          <w:szCs w:val="24"/>
        </w:rPr>
      </w:pPr>
      <w:r w:rsidRPr="00180D0D">
        <w:rPr>
          <w:rFonts w:asciiTheme="minorHAnsi" w:hAnsiTheme="minorHAnsi" w:cstheme="minorHAnsi"/>
          <w:kern w:val="1"/>
          <w:sz w:val="24"/>
          <w:szCs w:val="24"/>
        </w:rPr>
        <w:t>une hausse de 26,5% des dépenses financées sur ressources internes : 4,4 milliards FC contre 3,5 milliards FC en 2014,</w:t>
      </w:r>
    </w:p>
    <w:p w:rsidR="00180D0D" w:rsidRPr="00180D0D" w:rsidRDefault="00180D0D" w:rsidP="00C45F9E">
      <w:pPr>
        <w:numPr>
          <w:ilvl w:val="3"/>
          <w:numId w:val="14"/>
        </w:numPr>
        <w:autoSpaceDN w:val="0"/>
        <w:jc w:val="both"/>
        <w:rPr>
          <w:rFonts w:asciiTheme="minorHAnsi" w:hAnsiTheme="minorHAnsi" w:cstheme="minorHAnsi"/>
          <w:kern w:val="1"/>
          <w:sz w:val="24"/>
          <w:szCs w:val="24"/>
        </w:rPr>
      </w:pPr>
      <w:r w:rsidRPr="00180D0D">
        <w:rPr>
          <w:rFonts w:asciiTheme="minorHAnsi" w:hAnsiTheme="minorHAnsi" w:cstheme="minorHAnsi"/>
          <w:kern w:val="1"/>
          <w:sz w:val="24"/>
          <w:szCs w:val="24"/>
        </w:rPr>
        <w:t>une baisse de 2,1% des dépenses financées sur ressources extérieures : 16,5 milliards FC contre 16,8 milliards FC en 2014.</w:t>
      </w:r>
    </w:p>
    <w:p w:rsidR="00180D0D" w:rsidRPr="00180D0D" w:rsidRDefault="00180D0D" w:rsidP="00180D0D">
      <w:pPr>
        <w:tabs>
          <w:tab w:val="num" w:pos="360"/>
        </w:tabs>
        <w:spacing w:before="360" w:after="240"/>
        <w:rPr>
          <w:rFonts w:asciiTheme="minorHAnsi" w:hAnsiTheme="minorHAnsi" w:cstheme="minorHAnsi"/>
          <w:b/>
          <w:color w:val="1F497D" w:themeColor="text2"/>
          <w:sz w:val="24"/>
          <w:szCs w:val="24"/>
          <w:u w:val="single"/>
        </w:rPr>
      </w:pPr>
      <w:bookmarkStart w:id="40" w:name="_Toc258064787"/>
      <w:r w:rsidRPr="00180D0D">
        <w:rPr>
          <w:rFonts w:asciiTheme="minorHAnsi" w:hAnsiTheme="minorHAnsi" w:cstheme="minorHAnsi"/>
          <w:b/>
          <w:color w:val="1F497D" w:themeColor="text2"/>
          <w:sz w:val="24"/>
          <w:szCs w:val="24"/>
          <w:u w:val="single"/>
        </w:rPr>
        <w:t>Commerce extérieur et balance des paiements</w:t>
      </w:r>
      <w:bookmarkEnd w:id="40"/>
      <w:r w:rsidRPr="00180D0D">
        <w:rPr>
          <w:rFonts w:asciiTheme="minorHAnsi" w:hAnsiTheme="minorHAnsi" w:cstheme="minorHAnsi"/>
          <w:b/>
          <w:color w:val="1F497D" w:themeColor="text2"/>
          <w:sz w:val="24"/>
          <w:szCs w:val="24"/>
          <w:u w:val="single"/>
        </w:rPr>
        <w:t xml:space="preserve"> </w:t>
      </w:r>
    </w:p>
    <w:p w:rsidR="00180D0D" w:rsidRPr="00180D0D" w:rsidRDefault="00180D0D" w:rsidP="00180D0D">
      <w:pPr>
        <w:autoSpaceDE w:val="0"/>
        <w:autoSpaceDN w:val="0"/>
        <w:adjustRightInd w:val="0"/>
        <w:spacing w:before="60" w:after="120"/>
        <w:jc w:val="both"/>
        <w:rPr>
          <w:rFonts w:asciiTheme="minorHAnsi" w:hAnsiTheme="minorHAnsi" w:cstheme="minorHAnsi"/>
          <w:sz w:val="24"/>
          <w:szCs w:val="24"/>
        </w:rPr>
      </w:pPr>
      <w:r w:rsidRPr="00180D0D">
        <w:rPr>
          <w:rFonts w:asciiTheme="minorHAnsi" w:hAnsiTheme="minorHAnsi" w:cstheme="minorHAnsi"/>
          <w:sz w:val="24"/>
          <w:szCs w:val="24"/>
        </w:rPr>
        <w:t xml:space="preserve">Les chiffres fournis par la douane affichent une contraction de 0,8% du </w:t>
      </w:r>
      <w:r w:rsidRPr="00180D0D">
        <w:rPr>
          <w:rFonts w:asciiTheme="minorHAnsi" w:hAnsiTheme="minorHAnsi" w:cstheme="minorHAnsi"/>
          <w:b/>
          <w:sz w:val="24"/>
          <w:szCs w:val="24"/>
        </w:rPr>
        <w:t xml:space="preserve">déficit commercial, </w:t>
      </w:r>
      <w:r w:rsidRPr="00180D0D">
        <w:rPr>
          <w:rFonts w:asciiTheme="minorHAnsi" w:hAnsiTheme="minorHAnsi" w:cstheme="minorHAnsi"/>
          <w:sz w:val="24"/>
          <w:szCs w:val="24"/>
        </w:rPr>
        <w:t xml:space="preserve">qui s’est établi à 73,2 milliards FC en 2015 contre 73,9 milliards FC en 2014. Cette évolution résulte de la baisse de 2,9% de la valeur des importations, en dépit de la contraction de 19,7% de celle des exportations. </w:t>
      </w:r>
    </w:p>
    <w:p w:rsidR="00180D0D" w:rsidRPr="00180D0D" w:rsidRDefault="00180D0D" w:rsidP="00180D0D">
      <w:pPr>
        <w:autoSpaceDE w:val="0"/>
        <w:autoSpaceDN w:val="0"/>
        <w:adjustRightInd w:val="0"/>
        <w:spacing w:before="60" w:after="120"/>
        <w:jc w:val="both"/>
        <w:rPr>
          <w:rFonts w:asciiTheme="minorHAnsi" w:hAnsiTheme="minorHAnsi" w:cstheme="minorHAnsi"/>
          <w:sz w:val="24"/>
          <w:szCs w:val="24"/>
        </w:rPr>
      </w:pPr>
      <w:r w:rsidRPr="00180D0D">
        <w:rPr>
          <w:rFonts w:asciiTheme="minorHAnsi" w:hAnsiTheme="minorHAnsi" w:cstheme="minorHAnsi"/>
          <w:sz w:val="24"/>
          <w:szCs w:val="24"/>
        </w:rPr>
        <w:t>Le déficit de la rubrique « Services », qui enregistre notamment la vente de la licence de télécommunication à un opérateur étranger, s’est  réduit considérablement, de près de 78%.</w:t>
      </w:r>
    </w:p>
    <w:p w:rsidR="00180D0D" w:rsidRPr="00180D0D" w:rsidRDefault="00180D0D" w:rsidP="00180D0D">
      <w:pPr>
        <w:autoSpaceDE w:val="0"/>
        <w:autoSpaceDN w:val="0"/>
        <w:adjustRightInd w:val="0"/>
        <w:spacing w:before="60" w:after="120"/>
        <w:jc w:val="both"/>
        <w:rPr>
          <w:rFonts w:asciiTheme="minorHAnsi" w:hAnsiTheme="minorHAnsi" w:cstheme="minorHAnsi"/>
          <w:sz w:val="24"/>
          <w:szCs w:val="24"/>
        </w:rPr>
      </w:pPr>
      <w:r w:rsidRPr="00180D0D">
        <w:rPr>
          <w:rFonts w:asciiTheme="minorHAnsi" w:hAnsiTheme="minorHAnsi" w:cstheme="minorHAnsi"/>
          <w:sz w:val="24"/>
          <w:szCs w:val="24"/>
        </w:rPr>
        <w:t>Les Transferts courants publics et privés se sont fortement consolidés, enregistrant une  hausse de 12,1%, concourant à la forte contraction du déficit du compte courant de la balance des paiements qui passe de 8,2% du PIB en 2014 à 1,8% en 2015.</w:t>
      </w:r>
    </w:p>
    <w:p w:rsidR="00180D0D" w:rsidRPr="00180D0D" w:rsidRDefault="00180D0D" w:rsidP="00180D0D">
      <w:pPr>
        <w:tabs>
          <w:tab w:val="num" w:pos="360"/>
        </w:tabs>
        <w:spacing w:before="360" w:after="240"/>
        <w:rPr>
          <w:rFonts w:asciiTheme="minorHAnsi" w:hAnsiTheme="minorHAnsi" w:cstheme="minorHAnsi"/>
          <w:b/>
          <w:color w:val="1F497D" w:themeColor="text2"/>
          <w:sz w:val="24"/>
          <w:szCs w:val="24"/>
          <w:u w:val="single"/>
        </w:rPr>
      </w:pPr>
      <w:bookmarkStart w:id="41" w:name="_Toc258064788"/>
      <w:r w:rsidRPr="00180D0D">
        <w:rPr>
          <w:rFonts w:asciiTheme="minorHAnsi" w:hAnsiTheme="minorHAnsi" w:cstheme="minorHAnsi"/>
          <w:b/>
          <w:color w:val="1F497D" w:themeColor="text2"/>
          <w:sz w:val="24"/>
          <w:szCs w:val="24"/>
          <w:u w:val="single"/>
        </w:rPr>
        <w:t>Situation monétaire</w:t>
      </w:r>
      <w:bookmarkEnd w:id="41"/>
      <w:r w:rsidRPr="00180D0D">
        <w:rPr>
          <w:rFonts w:asciiTheme="minorHAnsi" w:hAnsiTheme="minorHAnsi" w:cstheme="minorHAnsi"/>
          <w:b/>
          <w:color w:val="1F497D" w:themeColor="text2"/>
          <w:sz w:val="24"/>
          <w:szCs w:val="24"/>
          <w:u w:val="single"/>
        </w:rPr>
        <w:t xml:space="preserve"> </w:t>
      </w:r>
    </w:p>
    <w:p w:rsidR="00180D0D" w:rsidRPr="00180D0D" w:rsidRDefault="00180D0D" w:rsidP="00180D0D">
      <w:pPr>
        <w:spacing w:before="120"/>
        <w:jc w:val="both"/>
        <w:rPr>
          <w:rFonts w:asciiTheme="minorHAnsi" w:hAnsiTheme="minorHAnsi" w:cstheme="minorHAnsi"/>
          <w:sz w:val="24"/>
          <w:szCs w:val="24"/>
        </w:rPr>
      </w:pPr>
      <w:r w:rsidRPr="00180D0D">
        <w:rPr>
          <w:rFonts w:asciiTheme="minorHAnsi" w:hAnsiTheme="minorHAnsi" w:cstheme="minorHAnsi"/>
          <w:sz w:val="24"/>
          <w:szCs w:val="24"/>
        </w:rPr>
        <w:t xml:space="preserve">À fin décembre 2015, la masse monétaire s’est élevée à 113,7 milliards FC, en hausse de 17,1% par rapport à son niveau de fin décembre 2014. Cette évolution résulte à la fois de l’accroissement du crédit au secteur privé (+16,1%), et de la consolidation des avoirs extérieurs nets (+37,9%), en relation avec les concours extérieurs exceptionnels enregistrés en décembre. </w:t>
      </w:r>
    </w:p>
    <w:p w:rsidR="00180D0D" w:rsidRPr="00180D0D" w:rsidRDefault="00180D0D" w:rsidP="00180D0D">
      <w:pPr>
        <w:spacing w:before="120"/>
        <w:jc w:val="both"/>
        <w:rPr>
          <w:rFonts w:asciiTheme="minorHAnsi" w:hAnsiTheme="minorHAnsi" w:cstheme="minorHAnsi"/>
          <w:sz w:val="24"/>
          <w:szCs w:val="24"/>
        </w:rPr>
      </w:pPr>
      <w:r w:rsidRPr="00180D0D">
        <w:rPr>
          <w:rFonts w:asciiTheme="minorHAnsi" w:hAnsiTheme="minorHAnsi" w:cstheme="minorHAnsi"/>
          <w:sz w:val="24"/>
          <w:szCs w:val="24"/>
        </w:rPr>
        <w:t xml:space="preserve">Inscrits dans une tendance baissière tout au long de l’année, s’établissant à 51 milliards FC à fin novembre 2015 après 57,6 milliards FC à fin décembre 2014, les avoirs extérieurs ont enregistré une forte hausse en décembre 2015 pour s’établir à 79,4 milliards FC, soit une hausse de 37,9% du fait de la comptabilisation des concours extérieurs reçus en décembre 2015 (hausse de 55,6% des avoirs extérieurs entre novembre et décembre).  </w:t>
      </w:r>
    </w:p>
    <w:p w:rsidR="00180D0D" w:rsidRPr="00180D0D" w:rsidRDefault="00180D0D" w:rsidP="00180D0D">
      <w:pPr>
        <w:spacing w:before="120"/>
        <w:jc w:val="both"/>
        <w:rPr>
          <w:rFonts w:asciiTheme="minorHAnsi" w:hAnsiTheme="minorHAnsi" w:cstheme="minorHAnsi"/>
          <w:sz w:val="24"/>
          <w:szCs w:val="24"/>
        </w:rPr>
      </w:pPr>
      <w:r w:rsidRPr="00180D0D">
        <w:rPr>
          <w:rFonts w:asciiTheme="minorHAnsi" w:hAnsiTheme="minorHAnsi" w:cstheme="minorHAnsi"/>
          <w:sz w:val="24"/>
          <w:szCs w:val="24"/>
        </w:rPr>
        <w:t xml:space="preserve">Le crédit intérieur a enregistré une contraction de 4,7%, passant de 67,5 milliards FC à fin décembre 2014 à 64,3 milliards FC à fin décembre 2015, en relation avec la forte baisse des créances brutes (-25,6%) à l’État combinées à une hausse de 110,8% de ses dépôts, en dépit de la consolidation des crédits au secteur privé. En effet, l’encours des crédits au secteur privé est passé de 59,1 milliards FC à fin décembre 2014 à 68,6 milliards FC à fin décembre 2015, après un pic de 69,5 milliards FC au mois de novembre 2015. </w:t>
      </w:r>
    </w:p>
    <w:p w:rsidR="00180D0D" w:rsidRPr="00180D0D" w:rsidRDefault="00180D0D" w:rsidP="00180D0D">
      <w:pPr>
        <w:spacing w:before="120"/>
        <w:jc w:val="both"/>
        <w:rPr>
          <w:rFonts w:asciiTheme="minorHAnsi" w:hAnsiTheme="minorHAnsi" w:cstheme="minorHAnsi"/>
          <w:sz w:val="24"/>
          <w:szCs w:val="24"/>
        </w:rPr>
      </w:pPr>
      <w:r w:rsidRPr="00180D0D">
        <w:rPr>
          <w:rFonts w:asciiTheme="minorHAnsi" w:hAnsiTheme="minorHAnsi" w:cstheme="minorHAnsi"/>
          <w:sz w:val="24"/>
          <w:szCs w:val="24"/>
        </w:rPr>
        <w:t xml:space="preserve">Les composantes de la masse monétaire ont évolué comme suit : </w:t>
      </w:r>
    </w:p>
    <w:p w:rsidR="00180D0D" w:rsidRPr="00180D0D" w:rsidRDefault="00180D0D" w:rsidP="00C45F9E">
      <w:pPr>
        <w:numPr>
          <w:ilvl w:val="0"/>
          <w:numId w:val="16"/>
        </w:numPr>
        <w:spacing w:before="120"/>
        <w:ind w:left="357" w:hanging="357"/>
        <w:jc w:val="both"/>
        <w:rPr>
          <w:rFonts w:asciiTheme="minorHAnsi" w:hAnsiTheme="minorHAnsi" w:cstheme="minorHAnsi"/>
          <w:sz w:val="24"/>
          <w:szCs w:val="24"/>
        </w:rPr>
      </w:pPr>
      <w:r w:rsidRPr="00180D0D">
        <w:rPr>
          <w:rFonts w:asciiTheme="minorHAnsi" w:hAnsiTheme="minorHAnsi" w:cstheme="minorHAnsi"/>
          <w:sz w:val="24"/>
          <w:szCs w:val="24"/>
        </w:rPr>
        <w:t>La circulation fiduciaire a atteint 30,4 milliards FC contre 24,7 milliards FC à fin décembre 2014, soit une hausse de 22,9%, en relation avec le paiement des arriérés de salaires des fonctionnaires,</w:t>
      </w:r>
    </w:p>
    <w:p w:rsidR="00180D0D" w:rsidRPr="00180D0D" w:rsidRDefault="00180D0D" w:rsidP="00C45F9E">
      <w:pPr>
        <w:numPr>
          <w:ilvl w:val="0"/>
          <w:numId w:val="16"/>
        </w:numPr>
        <w:spacing w:before="120"/>
        <w:ind w:left="357" w:hanging="357"/>
        <w:jc w:val="both"/>
        <w:rPr>
          <w:rFonts w:asciiTheme="minorHAnsi" w:hAnsiTheme="minorHAnsi" w:cstheme="minorHAnsi"/>
          <w:sz w:val="24"/>
          <w:szCs w:val="24"/>
        </w:rPr>
      </w:pPr>
      <w:r w:rsidRPr="00180D0D">
        <w:rPr>
          <w:rFonts w:asciiTheme="minorHAnsi" w:hAnsiTheme="minorHAnsi" w:cstheme="minorHAnsi"/>
          <w:sz w:val="24"/>
          <w:szCs w:val="24"/>
        </w:rPr>
        <w:t>Les dépôts à vue ont augmenté de 22,5% par rapport à décembre 2014, s’élevant à près de 46 milliards FC en décembre 2015 contre 37,6 milliards FC en décembre 2014,</w:t>
      </w:r>
    </w:p>
    <w:p w:rsidR="00180D0D" w:rsidRPr="00180D0D" w:rsidRDefault="00180D0D" w:rsidP="00C45F9E">
      <w:pPr>
        <w:numPr>
          <w:ilvl w:val="0"/>
          <w:numId w:val="16"/>
        </w:numPr>
        <w:spacing w:before="120"/>
        <w:ind w:left="357" w:hanging="357"/>
        <w:jc w:val="both"/>
        <w:rPr>
          <w:rFonts w:asciiTheme="minorHAnsi" w:hAnsiTheme="minorHAnsi" w:cstheme="minorHAnsi"/>
          <w:sz w:val="24"/>
          <w:szCs w:val="24"/>
        </w:rPr>
      </w:pPr>
      <w:r w:rsidRPr="00180D0D">
        <w:rPr>
          <w:rFonts w:asciiTheme="minorHAnsi" w:hAnsiTheme="minorHAnsi" w:cstheme="minorHAnsi"/>
          <w:sz w:val="24"/>
          <w:szCs w:val="24"/>
        </w:rPr>
        <w:lastRenderedPageBreak/>
        <w:t>Les dépôts d’épargne ont atteint 37,3 milliards FC en décembre 2015 contre 34,9 milliards FC en décembre 2014.</w:t>
      </w:r>
    </w:p>
    <w:p w:rsidR="00870020" w:rsidRPr="00870020" w:rsidRDefault="00870020" w:rsidP="00813AA3">
      <w:pPr>
        <w:spacing w:before="120" w:after="120"/>
        <w:ind w:right="-1"/>
        <w:jc w:val="both"/>
        <w:rPr>
          <w:rFonts w:ascii="Calibri" w:hAnsi="Calibri"/>
          <w:sz w:val="20"/>
          <w:szCs w:val="20"/>
        </w:rPr>
      </w:pPr>
    </w:p>
    <w:p w:rsidR="00E112FE" w:rsidRPr="00803A1E" w:rsidRDefault="00E112FE" w:rsidP="00803A1E">
      <w:pPr>
        <w:pStyle w:val="Titre1"/>
        <w:jc w:val="both"/>
        <w:rPr>
          <w:rFonts w:asciiTheme="minorHAnsi" w:hAnsiTheme="minorHAnsi" w:cstheme="minorHAnsi"/>
          <w:b w:val="0"/>
          <w:sz w:val="24"/>
          <w:szCs w:val="24"/>
        </w:rPr>
      </w:pPr>
      <w:r w:rsidRPr="00803A1E">
        <w:rPr>
          <w:rFonts w:asciiTheme="minorHAnsi" w:hAnsiTheme="minorHAnsi" w:cstheme="minorHAnsi"/>
          <w:b w:val="0"/>
          <w:sz w:val="24"/>
          <w:szCs w:val="24"/>
        </w:rPr>
        <w:br w:type="page"/>
      </w:r>
    </w:p>
    <w:p w:rsidR="00DC6D52" w:rsidRDefault="00DC6D52" w:rsidP="00813AA3">
      <w:pPr>
        <w:tabs>
          <w:tab w:val="left" w:pos="4613"/>
        </w:tabs>
        <w:spacing w:before="120" w:after="120"/>
        <w:jc w:val="center"/>
        <w:rPr>
          <w:rFonts w:ascii="Calibri" w:hAnsi="Calibri"/>
          <w:b/>
          <w:bCs/>
          <w:i/>
          <w:sz w:val="20"/>
          <w:szCs w:val="20"/>
          <w:u w:val="single"/>
        </w:rPr>
      </w:pPr>
      <w:bookmarkStart w:id="42" w:name="_Toc239686183"/>
      <w:bookmarkStart w:id="43" w:name="_Toc240048768"/>
      <w:bookmarkStart w:id="44" w:name="_Toc240100718"/>
      <w:bookmarkStart w:id="45" w:name="_Toc240100941"/>
      <w:bookmarkStart w:id="46" w:name="_Toc240101238"/>
      <w:bookmarkStart w:id="47" w:name="_Toc239686185"/>
      <w:bookmarkStart w:id="48" w:name="_Toc240048770"/>
      <w:bookmarkStart w:id="49" w:name="_Toc240100720"/>
      <w:bookmarkStart w:id="50" w:name="_Toc240100943"/>
      <w:bookmarkStart w:id="51" w:name="_Toc240101240"/>
      <w:bookmarkStart w:id="52" w:name="_Toc239686187"/>
      <w:bookmarkStart w:id="53" w:name="_Toc240048772"/>
      <w:bookmarkStart w:id="54" w:name="_Toc240100722"/>
      <w:bookmarkStart w:id="55" w:name="_Toc240100945"/>
      <w:bookmarkStart w:id="56" w:name="_Toc240101242"/>
      <w:bookmarkStart w:id="57" w:name="_Toc239686189"/>
      <w:bookmarkStart w:id="58" w:name="_Toc240048774"/>
      <w:bookmarkStart w:id="59" w:name="_Toc240100724"/>
      <w:bookmarkStart w:id="60" w:name="_Toc240100947"/>
      <w:bookmarkStart w:id="61" w:name="_Toc240101244"/>
      <w:bookmarkStart w:id="62" w:name="_Toc239686191"/>
      <w:bookmarkStart w:id="63" w:name="_Toc240048776"/>
      <w:bookmarkStart w:id="64" w:name="_Toc240100726"/>
      <w:bookmarkStart w:id="65" w:name="_Toc240100949"/>
      <w:bookmarkStart w:id="66" w:name="_Toc240101246"/>
      <w:bookmarkStart w:id="67" w:name="_Toc239686192"/>
      <w:bookmarkStart w:id="68" w:name="_Toc240048777"/>
      <w:bookmarkStart w:id="69" w:name="_Toc240100727"/>
      <w:bookmarkStart w:id="70" w:name="_Toc240100950"/>
      <w:bookmarkStart w:id="71" w:name="_Toc240101247"/>
      <w:bookmarkStart w:id="72" w:name="_Toc239686193"/>
      <w:bookmarkStart w:id="73" w:name="_Toc240048778"/>
      <w:bookmarkStart w:id="74" w:name="_Toc240100728"/>
      <w:bookmarkStart w:id="75" w:name="_Toc240100951"/>
      <w:bookmarkStart w:id="76" w:name="_Toc240101248"/>
      <w:bookmarkStart w:id="77" w:name="_Toc239686196"/>
      <w:bookmarkStart w:id="78" w:name="_Toc240048781"/>
      <w:bookmarkStart w:id="79" w:name="_Toc240100731"/>
      <w:bookmarkStart w:id="80" w:name="_Toc240100954"/>
      <w:bookmarkStart w:id="81" w:name="_Toc240101251"/>
      <w:bookmarkStart w:id="82" w:name="_Toc239686197"/>
      <w:bookmarkStart w:id="83" w:name="_Toc240048782"/>
      <w:bookmarkStart w:id="84" w:name="_Toc240100732"/>
      <w:bookmarkStart w:id="85" w:name="_Toc240100955"/>
      <w:bookmarkStart w:id="86" w:name="_Toc240101252"/>
      <w:bookmarkStart w:id="87" w:name="_Toc239686198"/>
      <w:bookmarkStart w:id="88" w:name="_Toc240048783"/>
      <w:bookmarkStart w:id="89" w:name="_Toc240100733"/>
      <w:bookmarkStart w:id="90" w:name="_Toc240100956"/>
      <w:bookmarkStart w:id="91" w:name="_Toc240101253"/>
      <w:bookmarkStart w:id="92" w:name="_Toc239686199"/>
      <w:bookmarkStart w:id="93" w:name="_Toc240048784"/>
      <w:bookmarkStart w:id="94" w:name="_Toc240100734"/>
      <w:bookmarkStart w:id="95" w:name="_Toc240100957"/>
      <w:bookmarkStart w:id="96" w:name="_Toc240101254"/>
      <w:bookmarkStart w:id="97" w:name="_Toc239686200"/>
      <w:bookmarkStart w:id="98" w:name="_Toc240048785"/>
      <w:bookmarkStart w:id="99" w:name="_Toc240100735"/>
      <w:bookmarkStart w:id="100" w:name="_Toc240100958"/>
      <w:bookmarkStart w:id="101" w:name="_Toc240101255"/>
      <w:bookmarkStart w:id="102" w:name="_Toc240100739"/>
      <w:bookmarkStart w:id="103" w:name="_Toc240100962"/>
      <w:bookmarkStart w:id="104" w:name="_Toc240101259"/>
      <w:bookmarkStart w:id="105" w:name="_Toc240100741"/>
      <w:bookmarkStart w:id="106" w:name="_Toc240100964"/>
      <w:bookmarkStart w:id="107" w:name="_Toc240101261"/>
      <w:bookmarkStart w:id="108" w:name="_Toc240100742"/>
      <w:bookmarkStart w:id="109" w:name="_Toc240100965"/>
      <w:bookmarkStart w:id="110" w:name="_Toc240101262"/>
      <w:bookmarkStart w:id="111" w:name="_Toc240100743"/>
      <w:bookmarkStart w:id="112" w:name="_Toc240100966"/>
      <w:bookmarkStart w:id="113" w:name="_Toc240101263"/>
      <w:bookmarkStart w:id="114" w:name="_Toc240100744"/>
      <w:bookmarkStart w:id="115" w:name="_Toc240100967"/>
      <w:bookmarkStart w:id="116" w:name="_Toc240101264"/>
      <w:bookmarkStart w:id="117" w:name="_Toc240100746"/>
      <w:bookmarkStart w:id="118" w:name="_Toc240100969"/>
      <w:bookmarkStart w:id="119" w:name="_Toc240101266"/>
      <w:bookmarkStart w:id="120" w:name="_Toc240100748"/>
      <w:bookmarkStart w:id="121" w:name="_Toc240100971"/>
      <w:bookmarkStart w:id="122" w:name="_Toc240101268"/>
      <w:bookmarkStart w:id="123" w:name="_Toc240100749"/>
      <w:bookmarkStart w:id="124" w:name="_Toc240100972"/>
      <w:bookmarkStart w:id="125" w:name="_Toc240101269"/>
      <w:bookmarkStart w:id="126" w:name="_Toc240100750"/>
      <w:bookmarkStart w:id="127" w:name="_Toc240100973"/>
      <w:bookmarkStart w:id="128" w:name="_Toc240101270"/>
      <w:bookmarkStart w:id="129" w:name="_Toc240100751"/>
      <w:bookmarkStart w:id="130" w:name="_Toc240100974"/>
      <w:bookmarkStart w:id="131" w:name="_Toc240101271"/>
      <w:bookmarkStart w:id="132" w:name="_Toc240100752"/>
      <w:bookmarkStart w:id="133" w:name="_Toc240100975"/>
      <w:bookmarkStart w:id="134" w:name="_Toc240101272"/>
      <w:bookmarkStart w:id="135" w:name="_Toc240100753"/>
      <w:bookmarkStart w:id="136" w:name="_Toc240100976"/>
      <w:bookmarkStart w:id="137" w:name="_Toc240101273"/>
      <w:bookmarkStart w:id="138" w:name="_Toc240100754"/>
      <w:bookmarkStart w:id="139" w:name="_Toc240100977"/>
      <w:bookmarkStart w:id="140" w:name="_Toc240101274"/>
      <w:bookmarkStart w:id="141" w:name="_Toc240100755"/>
      <w:bookmarkStart w:id="142" w:name="_Toc240100978"/>
      <w:bookmarkStart w:id="143" w:name="_Toc240101275"/>
      <w:bookmarkStart w:id="144" w:name="_Toc240100756"/>
      <w:bookmarkStart w:id="145" w:name="_Toc240100979"/>
      <w:bookmarkStart w:id="146" w:name="_Toc240101276"/>
      <w:bookmarkStart w:id="147" w:name="_Toc240100757"/>
      <w:bookmarkStart w:id="148" w:name="_Toc240100980"/>
      <w:bookmarkStart w:id="149" w:name="_Toc240101277"/>
      <w:bookmarkStart w:id="150" w:name="_Toc240100758"/>
      <w:bookmarkStart w:id="151" w:name="_Toc240100981"/>
      <w:bookmarkStart w:id="152" w:name="_Toc240101278"/>
      <w:bookmarkStart w:id="153" w:name="_Toc240100759"/>
      <w:bookmarkStart w:id="154" w:name="_Toc240100982"/>
      <w:bookmarkStart w:id="155" w:name="_Toc240101279"/>
      <w:bookmarkStart w:id="156" w:name="_Toc240100760"/>
      <w:bookmarkStart w:id="157" w:name="_Toc240100983"/>
      <w:bookmarkStart w:id="158" w:name="_Toc240101280"/>
      <w:bookmarkStart w:id="159" w:name="_Toc240100761"/>
      <w:bookmarkStart w:id="160" w:name="_Toc240100984"/>
      <w:bookmarkStart w:id="161" w:name="_Toc240101281"/>
      <w:bookmarkStart w:id="162" w:name="_Toc240100762"/>
      <w:bookmarkStart w:id="163" w:name="_Toc240100985"/>
      <w:bookmarkStart w:id="164" w:name="_Toc240101282"/>
      <w:bookmarkStart w:id="165" w:name="_Toc240100763"/>
      <w:bookmarkStart w:id="166" w:name="_Toc240100986"/>
      <w:bookmarkStart w:id="167" w:name="_Toc240101283"/>
      <w:bookmarkStart w:id="168" w:name="_Toc240100764"/>
      <w:bookmarkStart w:id="169" w:name="_Toc240100987"/>
      <w:bookmarkStart w:id="170" w:name="_Toc240101284"/>
      <w:bookmarkStart w:id="171" w:name="_Toc240100765"/>
      <w:bookmarkStart w:id="172" w:name="_Toc240100988"/>
      <w:bookmarkStart w:id="173" w:name="_Toc240101285"/>
      <w:bookmarkStart w:id="174" w:name="_Toc240100766"/>
      <w:bookmarkStart w:id="175" w:name="_Toc240100989"/>
      <w:bookmarkStart w:id="176" w:name="_Toc240101286"/>
      <w:bookmarkStart w:id="177" w:name="_Toc240100767"/>
      <w:bookmarkStart w:id="178" w:name="_Toc240100990"/>
      <w:bookmarkStart w:id="179" w:name="_Toc240101287"/>
      <w:bookmarkStart w:id="180" w:name="_Toc240100768"/>
      <w:bookmarkStart w:id="181" w:name="_Toc240100991"/>
      <w:bookmarkStart w:id="182" w:name="_Toc240101288"/>
      <w:bookmarkStart w:id="183" w:name="_Toc240100769"/>
      <w:bookmarkStart w:id="184" w:name="_Toc240100992"/>
      <w:bookmarkStart w:id="185" w:name="_Toc240101289"/>
      <w:bookmarkStart w:id="186" w:name="_Toc240100770"/>
      <w:bookmarkStart w:id="187" w:name="_Toc240100993"/>
      <w:bookmarkStart w:id="188" w:name="_Toc240101290"/>
      <w:bookmarkStart w:id="189" w:name="_Toc240100771"/>
      <w:bookmarkStart w:id="190" w:name="_Toc240100994"/>
      <w:bookmarkStart w:id="191" w:name="_Toc240101291"/>
      <w:bookmarkStart w:id="192" w:name="_Toc240100772"/>
      <w:bookmarkStart w:id="193" w:name="_Toc240100995"/>
      <w:bookmarkStart w:id="194" w:name="_Toc240101292"/>
      <w:bookmarkStart w:id="195" w:name="_Toc240100773"/>
      <w:bookmarkStart w:id="196" w:name="_Toc240100996"/>
      <w:bookmarkStart w:id="197" w:name="_Toc240101293"/>
      <w:bookmarkStart w:id="198" w:name="_Toc240100775"/>
      <w:bookmarkStart w:id="199" w:name="_Toc240100998"/>
      <w:bookmarkStart w:id="200" w:name="_Toc240101295"/>
      <w:bookmarkStart w:id="201" w:name="_Toc240100777"/>
      <w:bookmarkStart w:id="202" w:name="_Toc240101000"/>
      <w:bookmarkStart w:id="203" w:name="_Toc240101297"/>
      <w:bookmarkStart w:id="204" w:name="_Toc240100779"/>
      <w:bookmarkStart w:id="205" w:name="_Toc240101002"/>
      <w:bookmarkStart w:id="206" w:name="_Toc240101299"/>
      <w:bookmarkStart w:id="207" w:name="_Toc240100781"/>
      <w:bookmarkStart w:id="208" w:name="_Toc240101004"/>
      <w:bookmarkStart w:id="209" w:name="_Toc240101301"/>
      <w:bookmarkStart w:id="210" w:name="_Toc240100782"/>
      <w:bookmarkStart w:id="211" w:name="_Toc240101005"/>
      <w:bookmarkStart w:id="212" w:name="_Toc240101302"/>
      <w:bookmarkStart w:id="213" w:name="_Toc240100783"/>
      <w:bookmarkStart w:id="214" w:name="_Toc240101006"/>
      <w:bookmarkStart w:id="215" w:name="_Toc240101303"/>
      <w:bookmarkStart w:id="216" w:name="_Toc240100784"/>
      <w:bookmarkStart w:id="217" w:name="_Toc240101007"/>
      <w:bookmarkStart w:id="218" w:name="_Toc240101304"/>
      <w:bookmarkStart w:id="219" w:name="_Toc240100786"/>
      <w:bookmarkStart w:id="220" w:name="_Toc240101009"/>
      <w:bookmarkStart w:id="221" w:name="_Toc240101306"/>
      <w:bookmarkStart w:id="222" w:name="_Toc240100788"/>
      <w:bookmarkStart w:id="223" w:name="_Toc240101011"/>
      <w:bookmarkStart w:id="224" w:name="_Toc240101308"/>
      <w:bookmarkStart w:id="225" w:name="_Toc240100790"/>
      <w:bookmarkStart w:id="226" w:name="_Toc240101013"/>
      <w:bookmarkStart w:id="227" w:name="_Toc240101310"/>
      <w:bookmarkStart w:id="228" w:name="_Toc240100792"/>
      <w:bookmarkStart w:id="229" w:name="_Toc240101015"/>
      <w:bookmarkStart w:id="230" w:name="_Toc240101312"/>
      <w:bookmarkStart w:id="231" w:name="_Toc240100793"/>
      <w:bookmarkStart w:id="232" w:name="_Toc240101016"/>
      <w:bookmarkStart w:id="233" w:name="_Toc240101313"/>
      <w:bookmarkStart w:id="234" w:name="_Toc240100794"/>
      <w:bookmarkStart w:id="235" w:name="_Toc240101017"/>
      <w:bookmarkStart w:id="236" w:name="_Toc240101314"/>
      <w:bookmarkStart w:id="237" w:name="_Toc240100795"/>
      <w:bookmarkStart w:id="238" w:name="_Toc240101018"/>
      <w:bookmarkStart w:id="239" w:name="_Toc240101315"/>
      <w:bookmarkStart w:id="240" w:name="_Toc240100796"/>
      <w:bookmarkStart w:id="241" w:name="_Toc240101019"/>
      <w:bookmarkStart w:id="242" w:name="_Toc240101316"/>
      <w:bookmarkStart w:id="243" w:name="_Toc240100798"/>
      <w:bookmarkStart w:id="244" w:name="_Toc240101021"/>
      <w:bookmarkStart w:id="245" w:name="_Toc240101318"/>
      <w:bookmarkStart w:id="246" w:name="_Toc240100800"/>
      <w:bookmarkStart w:id="247" w:name="_Toc240101023"/>
      <w:bookmarkStart w:id="248" w:name="_Toc240101320"/>
      <w:bookmarkStart w:id="249" w:name="_Toc240100802"/>
      <w:bookmarkStart w:id="250" w:name="_Toc240101025"/>
      <w:bookmarkStart w:id="251" w:name="_Toc240101322"/>
      <w:bookmarkStart w:id="252" w:name="_Toc240100803"/>
      <w:bookmarkStart w:id="253" w:name="_Toc240101026"/>
      <w:bookmarkStart w:id="254" w:name="_Toc240101323"/>
      <w:bookmarkStart w:id="255" w:name="_Toc240100804"/>
      <w:bookmarkStart w:id="256" w:name="_Toc240101027"/>
      <w:bookmarkStart w:id="257" w:name="_Toc240101324"/>
      <w:bookmarkStart w:id="258" w:name="_Toc240100806"/>
      <w:bookmarkStart w:id="259" w:name="_Toc240101029"/>
      <w:bookmarkStart w:id="260" w:name="_Toc240101326"/>
      <w:bookmarkStart w:id="261" w:name="_Toc240100808"/>
      <w:bookmarkStart w:id="262" w:name="_Toc240101031"/>
      <w:bookmarkStart w:id="263" w:name="_Toc240101328"/>
      <w:bookmarkStart w:id="264" w:name="_Toc240100810"/>
      <w:bookmarkStart w:id="265" w:name="_Toc240101033"/>
      <w:bookmarkStart w:id="266" w:name="_Toc240101330"/>
      <w:bookmarkStart w:id="267" w:name="_Toc240100814"/>
      <w:bookmarkStart w:id="268" w:name="_Toc240101037"/>
      <w:bookmarkStart w:id="269" w:name="_Toc240101334"/>
      <w:bookmarkStart w:id="270" w:name="_Toc240100816"/>
      <w:bookmarkStart w:id="271" w:name="_Toc240101039"/>
      <w:bookmarkStart w:id="272" w:name="_Toc240101336"/>
      <w:bookmarkStart w:id="273" w:name="_Toc240100818"/>
      <w:bookmarkStart w:id="274" w:name="_Toc240101041"/>
      <w:bookmarkStart w:id="275" w:name="_Toc240101338"/>
      <w:bookmarkStart w:id="276" w:name="_Toc240100820"/>
      <w:bookmarkStart w:id="277" w:name="_Toc240101043"/>
      <w:bookmarkStart w:id="278" w:name="_Toc240101340"/>
      <w:bookmarkStart w:id="279" w:name="_Toc240100822"/>
      <w:bookmarkStart w:id="280" w:name="_Toc240101045"/>
      <w:bookmarkStart w:id="281" w:name="_Toc240101342"/>
      <w:bookmarkStart w:id="282" w:name="_Toc240100824"/>
      <w:bookmarkStart w:id="283" w:name="_Toc240101047"/>
      <w:bookmarkStart w:id="284" w:name="_Toc240101344"/>
      <w:bookmarkStart w:id="285" w:name="_Toc240100825"/>
      <w:bookmarkStart w:id="286" w:name="_Toc240101048"/>
      <w:bookmarkStart w:id="287" w:name="_Toc240101345"/>
      <w:bookmarkStart w:id="288" w:name="_Toc240100826"/>
      <w:bookmarkStart w:id="289" w:name="_Toc240101049"/>
      <w:bookmarkStart w:id="290" w:name="_Toc240101346"/>
      <w:bookmarkStart w:id="291" w:name="_Toc240100828"/>
      <w:bookmarkStart w:id="292" w:name="_Toc240101051"/>
      <w:bookmarkStart w:id="293" w:name="_Toc240101348"/>
      <w:bookmarkStart w:id="294" w:name="_Toc240100878"/>
      <w:bookmarkStart w:id="295" w:name="_Toc240101101"/>
      <w:bookmarkStart w:id="296" w:name="_Toc240101398"/>
      <w:bookmarkStart w:id="297" w:name="_Toc240100880"/>
      <w:bookmarkStart w:id="298" w:name="_Toc240101103"/>
      <w:bookmarkStart w:id="299" w:name="_Toc240101400"/>
      <w:bookmarkStart w:id="300" w:name="_Toc240100881"/>
      <w:bookmarkStart w:id="301" w:name="_Toc240101104"/>
      <w:bookmarkStart w:id="302" w:name="_Toc240101401"/>
      <w:bookmarkStart w:id="303" w:name="_Toc240100882"/>
      <w:bookmarkStart w:id="304" w:name="_Toc240101105"/>
      <w:bookmarkStart w:id="305" w:name="_Toc240101402"/>
      <w:bookmarkStart w:id="306" w:name="_Toc240048789"/>
      <w:bookmarkStart w:id="307" w:name="_Toc240100883"/>
      <w:bookmarkStart w:id="308" w:name="_Toc240101106"/>
      <w:bookmarkStart w:id="309" w:name="_Toc240101403"/>
      <w:bookmarkStart w:id="310" w:name="_Toc226541518"/>
      <w:bookmarkEnd w:id="4"/>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rsidR="00635191" w:rsidRPr="00635191" w:rsidRDefault="00FA70A5" w:rsidP="007B1D8C">
      <w:pPr>
        <w:pStyle w:val="RAPPORTCONVNOMT1"/>
      </w:pPr>
      <w:bookmarkStart w:id="311" w:name="_Toc444614018"/>
      <w:r>
        <w:t>ÉTAT DE LA CONVERGENCE EN 2015</w:t>
      </w:r>
      <w:r w:rsidR="00635191" w:rsidRPr="00A16822">
        <w:t xml:space="preserve"> ET PERSPECTIVES POUR 201</w:t>
      </w:r>
      <w:r>
        <w:t>6</w:t>
      </w:r>
      <w:bookmarkEnd w:id="311"/>
    </w:p>
    <w:p w:rsidR="007B1D8C" w:rsidRPr="00A821E7" w:rsidRDefault="007B1D8C" w:rsidP="00CD74DA">
      <w:pPr>
        <w:tabs>
          <w:tab w:val="left" w:pos="4613"/>
        </w:tabs>
        <w:spacing w:before="120" w:after="120"/>
        <w:jc w:val="center"/>
        <w:rPr>
          <w:rFonts w:asciiTheme="minorHAnsi" w:hAnsiTheme="minorHAnsi" w:cstheme="minorHAnsi"/>
          <w:b/>
          <w:bCs/>
          <w:i/>
          <w:sz w:val="24"/>
          <w:szCs w:val="24"/>
          <w:u w:val="single"/>
        </w:rPr>
      </w:pPr>
    </w:p>
    <w:p w:rsidR="00CD74DA" w:rsidRPr="00A821E7" w:rsidRDefault="00CD74DA" w:rsidP="00CD74DA">
      <w:pPr>
        <w:tabs>
          <w:tab w:val="left" w:pos="4613"/>
        </w:tabs>
        <w:spacing w:before="120" w:after="120"/>
        <w:jc w:val="center"/>
        <w:rPr>
          <w:rFonts w:asciiTheme="minorHAnsi" w:hAnsiTheme="minorHAnsi" w:cstheme="minorHAnsi"/>
          <w:b/>
          <w:bCs/>
          <w:sz w:val="24"/>
          <w:szCs w:val="24"/>
        </w:rPr>
      </w:pPr>
      <w:r w:rsidRPr="00A821E7">
        <w:rPr>
          <w:rFonts w:asciiTheme="minorHAnsi" w:hAnsiTheme="minorHAnsi" w:cstheme="minorHAnsi"/>
          <w:b/>
          <w:bCs/>
          <w:sz w:val="24"/>
          <w:szCs w:val="24"/>
        </w:rPr>
        <w:t xml:space="preserve">Résultats de la surveillance multilatérale </w:t>
      </w:r>
      <w:r w:rsidR="007B1D8C" w:rsidRPr="00A821E7">
        <w:rPr>
          <w:rFonts w:asciiTheme="minorHAnsi" w:hAnsiTheme="minorHAnsi" w:cstheme="minorHAnsi"/>
          <w:b/>
          <w:bCs/>
          <w:sz w:val="24"/>
          <w:szCs w:val="24"/>
        </w:rPr>
        <w:t>en UEMOA</w:t>
      </w:r>
      <w:r w:rsidR="002A1A95">
        <w:rPr>
          <w:rFonts w:asciiTheme="minorHAnsi" w:hAnsiTheme="minorHAnsi" w:cstheme="minorHAnsi"/>
          <w:b/>
          <w:bCs/>
          <w:sz w:val="24"/>
          <w:szCs w:val="24"/>
        </w:rPr>
        <w:t xml:space="preserve"> au 31 décembre 2015</w:t>
      </w:r>
    </w:p>
    <w:p w:rsidR="00654DCF" w:rsidRPr="0022006F" w:rsidRDefault="00654DCF" w:rsidP="00654DCF">
      <w:pPr>
        <w:jc w:val="both"/>
        <w:rPr>
          <w:rFonts w:ascii="Arial" w:hAnsi="Arial" w:cs="Arial"/>
          <w:sz w:val="24"/>
          <w:szCs w:val="24"/>
        </w:rPr>
      </w:pPr>
    </w:p>
    <w:tbl>
      <w:tblPr>
        <w:tblpPr w:leftFromText="141" w:rightFromText="141" w:vertAnchor="text" w:horzAnchor="page" w:tblpX="1604" w:tblpY="65"/>
        <w:tblOverlap w:val="never"/>
        <w:tblW w:w="8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69"/>
        <w:gridCol w:w="2387"/>
        <w:gridCol w:w="2551"/>
        <w:gridCol w:w="2268"/>
      </w:tblGrid>
      <w:tr w:rsidR="00654DCF" w:rsidRPr="0022006F" w:rsidTr="00654DCF">
        <w:trPr>
          <w:cantSplit/>
          <w:trHeight w:val="867"/>
        </w:trPr>
        <w:tc>
          <w:tcPr>
            <w:tcW w:w="1369" w:type="dxa"/>
            <w:vMerge w:val="restart"/>
            <w:tcBorders>
              <w:top w:val="nil"/>
              <w:left w:val="nil"/>
              <w:right w:val="triple" w:sz="4" w:space="0" w:color="auto"/>
            </w:tcBorders>
            <w:shd w:val="clear" w:color="auto" w:fill="FFFFFF"/>
          </w:tcPr>
          <w:p w:rsidR="00654DCF" w:rsidRPr="0022006F" w:rsidRDefault="00654DCF" w:rsidP="00DA26F3">
            <w:pPr>
              <w:jc w:val="center"/>
              <w:rPr>
                <w:rFonts w:ascii="Calibri" w:hAnsi="Calibri"/>
                <w:sz w:val="20"/>
                <w:szCs w:val="20"/>
              </w:rPr>
            </w:pPr>
          </w:p>
        </w:tc>
        <w:tc>
          <w:tcPr>
            <w:tcW w:w="2387" w:type="dxa"/>
            <w:vMerge w:val="restart"/>
            <w:tcBorders>
              <w:top w:val="triple" w:sz="4" w:space="0" w:color="auto"/>
            </w:tcBorders>
            <w:shd w:val="clear" w:color="auto" w:fill="FFFFFF"/>
          </w:tcPr>
          <w:p w:rsidR="00654DCF" w:rsidRPr="00F76D9B" w:rsidRDefault="00654DCF" w:rsidP="00DA26F3">
            <w:pPr>
              <w:jc w:val="center"/>
              <w:rPr>
                <w:rFonts w:ascii="Calibri" w:hAnsi="Calibri"/>
                <w:sz w:val="20"/>
                <w:szCs w:val="20"/>
              </w:rPr>
            </w:pPr>
          </w:p>
          <w:p w:rsidR="00654DCF" w:rsidRPr="00F76D9B" w:rsidRDefault="00654DCF" w:rsidP="00DA26F3">
            <w:pPr>
              <w:jc w:val="center"/>
              <w:rPr>
                <w:rFonts w:ascii="Calibri" w:hAnsi="Calibri"/>
                <w:sz w:val="20"/>
                <w:szCs w:val="20"/>
              </w:rPr>
            </w:pPr>
            <w:r w:rsidRPr="00F76D9B">
              <w:rPr>
                <w:rFonts w:ascii="Calibri" w:hAnsi="Calibri"/>
                <w:sz w:val="20"/>
                <w:szCs w:val="20"/>
              </w:rPr>
              <w:t>Solde global</w:t>
            </w:r>
          </w:p>
          <w:p w:rsidR="00654DCF" w:rsidRPr="00F76D9B" w:rsidRDefault="00654DCF" w:rsidP="00DA26F3">
            <w:pPr>
              <w:jc w:val="center"/>
              <w:rPr>
                <w:rFonts w:ascii="Calibri" w:hAnsi="Calibri"/>
                <w:sz w:val="20"/>
                <w:szCs w:val="20"/>
              </w:rPr>
            </w:pPr>
            <w:r w:rsidRPr="00F76D9B">
              <w:rPr>
                <w:rFonts w:ascii="Calibri" w:hAnsi="Calibri"/>
                <w:sz w:val="20"/>
                <w:szCs w:val="20"/>
              </w:rPr>
              <w:t xml:space="preserve">Global dons compris </w:t>
            </w:r>
          </w:p>
          <w:p w:rsidR="00654DCF" w:rsidRPr="00F76D9B" w:rsidRDefault="00654DCF" w:rsidP="00DA26F3">
            <w:pPr>
              <w:jc w:val="center"/>
              <w:rPr>
                <w:rFonts w:ascii="Calibri" w:hAnsi="Calibri"/>
                <w:sz w:val="20"/>
                <w:szCs w:val="20"/>
              </w:rPr>
            </w:pPr>
            <w:r w:rsidRPr="00F76D9B">
              <w:rPr>
                <w:rFonts w:ascii="Calibri" w:hAnsi="Calibri"/>
                <w:sz w:val="20"/>
                <w:szCs w:val="20"/>
              </w:rPr>
              <w:t>(en % du PIB)</w:t>
            </w:r>
          </w:p>
        </w:tc>
        <w:tc>
          <w:tcPr>
            <w:tcW w:w="2551" w:type="dxa"/>
            <w:vMerge w:val="restart"/>
            <w:tcBorders>
              <w:top w:val="triple" w:sz="4" w:space="0" w:color="auto"/>
            </w:tcBorders>
            <w:shd w:val="clear" w:color="auto" w:fill="FFFFFF"/>
            <w:vAlign w:val="center"/>
          </w:tcPr>
          <w:p w:rsidR="00654DCF" w:rsidRPr="0022006F" w:rsidRDefault="00654DCF" w:rsidP="00DA26F3">
            <w:pPr>
              <w:jc w:val="center"/>
              <w:rPr>
                <w:rFonts w:ascii="Calibri" w:hAnsi="Calibri"/>
                <w:sz w:val="20"/>
                <w:szCs w:val="20"/>
              </w:rPr>
            </w:pPr>
            <w:r w:rsidRPr="0022006F">
              <w:rPr>
                <w:rFonts w:ascii="Calibri" w:hAnsi="Calibri"/>
                <w:sz w:val="20"/>
                <w:szCs w:val="20"/>
              </w:rPr>
              <w:t xml:space="preserve">Taux d’inflation annuel </w:t>
            </w:r>
          </w:p>
          <w:p w:rsidR="00654DCF" w:rsidRPr="0022006F" w:rsidRDefault="00654DCF" w:rsidP="00DA26F3">
            <w:pPr>
              <w:jc w:val="center"/>
              <w:rPr>
                <w:rFonts w:ascii="Calibri" w:hAnsi="Calibri"/>
                <w:sz w:val="20"/>
                <w:szCs w:val="20"/>
              </w:rPr>
            </w:pPr>
            <w:r w:rsidRPr="0022006F">
              <w:rPr>
                <w:rFonts w:ascii="Calibri" w:hAnsi="Calibri"/>
                <w:sz w:val="20"/>
                <w:szCs w:val="20"/>
              </w:rPr>
              <w:t>(en %)</w:t>
            </w:r>
          </w:p>
        </w:tc>
        <w:tc>
          <w:tcPr>
            <w:tcW w:w="2268" w:type="dxa"/>
            <w:vMerge w:val="restart"/>
            <w:tcBorders>
              <w:top w:val="triple" w:sz="4" w:space="0" w:color="auto"/>
              <w:right w:val="triple" w:sz="4" w:space="0" w:color="auto"/>
            </w:tcBorders>
            <w:shd w:val="clear" w:color="auto" w:fill="FFFFFF"/>
            <w:vAlign w:val="center"/>
          </w:tcPr>
          <w:p w:rsidR="00654DCF" w:rsidRPr="0022006F" w:rsidRDefault="00654DCF" w:rsidP="00DA26F3">
            <w:pPr>
              <w:jc w:val="center"/>
              <w:rPr>
                <w:rFonts w:ascii="Calibri" w:hAnsi="Calibri"/>
                <w:sz w:val="20"/>
                <w:szCs w:val="20"/>
              </w:rPr>
            </w:pPr>
            <w:r w:rsidRPr="0022006F">
              <w:rPr>
                <w:rFonts w:ascii="Calibri" w:hAnsi="Calibri"/>
                <w:sz w:val="20"/>
                <w:szCs w:val="20"/>
              </w:rPr>
              <w:t>Encours de la dette intérieure</w:t>
            </w:r>
          </w:p>
          <w:p w:rsidR="00654DCF" w:rsidRPr="0022006F" w:rsidRDefault="00654DCF" w:rsidP="00DA26F3">
            <w:pPr>
              <w:jc w:val="center"/>
              <w:rPr>
                <w:rFonts w:ascii="Calibri" w:hAnsi="Calibri"/>
                <w:sz w:val="20"/>
                <w:szCs w:val="20"/>
              </w:rPr>
            </w:pPr>
            <w:r w:rsidRPr="0022006F">
              <w:rPr>
                <w:rFonts w:ascii="Calibri" w:hAnsi="Calibri"/>
                <w:sz w:val="20"/>
                <w:szCs w:val="20"/>
              </w:rPr>
              <w:t>et extérieure (en % du PIB)</w:t>
            </w:r>
          </w:p>
        </w:tc>
      </w:tr>
      <w:tr w:rsidR="00654DCF" w:rsidRPr="0022006F" w:rsidTr="00654DCF">
        <w:trPr>
          <w:cantSplit/>
          <w:trHeight w:val="330"/>
        </w:trPr>
        <w:tc>
          <w:tcPr>
            <w:tcW w:w="1369" w:type="dxa"/>
            <w:vMerge/>
            <w:tcBorders>
              <w:left w:val="nil"/>
              <w:right w:val="triple" w:sz="4" w:space="0" w:color="auto"/>
            </w:tcBorders>
            <w:shd w:val="clear" w:color="auto" w:fill="FFFFFF"/>
          </w:tcPr>
          <w:p w:rsidR="00654DCF" w:rsidRPr="0022006F" w:rsidRDefault="00654DCF" w:rsidP="00DA26F3">
            <w:pPr>
              <w:jc w:val="center"/>
              <w:rPr>
                <w:rFonts w:ascii="Calibri" w:hAnsi="Calibri"/>
                <w:sz w:val="20"/>
                <w:szCs w:val="20"/>
              </w:rPr>
            </w:pPr>
          </w:p>
        </w:tc>
        <w:tc>
          <w:tcPr>
            <w:tcW w:w="2387" w:type="dxa"/>
            <w:vMerge/>
            <w:tcBorders>
              <w:bottom w:val="triple" w:sz="4" w:space="0" w:color="auto"/>
            </w:tcBorders>
            <w:shd w:val="clear" w:color="auto" w:fill="FFFFFF"/>
          </w:tcPr>
          <w:p w:rsidR="00654DCF" w:rsidRPr="00F76D9B" w:rsidRDefault="00654DCF" w:rsidP="00DA26F3">
            <w:pPr>
              <w:jc w:val="center"/>
              <w:rPr>
                <w:rFonts w:ascii="Calibri" w:hAnsi="Calibri"/>
                <w:sz w:val="20"/>
                <w:szCs w:val="20"/>
              </w:rPr>
            </w:pPr>
          </w:p>
        </w:tc>
        <w:tc>
          <w:tcPr>
            <w:tcW w:w="2551" w:type="dxa"/>
            <w:vMerge/>
            <w:tcBorders>
              <w:bottom w:val="triple" w:sz="4" w:space="0" w:color="auto"/>
            </w:tcBorders>
            <w:shd w:val="clear" w:color="auto" w:fill="FFFFFF"/>
            <w:vAlign w:val="center"/>
          </w:tcPr>
          <w:p w:rsidR="00654DCF" w:rsidRPr="0022006F" w:rsidRDefault="00654DCF" w:rsidP="00DA26F3">
            <w:pPr>
              <w:jc w:val="center"/>
              <w:rPr>
                <w:rFonts w:ascii="Calibri" w:hAnsi="Calibri"/>
                <w:sz w:val="20"/>
                <w:szCs w:val="20"/>
              </w:rPr>
            </w:pPr>
          </w:p>
        </w:tc>
        <w:tc>
          <w:tcPr>
            <w:tcW w:w="2268" w:type="dxa"/>
            <w:vMerge/>
            <w:tcBorders>
              <w:bottom w:val="triple" w:sz="4" w:space="0" w:color="auto"/>
              <w:right w:val="triple" w:sz="4" w:space="0" w:color="auto"/>
            </w:tcBorders>
            <w:shd w:val="clear" w:color="auto" w:fill="FFFFFF"/>
            <w:vAlign w:val="center"/>
          </w:tcPr>
          <w:p w:rsidR="00654DCF" w:rsidRPr="0022006F" w:rsidRDefault="00654DCF" w:rsidP="00DA26F3">
            <w:pPr>
              <w:jc w:val="center"/>
              <w:rPr>
                <w:rFonts w:ascii="Calibri" w:hAnsi="Calibri"/>
                <w:sz w:val="20"/>
                <w:szCs w:val="20"/>
              </w:rPr>
            </w:pPr>
          </w:p>
        </w:tc>
      </w:tr>
      <w:tr w:rsidR="00654DCF" w:rsidRPr="0022006F" w:rsidTr="007C0D66">
        <w:trPr>
          <w:trHeight w:val="253"/>
        </w:trPr>
        <w:tc>
          <w:tcPr>
            <w:tcW w:w="1369" w:type="dxa"/>
            <w:tcBorders>
              <w:top w:val="triple" w:sz="4" w:space="0" w:color="auto"/>
              <w:left w:val="triple" w:sz="4" w:space="0" w:color="auto"/>
              <w:bottom w:val="triple" w:sz="4" w:space="0" w:color="auto"/>
            </w:tcBorders>
            <w:shd w:val="clear" w:color="auto" w:fill="FFFFFF"/>
          </w:tcPr>
          <w:p w:rsidR="00654DCF" w:rsidRPr="0022006F" w:rsidRDefault="00654DCF" w:rsidP="00DA26F3">
            <w:pPr>
              <w:jc w:val="center"/>
              <w:rPr>
                <w:rFonts w:ascii="Calibri" w:hAnsi="Calibri"/>
                <w:b/>
                <w:sz w:val="20"/>
                <w:szCs w:val="20"/>
              </w:rPr>
            </w:pPr>
            <w:r w:rsidRPr="0022006F">
              <w:rPr>
                <w:rFonts w:ascii="Calibri" w:hAnsi="Calibri"/>
                <w:b/>
                <w:sz w:val="20"/>
                <w:szCs w:val="20"/>
              </w:rPr>
              <w:t>Norme</w:t>
            </w:r>
          </w:p>
        </w:tc>
        <w:tc>
          <w:tcPr>
            <w:tcW w:w="2387" w:type="dxa"/>
            <w:tcBorders>
              <w:top w:val="triple" w:sz="4" w:space="0" w:color="auto"/>
              <w:bottom w:val="triple" w:sz="4" w:space="0" w:color="auto"/>
            </w:tcBorders>
            <w:shd w:val="clear" w:color="auto" w:fill="FFFFFF"/>
          </w:tcPr>
          <w:p w:rsidR="00654DCF" w:rsidRPr="00F76D9B" w:rsidRDefault="00654DCF" w:rsidP="00DA26F3">
            <w:pPr>
              <w:jc w:val="center"/>
              <w:rPr>
                <w:rFonts w:ascii="Calibri" w:hAnsi="Calibri"/>
                <w:sz w:val="20"/>
                <w:szCs w:val="20"/>
              </w:rPr>
            </w:pPr>
            <w:r w:rsidRPr="00F76D9B">
              <w:rPr>
                <w:rFonts w:ascii="Calibri" w:hAnsi="Calibri"/>
                <w:sz w:val="20"/>
                <w:szCs w:val="20"/>
              </w:rPr>
              <w:t>&gt;=-3</w:t>
            </w:r>
          </w:p>
        </w:tc>
        <w:tc>
          <w:tcPr>
            <w:tcW w:w="2551" w:type="dxa"/>
            <w:tcBorders>
              <w:top w:val="triple" w:sz="4" w:space="0" w:color="auto"/>
              <w:bottom w:val="triple" w:sz="4" w:space="0" w:color="auto"/>
            </w:tcBorders>
            <w:shd w:val="clear" w:color="auto" w:fill="FFFFFF"/>
          </w:tcPr>
          <w:p w:rsidR="00654DCF" w:rsidRPr="0022006F" w:rsidRDefault="00654DCF" w:rsidP="00DA26F3">
            <w:pPr>
              <w:jc w:val="center"/>
              <w:rPr>
                <w:rFonts w:ascii="Calibri" w:hAnsi="Calibri"/>
                <w:b/>
                <w:sz w:val="20"/>
                <w:szCs w:val="20"/>
              </w:rPr>
            </w:pPr>
            <w:r w:rsidRPr="0022006F">
              <w:rPr>
                <w:rFonts w:ascii="Calibri" w:hAnsi="Calibri"/>
                <w:b/>
                <w:sz w:val="20"/>
                <w:szCs w:val="20"/>
              </w:rPr>
              <w:t>&lt;=3</w:t>
            </w:r>
          </w:p>
        </w:tc>
        <w:tc>
          <w:tcPr>
            <w:tcW w:w="2268" w:type="dxa"/>
            <w:tcBorders>
              <w:top w:val="triple" w:sz="4" w:space="0" w:color="auto"/>
              <w:bottom w:val="triple" w:sz="4" w:space="0" w:color="auto"/>
              <w:right w:val="triple" w:sz="4" w:space="0" w:color="auto"/>
            </w:tcBorders>
            <w:shd w:val="clear" w:color="auto" w:fill="FFFFFF"/>
          </w:tcPr>
          <w:p w:rsidR="00654DCF" w:rsidRPr="0022006F" w:rsidRDefault="00654DCF" w:rsidP="00DA26F3">
            <w:pPr>
              <w:jc w:val="center"/>
              <w:rPr>
                <w:rFonts w:ascii="Calibri" w:hAnsi="Calibri"/>
                <w:b/>
                <w:sz w:val="20"/>
                <w:szCs w:val="20"/>
              </w:rPr>
            </w:pPr>
            <w:r w:rsidRPr="0022006F">
              <w:rPr>
                <w:rFonts w:ascii="Calibri" w:hAnsi="Calibri"/>
                <w:b/>
                <w:sz w:val="20"/>
                <w:szCs w:val="20"/>
              </w:rPr>
              <w:t>&lt;=70</w:t>
            </w:r>
          </w:p>
        </w:tc>
      </w:tr>
      <w:tr w:rsidR="00EC199D" w:rsidRPr="0022006F" w:rsidTr="008A75ED">
        <w:trPr>
          <w:trHeight w:val="342"/>
        </w:trPr>
        <w:tc>
          <w:tcPr>
            <w:tcW w:w="1369" w:type="dxa"/>
            <w:tcBorders>
              <w:top w:val="triple" w:sz="4" w:space="0" w:color="auto"/>
              <w:left w:val="triple" w:sz="4" w:space="0" w:color="auto"/>
            </w:tcBorders>
          </w:tcPr>
          <w:p w:rsidR="00EC199D" w:rsidRPr="0022006F" w:rsidRDefault="00EC199D" w:rsidP="00EC199D">
            <w:pPr>
              <w:spacing w:before="40" w:after="40"/>
              <w:rPr>
                <w:rFonts w:ascii="Calibri" w:hAnsi="Calibri"/>
                <w:b/>
                <w:sz w:val="20"/>
                <w:szCs w:val="20"/>
              </w:rPr>
            </w:pPr>
            <w:r w:rsidRPr="0022006F">
              <w:rPr>
                <w:rFonts w:ascii="Calibri" w:hAnsi="Calibri"/>
                <w:b/>
                <w:sz w:val="20"/>
                <w:szCs w:val="20"/>
              </w:rPr>
              <w:t>UEMOA</w:t>
            </w:r>
          </w:p>
        </w:tc>
        <w:tc>
          <w:tcPr>
            <w:tcW w:w="2387" w:type="dxa"/>
            <w:tcBorders>
              <w:top w:val="triple" w:sz="4" w:space="0" w:color="auto"/>
              <w:bottom w:val="single" w:sz="4" w:space="0" w:color="auto"/>
            </w:tcBorders>
            <w:shd w:val="clear" w:color="auto" w:fill="FFFFFF" w:themeFill="background1"/>
          </w:tcPr>
          <w:p w:rsidR="00EC199D" w:rsidRPr="00EC199D" w:rsidRDefault="00EC199D" w:rsidP="00EC199D">
            <w:pPr>
              <w:jc w:val="center"/>
              <w:rPr>
                <w:rFonts w:asciiTheme="minorHAnsi" w:hAnsiTheme="minorHAnsi" w:cstheme="minorHAnsi"/>
                <w:b/>
                <w:sz w:val="20"/>
                <w:szCs w:val="20"/>
              </w:rPr>
            </w:pPr>
            <w:r w:rsidRPr="00EC199D">
              <w:rPr>
                <w:rFonts w:asciiTheme="minorHAnsi" w:hAnsiTheme="minorHAnsi" w:cstheme="minorHAnsi"/>
                <w:b/>
                <w:sz w:val="20"/>
                <w:szCs w:val="20"/>
              </w:rPr>
              <w:t>-4,0</w:t>
            </w:r>
          </w:p>
        </w:tc>
        <w:tc>
          <w:tcPr>
            <w:tcW w:w="2551" w:type="dxa"/>
            <w:tcBorders>
              <w:top w:val="triple" w:sz="4" w:space="0" w:color="auto"/>
              <w:bottom w:val="single" w:sz="4" w:space="0" w:color="auto"/>
            </w:tcBorders>
            <w:shd w:val="clear" w:color="auto" w:fill="D6E3BC" w:themeFill="accent3" w:themeFillTint="66"/>
            <w:vAlign w:val="center"/>
          </w:tcPr>
          <w:p w:rsidR="00EC199D" w:rsidRPr="00EC199D" w:rsidRDefault="00EC199D" w:rsidP="00EC199D">
            <w:pPr>
              <w:spacing w:before="20" w:after="20"/>
              <w:jc w:val="center"/>
              <w:rPr>
                <w:rFonts w:asciiTheme="minorHAnsi" w:hAnsiTheme="minorHAnsi" w:cstheme="minorHAnsi"/>
                <w:b/>
                <w:sz w:val="20"/>
                <w:szCs w:val="20"/>
                <w:lang w:val="fr-CA"/>
              </w:rPr>
            </w:pPr>
            <w:r w:rsidRPr="00EC199D">
              <w:rPr>
                <w:rFonts w:asciiTheme="minorHAnsi" w:hAnsiTheme="minorHAnsi" w:cstheme="minorHAnsi"/>
                <w:b/>
                <w:sz w:val="20"/>
                <w:szCs w:val="20"/>
                <w:lang w:val="fr-CA"/>
              </w:rPr>
              <w:t>1,0</w:t>
            </w:r>
          </w:p>
        </w:tc>
        <w:tc>
          <w:tcPr>
            <w:tcW w:w="2268" w:type="dxa"/>
            <w:tcBorders>
              <w:top w:val="triple" w:sz="4" w:space="0" w:color="auto"/>
              <w:bottom w:val="single" w:sz="4" w:space="0" w:color="auto"/>
              <w:right w:val="triple" w:sz="4" w:space="0" w:color="auto"/>
            </w:tcBorders>
            <w:shd w:val="clear" w:color="auto" w:fill="D6E3BC" w:themeFill="accent3" w:themeFillTint="66"/>
            <w:vAlign w:val="center"/>
          </w:tcPr>
          <w:p w:rsidR="00EC199D" w:rsidRPr="00EC199D" w:rsidRDefault="00EC199D" w:rsidP="00EC199D">
            <w:pPr>
              <w:spacing w:before="20" w:after="20"/>
              <w:jc w:val="center"/>
              <w:rPr>
                <w:rFonts w:asciiTheme="minorHAnsi" w:hAnsiTheme="minorHAnsi" w:cstheme="minorHAnsi"/>
                <w:b/>
                <w:sz w:val="20"/>
                <w:szCs w:val="20"/>
                <w:lang w:val="fr-CA"/>
              </w:rPr>
            </w:pPr>
            <w:r w:rsidRPr="00EC199D">
              <w:rPr>
                <w:rFonts w:asciiTheme="minorHAnsi" w:hAnsiTheme="minorHAnsi" w:cstheme="minorHAnsi"/>
                <w:b/>
                <w:sz w:val="20"/>
                <w:szCs w:val="20"/>
                <w:lang w:val="fr-CA"/>
              </w:rPr>
              <w:t>39,3</w:t>
            </w:r>
          </w:p>
        </w:tc>
      </w:tr>
      <w:tr w:rsidR="00EC199D" w:rsidRPr="0022006F" w:rsidTr="008A75ED">
        <w:trPr>
          <w:trHeight w:val="312"/>
        </w:trPr>
        <w:tc>
          <w:tcPr>
            <w:tcW w:w="1369" w:type="dxa"/>
            <w:tcBorders>
              <w:left w:val="triple" w:sz="4" w:space="0" w:color="auto"/>
            </w:tcBorders>
          </w:tcPr>
          <w:p w:rsidR="00EC199D" w:rsidRPr="0022006F" w:rsidRDefault="00EC199D" w:rsidP="00EC199D">
            <w:pPr>
              <w:rPr>
                <w:rFonts w:ascii="Calibri" w:hAnsi="Calibri"/>
                <w:sz w:val="20"/>
                <w:szCs w:val="20"/>
              </w:rPr>
            </w:pPr>
            <w:r w:rsidRPr="0022006F">
              <w:rPr>
                <w:rFonts w:ascii="Calibri" w:hAnsi="Calibri"/>
                <w:sz w:val="20"/>
                <w:szCs w:val="20"/>
              </w:rPr>
              <w:t>Bénin</w:t>
            </w:r>
          </w:p>
        </w:tc>
        <w:tc>
          <w:tcPr>
            <w:tcW w:w="2387" w:type="dxa"/>
            <w:tcBorders>
              <w:bottom w:val="single" w:sz="4" w:space="0" w:color="auto"/>
            </w:tcBorders>
            <w:shd w:val="clear" w:color="auto" w:fill="FFFFFF" w:themeFill="background1"/>
          </w:tcPr>
          <w:p w:rsidR="00EC199D" w:rsidRPr="007C0D66" w:rsidRDefault="00EC199D" w:rsidP="00EC199D">
            <w:pPr>
              <w:jc w:val="center"/>
              <w:rPr>
                <w:rFonts w:asciiTheme="minorHAnsi" w:hAnsiTheme="minorHAnsi" w:cstheme="minorHAnsi"/>
                <w:sz w:val="20"/>
                <w:szCs w:val="20"/>
              </w:rPr>
            </w:pPr>
            <w:r w:rsidRPr="007C0D66">
              <w:rPr>
                <w:rFonts w:asciiTheme="minorHAnsi" w:hAnsiTheme="minorHAnsi" w:cstheme="minorHAnsi"/>
                <w:sz w:val="20"/>
                <w:szCs w:val="20"/>
              </w:rPr>
              <w:t>-5,6</w:t>
            </w:r>
          </w:p>
        </w:tc>
        <w:tc>
          <w:tcPr>
            <w:tcW w:w="2551" w:type="dxa"/>
            <w:tcBorders>
              <w:bottom w:val="single" w:sz="4" w:space="0" w:color="auto"/>
            </w:tcBorders>
            <w:shd w:val="clear" w:color="auto" w:fill="D6E3BC" w:themeFill="accent3" w:themeFillTint="66"/>
            <w:vAlign w:val="center"/>
          </w:tcPr>
          <w:p w:rsidR="00EC199D" w:rsidRPr="00EC199D" w:rsidRDefault="00EC199D" w:rsidP="00EC199D">
            <w:pPr>
              <w:spacing w:before="20" w:after="20"/>
              <w:jc w:val="center"/>
              <w:rPr>
                <w:rFonts w:asciiTheme="minorHAnsi" w:hAnsiTheme="minorHAnsi" w:cstheme="minorHAnsi"/>
                <w:sz w:val="20"/>
                <w:szCs w:val="20"/>
              </w:rPr>
            </w:pPr>
            <w:r w:rsidRPr="00EC199D">
              <w:rPr>
                <w:rFonts w:asciiTheme="minorHAnsi" w:hAnsiTheme="minorHAnsi" w:cstheme="minorHAnsi"/>
                <w:sz w:val="20"/>
                <w:szCs w:val="20"/>
              </w:rPr>
              <w:t>0,0</w:t>
            </w:r>
          </w:p>
        </w:tc>
        <w:tc>
          <w:tcPr>
            <w:tcW w:w="2268" w:type="dxa"/>
            <w:tcBorders>
              <w:bottom w:val="single" w:sz="4" w:space="0" w:color="auto"/>
              <w:right w:val="triple" w:sz="4" w:space="0" w:color="auto"/>
            </w:tcBorders>
            <w:shd w:val="clear" w:color="auto" w:fill="D6E3BC" w:themeFill="accent3" w:themeFillTint="66"/>
            <w:vAlign w:val="center"/>
          </w:tcPr>
          <w:p w:rsidR="00EC199D" w:rsidRPr="00EC199D" w:rsidRDefault="00EC199D" w:rsidP="00EC199D">
            <w:pPr>
              <w:spacing w:before="20" w:after="20"/>
              <w:jc w:val="center"/>
              <w:rPr>
                <w:rFonts w:asciiTheme="minorHAnsi" w:hAnsiTheme="minorHAnsi" w:cstheme="minorHAnsi"/>
                <w:sz w:val="20"/>
                <w:szCs w:val="20"/>
              </w:rPr>
            </w:pPr>
            <w:r w:rsidRPr="00EC199D">
              <w:rPr>
                <w:rFonts w:asciiTheme="minorHAnsi" w:hAnsiTheme="minorHAnsi" w:cstheme="minorHAnsi"/>
                <w:sz w:val="20"/>
                <w:szCs w:val="20"/>
              </w:rPr>
              <w:t>36,3</w:t>
            </w:r>
          </w:p>
        </w:tc>
      </w:tr>
      <w:tr w:rsidR="00EC199D" w:rsidRPr="0022006F" w:rsidTr="008A75ED">
        <w:trPr>
          <w:trHeight w:val="312"/>
        </w:trPr>
        <w:tc>
          <w:tcPr>
            <w:tcW w:w="1369" w:type="dxa"/>
            <w:tcBorders>
              <w:left w:val="triple" w:sz="4" w:space="0" w:color="auto"/>
            </w:tcBorders>
          </w:tcPr>
          <w:p w:rsidR="00EC199D" w:rsidRPr="0022006F" w:rsidRDefault="00EC199D" w:rsidP="00EC199D">
            <w:pPr>
              <w:rPr>
                <w:rFonts w:ascii="Calibri" w:hAnsi="Calibri"/>
                <w:sz w:val="20"/>
                <w:szCs w:val="20"/>
              </w:rPr>
            </w:pPr>
            <w:r w:rsidRPr="0022006F">
              <w:rPr>
                <w:rFonts w:ascii="Calibri" w:hAnsi="Calibri"/>
                <w:sz w:val="20"/>
                <w:szCs w:val="20"/>
              </w:rPr>
              <w:t>Burkina Faso</w:t>
            </w:r>
          </w:p>
        </w:tc>
        <w:tc>
          <w:tcPr>
            <w:tcW w:w="2387" w:type="dxa"/>
            <w:tcBorders>
              <w:bottom w:val="single" w:sz="4" w:space="0" w:color="auto"/>
            </w:tcBorders>
            <w:shd w:val="clear" w:color="auto" w:fill="D6E3BC" w:themeFill="accent3" w:themeFillTint="66"/>
          </w:tcPr>
          <w:p w:rsidR="00EC199D" w:rsidRPr="007C0D66" w:rsidRDefault="00EC199D" w:rsidP="00EC199D">
            <w:pPr>
              <w:jc w:val="center"/>
              <w:rPr>
                <w:rFonts w:asciiTheme="minorHAnsi" w:hAnsiTheme="minorHAnsi" w:cstheme="minorHAnsi"/>
                <w:sz w:val="20"/>
                <w:szCs w:val="20"/>
              </w:rPr>
            </w:pPr>
            <w:r w:rsidRPr="007C0D66">
              <w:rPr>
                <w:rFonts w:asciiTheme="minorHAnsi" w:hAnsiTheme="minorHAnsi" w:cstheme="minorHAnsi"/>
                <w:sz w:val="20"/>
                <w:szCs w:val="20"/>
              </w:rPr>
              <w:t>-2,4</w:t>
            </w:r>
          </w:p>
        </w:tc>
        <w:tc>
          <w:tcPr>
            <w:tcW w:w="2551" w:type="dxa"/>
            <w:tcBorders>
              <w:bottom w:val="single" w:sz="4" w:space="0" w:color="auto"/>
            </w:tcBorders>
            <w:shd w:val="clear" w:color="auto" w:fill="D6E3BC" w:themeFill="accent3" w:themeFillTint="66"/>
            <w:vAlign w:val="center"/>
          </w:tcPr>
          <w:p w:rsidR="00EC199D" w:rsidRPr="00EC199D" w:rsidRDefault="00EC199D" w:rsidP="00EC199D">
            <w:pPr>
              <w:spacing w:before="20" w:after="20"/>
              <w:jc w:val="center"/>
              <w:rPr>
                <w:rFonts w:asciiTheme="minorHAnsi" w:hAnsiTheme="minorHAnsi" w:cstheme="minorHAnsi"/>
                <w:sz w:val="20"/>
                <w:szCs w:val="20"/>
              </w:rPr>
            </w:pPr>
            <w:r w:rsidRPr="00EC199D">
              <w:rPr>
                <w:rFonts w:asciiTheme="minorHAnsi" w:hAnsiTheme="minorHAnsi" w:cstheme="minorHAnsi"/>
                <w:sz w:val="20"/>
                <w:szCs w:val="20"/>
              </w:rPr>
              <w:t>1,0</w:t>
            </w:r>
          </w:p>
        </w:tc>
        <w:tc>
          <w:tcPr>
            <w:tcW w:w="2268" w:type="dxa"/>
            <w:tcBorders>
              <w:bottom w:val="single" w:sz="4" w:space="0" w:color="auto"/>
              <w:right w:val="triple" w:sz="4" w:space="0" w:color="auto"/>
            </w:tcBorders>
            <w:shd w:val="clear" w:color="auto" w:fill="D6E3BC" w:themeFill="accent3" w:themeFillTint="66"/>
            <w:vAlign w:val="center"/>
          </w:tcPr>
          <w:p w:rsidR="00EC199D" w:rsidRPr="00EC199D" w:rsidRDefault="00EC199D" w:rsidP="00EC199D">
            <w:pPr>
              <w:spacing w:before="20" w:after="20"/>
              <w:jc w:val="center"/>
              <w:rPr>
                <w:rFonts w:asciiTheme="minorHAnsi" w:hAnsiTheme="minorHAnsi" w:cstheme="minorHAnsi"/>
                <w:sz w:val="20"/>
                <w:szCs w:val="20"/>
              </w:rPr>
            </w:pPr>
            <w:r w:rsidRPr="00EC199D">
              <w:rPr>
                <w:rFonts w:asciiTheme="minorHAnsi" w:hAnsiTheme="minorHAnsi" w:cstheme="minorHAnsi"/>
                <w:sz w:val="20"/>
                <w:szCs w:val="20"/>
              </w:rPr>
              <w:t>32,7</w:t>
            </w:r>
          </w:p>
        </w:tc>
      </w:tr>
      <w:tr w:rsidR="00EC199D" w:rsidRPr="0022006F" w:rsidTr="008A75ED">
        <w:trPr>
          <w:trHeight w:val="312"/>
        </w:trPr>
        <w:tc>
          <w:tcPr>
            <w:tcW w:w="1369" w:type="dxa"/>
            <w:tcBorders>
              <w:left w:val="triple" w:sz="4" w:space="0" w:color="auto"/>
            </w:tcBorders>
          </w:tcPr>
          <w:p w:rsidR="00EC199D" w:rsidRPr="0022006F" w:rsidRDefault="00EC199D" w:rsidP="00EC199D">
            <w:pPr>
              <w:rPr>
                <w:rFonts w:ascii="Calibri" w:hAnsi="Calibri"/>
                <w:sz w:val="20"/>
                <w:szCs w:val="20"/>
              </w:rPr>
            </w:pPr>
            <w:r w:rsidRPr="0022006F">
              <w:rPr>
                <w:rFonts w:ascii="Calibri" w:hAnsi="Calibri"/>
                <w:sz w:val="20"/>
                <w:szCs w:val="20"/>
              </w:rPr>
              <w:t>Côte d’Ivoire</w:t>
            </w:r>
          </w:p>
        </w:tc>
        <w:tc>
          <w:tcPr>
            <w:tcW w:w="2387" w:type="dxa"/>
            <w:tcBorders>
              <w:bottom w:val="single" w:sz="4" w:space="0" w:color="auto"/>
            </w:tcBorders>
            <w:shd w:val="clear" w:color="auto" w:fill="FFFFFF" w:themeFill="background1"/>
          </w:tcPr>
          <w:p w:rsidR="00EC199D" w:rsidRPr="007C0D66" w:rsidRDefault="00EC199D" w:rsidP="00EC199D">
            <w:pPr>
              <w:jc w:val="center"/>
              <w:rPr>
                <w:rFonts w:asciiTheme="minorHAnsi" w:hAnsiTheme="minorHAnsi" w:cstheme="minorHAnsi"/>
                <w:sz w:val="20"/>
                <w:szCs w:val="20"/>
              </w:rPr>
            </w:pPr>
            <w:r w:rsidRPr="007C0D66">
              <w:rPr>
                <w:rFonts w:asciiTheme="minorHAnsi" w:hAnsiTheme="minorHAnsi" w:cstheme="minorHAnsi"/>
                <w:sz w:val="20"/>
                <w:szCs w:val="20"/>
              </w:rPr>
              <w:t>-3,6</w:t>
            </w:r>
          </w:p>
        </w:tc>
        <w:tc>
          <w:tcPr>
            <w:tcW w:w="2551" w:type="dxa"/>
            <w:tcBorders>
              <w:bottom w:val="single" w:sz="4" w:space="0" w:color="auto"/>
            </w:tcBorders>
            <w:shd w:val="clear" w:color="auto" w:fill="D6E3BC" w:themeFill="accent3" w:themeFillTint="66"/>
            <w:vAlign w:val="center"/>
          </w:tcPr>
          <w:p w:rsidR="00EC199D" w:rsidRPr="00EC199D" w:rsidRDefault="00EC199D" w:rsidP="00EC199D">
            <w:pPr>
              <w:spacing w:before="20" w:after="20"/>
              <w:jc w:val="center"/>
              <w:rPr>
                <w:rFonts w:asciiTheme="minorHAnsi" w:hAnsiTheme="minorHAnsi" w:cstheme="minorHAnsi"/>
                <w:sz w:val="20"/>
                <w:szCs w:val="20"/>
              </w:rPr>
            </w:pPr>
            <w:r w:rsidRPr="00EC199D">
              <w:rPr>
                <w:rFonts w:asciiTheme="minorHAnsi" w:hAnsiTheme="minorHAnsi" w:cstheme="minorHAnsi"/>
                <w:sz w:val="20"/>
                <w:szCs w:val="20"/>
              </w:rPr>
              <w:t>1,5</w:t>
            </w:r>
          </w:p>
        </w:tc>
        <w:tc>
          <w:tcPr>
            <w:tcW w:w="2268" w:type="dxa"/>
            <w:tcBorders>
              <w:bottom w:val="single" w:sz="4" w:space="0" w:color="auto"/>
              <w:right w:val="triple" w:sz="4" w:space="0" w:color="auto"/>
            </w:tcBorders>
            <w:shd w:val="clear" w:color="auto" w:fill="D6E3BC" w:themeFill="accent3" w:themeFillTint="66"/>
            <w:vAlign w:val="center"/>
          </w:tcPr>
          <w:p w:rsidR="00EC199D" w:rsidRPr="00EC199D" w:rsidRDefault="00EC199D" w:rsidP="00EC199D">
            <w:pPr>
              <w:spacing w:before="20" w:after="20"/>
              <w:jc w:val="center"/>
              <w:rPr>
                <w:rFonts w:asciiTheme="minorHAnsi" w:hAnsiTheme="minorHAnsi" w:cstheme="minorHAnsi"/>
                <w:sz w:val="20"/>
                <w:szCs w:val="20"/>
              </w:rPr>
            </w:pPr>
            <w:r w:rsidRPr="00EC199D">
              <w:rPr>
                <w:rFonts w:asciiTheme="minorHAnsi" w:hAnsiTheme="minorHAnsi" w:cstheme="minorHAnsi"/>
                <w:sz w:val="20"/>
                <w:szCs w:val="20"/>
              </w:rPr>
              <w:t>40,0</w:t>
            </w:r>
          </w:p>
        </w:tc>
      </w:tr>
      <w:tr w:rsidR="00EC199D" w:rsidRPr="0022006F" w:rsidTr="008A75ED">
        <w:trPr>
          <w:trHeight w:val="312"/>
        </w:trPr>
        <w:tc>
          <w:tcPr>
            <w:tcW w:w="1369" w:type="dxa"/>
            <w:tcBorders>
              <w:left w:val="triple" w:sz="4" w:space="0" w:color="auto"/>
            </w:tcBorders>
          </w:tcPr>
          <w:p w:rsidR="00EC199D" w:rsidRPr="0022006F" w:rsidRDefault="00EC199D" w:rsidP="00EC199D">
            <w:pPr>
              <w:rPr>
                <w:rFonts w:ascii="Calibri" w:hAnsi="Calibri"/>
                <w:sz w:val="20"/>
                <w:szCs w:val="20"/>
              </w:rPr>
            </w:pPr>
            <w:r w:rsidRPr="0022006F">
              <w:rPr>
                <w:rFonts w:ascii="Calibri" w:hAnsi="Calibri"/>
                <w:sz w:val="20"/>
                <w:szCs w:val="20"/>
              </w:rPr>
              <w:t>Guinée-Bissau</w:t>
            </w:r>
          </w:p>
        </w:tc>
        <w:tc>
          <w:tcPr>
            <w:tcW w:w="2387" w:type="dxa"/>
            <w:tcBorders>
              <w:bottom w:val="single" w:sz="4" w:space="0" w:color="auto"/>
            </w:tcBorders>
            <w:shd w:val="clear" w:color="auto" w:fill="D6E3BC" w:themeFill="accent3" w:themeFillTint="66"/>
          </w:tcPr>
          <w:p w:rsidR="00EC199D" w:rsidRPr="007C0D66" w:rsidRDefault="00EC199D" w:rsidP="00EC199D">
            <w:pPr>
              <w:jc w:val="center"/>
              <w:rPr>
                <w:rFonts w:asciiTheme="minorHAnsi" w:hAnsiTheme="minorHAnsi" w:cstheme="minorHAnsi"/>
                <w:sz w:val="20"/>
                <w:szCs w:val="20"/>
              </w:rPr>
            </w:pPr>
            <w:r w:rsidRPr="007C0D66">
              <w:rPr>
                <w:rFonts w:asciiTheme="minorHAnsi" w:hAnsiTheme="minorHAnsi" w:cstheme="minorHAnsi"/>
                <w:sz w:val="20"/>
                <w:szCs w:val="20"/>
              </w:rPr>
              <w:t>-2,6</w:t>
            </w:r>
          </w:p>
        </w:tc>
        <w:tc>
          <w:tcPr>
            <w:tcW w:w="2551" w:type="dxa"/>
            <w:tcBorders>
              <w:bottom w:val="single" w:sz="4" w:space="0" w:color="auto"/>
            </w:tcBorders>
            <w:shd w:val="clear" w:color="auto" w:fill="D6E3BC" w:themeFill="accent3" w:themeFillTint="66"/>
            <w:vAlign w:val="center"/>
          </w:tcPr>
          <w:p w:rsidR="00EC199D" w:rsidRPr="00EC199D" w:rsidRDefault="00EC199D" w:rsidP="00EC199D">
            <w:pPr>
              <w:spacing w:before="20" w:after="20"/>
              <w:jc w:val="center"/>
              <w:rPr>
                <w:rFonts w:asciiTheme="minorHAnsi" w:hAnsiTheme="minorHAnsi" w:cstheme="minorHAnsi"/>
                <w:sz w:val="20"/>
                <w:szCs w:val="20"/>
              </w:rPr>
            </w:pPr>
            <w:r w:rsidRPr="00EC199D">
              <w:rPr>
                <w:rFonts w:asciiTheme="minorHAnsi" w:hAnsiTheme="minorHAnsi" w:cstheme="minorHAnsi"/>
                <w:sz w:val="20"/>
                <w:szCs w:val="20"/>
              </w:rPr>
              <w:t>1,4</w:t>
            </w:r>
          </w:p>
        </w:tc>
        <w:tc>
          <w:tcPr>
            <w:tcW w:w="2268" w:type="dxa"/>
            <w:tcBorders>
              <w:bottom w:val="single" w:sz="4" w:space="0" w:color="auto"/>
              <w:right w:val="triple" w:sz="4" w:space="0" w:color="auto"/>
            </w:tcBorders>
            <w:shd w:val="clear" w:color="auto" w:fill="D6E3BC" w:themeFill="accent3" w:themeFillTint="66"/>
            <w:vAlign w:val="center"/>
          </w:tcPr>
          <w:p w:rsidR="00EC199D" w:rsidRPr="00EC199D" w:rsidRDefault="00EC199D" w:rsidP="00EC199D">
            <w:pPr>
              <w:spacing w:before="20" w:after="20"/>
              <w:jc w:val="center"/>
              <w:rPr>
                <w:rFonts w:asciiTheme="minorHAnsi" w:hAnsiTheme="minorHAnsi" w:cstheme="minorHAnsi"/>
                <w:sz w:val="20"/>
                <w:szCs w:val="20"/>
              </w:rPr>
            </w:pPr>
            <w:r w:rsidRPr="00EC199D">
              <w:rPr>
                <w:rFonts w:asciiTheme="minorHAnsi" w:hAnsiTheme="minorHAnsi" w:cstheme="minorHAnsi"/>
                <w:sz w:val="20"/>
                <w:szCs w:val="20"/>
              </w:rPr>
              <w:t>68,2</w:t>
            </w:r>
          </w:p>
        </w:tc>
      </w:tr>
      <w:tr w:rsidR="00EC199D" w:rsidRPr="0022006F" w:rsidTr="008A75ED">
        <w:trPr>
          <w:trHeight w:val="312"/>
        </w:trPr>
        <w:tc>
          <w:tcPr>
            <w:tcW w:w="1369" w:type="dxa"/>
            <w:tcBorders>
              <w:left w:val="triple" w:sz="4" w:space="0" w:color="auto"/>
            </w:tcBorders>
          </w:tcPr>
          <w:p w:rsidR="00EC199D" w:rsidRPr="0022006F" w:rsidRDefault="00EC199D" w:rsidP="00EC199D">
            <w:pPr>
              <w:rPr>
                <w:rFonts w:ascii="Calibri" w:hAnsi="Calibri"/>
                <w:sz w:val="20"/>
                <w:szCs w:val="20"/>
              </w:rPr>
            </w:pPr>
            <w:r w:rsidRPr="0022006F">
              <w:rPr>
                <w:rFonts w:ascii="Calibri" w:hAnsi="Calibri"/>
                <w:sz w:val="20"/>
                <w:szCs w:val="20"/>
              </w:rPr>
              <w:t>Mali</w:t>
            </w:r>
          </w:p>
        </w:tc>
        <w:tc>
          <w:tcPr>
            <w:tcW w:w="2387" w:type="dxa"/>
            <w:tcBorders>
              <w:bottom w:val="single" w:sz="4" w:space="0" w:color="auto"/>
            </w:tcBorders>
            <w:shd w:val="clear" w:color="auto" w:fill="D6E3BC" w:themeFill="accent3" w:themeFillTint="66"/>
          </w:tcPr>
          <w:p w:rsidR="00EC199D" w:rsidRPr="007C0D66" w:rsidRDefault="00EC199D" w:rsidP="00EC199D">
            <w:pPr>
              <w:jc w:val="center"/>
              <w:rPr>
                <w:rFonts w:asciiTheme="minorHAnsi" w:hAnsiTheme="minorHAnsi" w:cstheme="minorHAnsi"/>
                <w:sz w:val="20"/>
                <w:szCs w:val="20"/>
              </w:rPr>
            </w:pPr>
            <w:r w:rsidRPr="007C0D66">
              <w:rPr>
                <w:rFonts w:asciiTheme="minorHAnsi" w:hAnsiTheme="minorHAnsi" w:cstheme="minorHAnsi"/>
                <w:sz w:val="20"/>
                <w:szCs w:val="20"/>
              </w:rPr>
              <w:t>-2,5</w:t>
            </w:r>
          </w:p>
        </w:tc>
        <w:tc>
          <w:tcPr>
            <w:tcW w:w="2551" w:type="dxa"/>
            <w:tcBorders>
              <w:bottom w:val="single" w:sz="4" w:space="0" w:color="auto"/>
              <w:right w:val="single" w:sz="4" w:space="0" w:color="auto"/>
            </w:tcBorders>
            <w:shd w:val="clear" w:color="auto" w:fill="D6E3BC" w:themeFill="accent3" w:themeFillTint="66"/>
            <w:vAlign w:val="center"/>
          </w:tcPr>
          <w:p w:rsidR="00EC199D" w:rsidRPr="00EC199D" w:rsidRDefault="00EC199D" w:rsidP="00EC199D">
            <w:pPr>
              <w:spacing w:before="20" w:after="20"/>
              <w:jc w:val="center"/>
              <w:rPr>
                <w:rFonts w:asciiTheme="minorHAnsi" w:hAnsiTheme="minorHAnsi" w:cstheme="minorHAnsi"/>
                <w:sz w:val="20"/>
                <w:szCs w:val="20"/>
              </w:rPr>
            </w:pPr>
            <w:r w:rsidRPr="00EC199D">
              <w:rPr>
                <w:rFonts w:asciiTheme="minorHAnsi" w:hAnsiTheme="minorHAnsi" w:cstheme="minorHAnsi"/>
                <w:sz w:val="20"/>
                <w:szCs w:val="20"/>
              </w:rPr>
              <w:t>2,1</w:t>
            </w:r>
          </w:p>
        </w:tc>
        <w:tc>
          <w:tcPr>
            <w:tcW w:w="2268" w:type="dxa"/>
            <w:tcBorders>
              <w:bottom w:val="single" w:sz="4" w:space="0" w:color="auto"/>
              <w:right w:val="triple" w:sz="4" w:space="0" w:color="auto"/>
            </w:tcBorders>
            <w:shd w:val="clear" w:color="auto" w:fill="D6E3BC" w:themeFill="accent3" w:themeFillTint="66"/>
            <w:vAlign w:val="center"/>
          </w:tcPr>
          <w:p w:rsidR="00EC199D" w:rsidRPr="00EC199D" w:rsidRDefault="00EC199D" w:rsidP="00EC199D">
            <w:pPr>
              <w:spacing w:before="20" w:after="20"/>
              <w:jc w:val="center"/>
              <w:rPr>
                <w:rFonts w:asciiTheme="minorHAnsi" w:hAnsiTheme="minorHAnsi" w:cstheme="minorHAnsi"/>
                <w:sz w:val="20"/>
                <w:szCs w:val="20"/>
              </w:rPr>
            </w:pPr>
            <w:r w:rsidRPr="00EC199D">
              <w:rPr>
                <w:rFonts w:asciiTheme="minorHAnsi" w:hAnsiTheme="minorHAnsi" w:cstheme="minorHAnsi"/>
                <w:sz w:val="20"/>
                <w:szCs w:val="20"/>
              </w:rPr>
              <w:t>35,0</w:t>
            </w:r>
          </w:p>
        </w:tc>
      </w:tr>
      <w:tr w:rsidR="00EC199D" w:rsidRPr="0022006F" w:rsidTr="008A75ED">
        <w:trPr>
          <w:trHeight w:val="312"/>
        </w:trPr>
        <w:tc>
          <w:tcPr>
            <w:tcW w:w="1369" w:type="dxa"/>
            <w:tcBorders>
              <w:left w:val="triple" w:sz="4" w:space="0" w:color="auto"/>
            </w:tcBorders>
            <w:shd w:val="clear" w:color="auto" w:fill="FFFFFF"/>
          </w:tcPr>
          <w:p w:rsidR="00EC199D" w:rsidRPr="0022006F" w:rsidRDefault="00EC199D" w:rsidP="00EC199D">
            <w:pPr>
              <w:rPr>
                <w:rFonts w:ascii="Calibri" w:hAnsi="Calibri"/>
                <w:sz w:val="20"/>
                <w:szCs w:val="20"/>
              </w:rPr>
            </w:pPr>
            <w:r w:rsidRPr="0022006F">
              <w:rPr>
                <w:rFonts w:ascii="Calibri" w:hAnsi="Calibri"/>
                <w:sz w:val="20"/>
                <w:szCs w:val="20"/>
              </w:rPr>
              <w:t>Niger</w:t>
            </w:r>
          </w:p>
        </w:tc>
        <w:tc>
          <w:tcPr>
            <w:tcW w:w="2387" w:type="dxa"/>
            <w:shd w:val="clear" w:color="auto" w:fill="FFFFFF" w:themeFill="background1"/>
          </w:tcPr>
          <w:p w:rsidR="00EC199D" w:rsidRPr="007C0D66" w:rsidRDefault="00EC199D" w:rsidP="00EC199D">
            <w:pPr>
              <w:jc w:val="center"/>
              <w:rPr>
                <w:rFonts w:asciiTheme="minorHAnsi" w:hAnsiTheme="minorHAnsi" w:cstheme="minorHAnsi"/>
                <w:sz w:val="20"/>
                <w:szCs w:val="20"/>
              </w:rPr>
            </w:pPr>
            <w:r w:rsidRPr="007C0D66">
              <w:rPr>
                <w:rFonts w:asciiTheme="minorHAnsi" w:hAnsiTheme="minorHAnsi" w:cstheme="minorHAnsi"/>
                <w:sz w:val="20"/>
                <w:szCs w:val="20"/>
              </w:rPr>
              <w:t>-6,9</w:t>
            </w:r>
          </w:p>
        </w:tc>
        <w:tc>
          <w:tcPr>
            <w:tcW w:w="2551" w:type="dxa"/>
            <w:tcBorders>
              <w:top w:val="single" w:sz="4" w:space="0" w:color="auto"/>
              <w:bottom w:val="single" w:sz="4" w:space="0" w:color="auto"/>
            </w:tcBorders>
            <w:shd w:val="clear" w:color="auto" w:fill="D6E3BC" w:themeFill="accent3" w:themeFillTint="66"/>
            <w:vAlign w:val="center"/>
          </w:tcPr>
          <w:p w:rsidR="00EC199D" w:rsidRPr="00EC199D" w:rsidRDefault="00EC199D" w:rsidP="00EC199D">
            <w:pPr>
              <w:spacing w:before="20" w:after="20"/>
              <w:jc w:val="center"/>
              <w:rPr>
                <w:rFonts w:asciiTheme="minorHAnsi" w:hAnsiTheme="minorHAnsi" w:cstheme="minorHAnsi"/>
                <w:sz w:val="20"/>
                <w:szCs w:val="20"/>
              </w:rPr>
            </w:pPr>
            <w:r w:rsidRPr="00EC199D">
              <w:rPr>
                <w:rFonts w:asciiTheme="minorHAnsi" w:hAnsiTheme="minorHAnsi" w:cstheme="minorHAnsi"/>
                <w:sz w:val="20"/>
                <w:szCs w:val="20"/>
              </w:rPr>
              <w:t>0,6</w:t>
            </w:r>
          </w:p>
        </w:tc>
        <w:tc>
          <w:tcPr>
            <w:tcW w:w="2268" w:type="dxa"/>
            <w:tcBorders>
              <w:top w:val="single" w:sz="4" w:space="0" w:color="auto"/>
              <w:bottom w:val="single" w:sz="4" w:space="0" w:color="auto"/>
              <w:right w:val="triple" w:sz="4" w:space="0" w:color="auto"/>
            </w:tcBorders>
            <w:shd w:val="clear" w:color="auto" w:fill="D6E3BC" w:themeFill="accent3" w:themeFillTint="66"/>
            <w:vAlign w:val="center"/>
          </w:tcPr>
          <w:p w:rsidR="00EC199D" w:rsidRPr="00EC199D" w:rsidRDefault="00EC199D" w:rsidP="00EC199D">
            <w:pPr>
              <w:spacing w:before="20" w:after="20"/>
              <w:jc w:val="center"/>
              <w:rPr>
                <w:rFonts w:asciiTheme="minorHAnsi" w:hAnsiTheme="minorHAnsi" w:cstheme="minorHAnsi"/>
                <w:sz w:val="20"/>
                <w:szCs w:val="20"/>
              </w:rPr>
            </w:pPr>
            <w:r w:rsidRPr="00EC199D">
              <w:rPr>
                <w:rFonts w:asciiTheme="minorHAnsi" w:hAnsiTheme="minorHAnsi" w:cstheme="minorHAnsi"/>
                <w:sz w:val="20"/>
                <w:szCs w:val="20"/>
              </w:rPr>
              <w:t>23,5</w:t>
            </w:r>
          </w:p>
        </w:tc>
      </w:tr>
      <w:tr w:rsidR="00EC199D" w:rsidRPr="0022006F" w:rsidTr="008A75ED">
        <w:trPr>
          <w:trHeight w:val="312"/>
        </w:trPr>
        <w:tc>
          <w:tcPr>
            <w:tcW w:w="1369" w:type="dxa"/>
            <w:tcBorders>
              <w:left w:val="triple" w:sz="4" w:space="0" w:color="auto"/>
            </w:tcBorders>
            <w:shd w:val="clear" w:color="auto" w:fill="FFFFFF"/>
          </w:tcPr>
          <w:p w:rsidR="00EC199D" w:rsidRPr="0022006F" w:rsidRDefault="00EC199D" w:rsidP="00EC199D">
            <w:pPr>
              <w:rPr>
                <w:rFonts w:ascii="Calibri" w:hAnsi="Calibri"/>
                <w:sz w:val="20"/>
                <w:szCs w:val="20"/>
              </w:rPr>
            </w:pPr>
            <w:r w:rsidRPr="0022006F">
              <w:rPr>
                <w:rFonts w:ascii="Calibri" w:hAnsi="Calibri"/>
                <w:sz w:val="20"/>
                <w:szCs w:val="20"/>
              </w:rPr>
              <w:t>Sénégal</w:t>
            </w:r>
          </w:p>
        </w:tc>
        <w:tc>
          <w:tcPr>
            <w:tcW w:w="2387" w:type="dxa"/>
            <w:tcBorders>
              <w:bottom w:val="single" w:sz="4" w:space="0" w:color="auto"/>
            </w:tcBorders>
            <w:shd w:val="clear" w:color="auto" w:fill="FFFFFF" w:themeFill="background1"/>
          </w:tcPr>
          <w:p w:rsidR="00EC199D" w:rsidRPr="007C0D66" w:rsidRDefault="00EC199D" w:rsidP="00EC199D">
            <w:pPr>
              <w:jc w:val="center"/>
              <w:rPr>
                <w:rFonts w:asciiTheme="minorHAnsi" w:hAnsiTheme="minorHAnsi" w:cstheme="minorHAnsi"/>
                <w:sz w:val="20"/>
                <w:szCs w:val="20"/>
              </w:rPr>
            </w:pPr>
            <w:r w:rsidRPr="007C0D66">
              <w:rPr>
                <w:rFonts w:asciiTheme="minorHAnsi" w:hAnsiTheme="minorHAnsi" w:cstheme="minorHAnsi"/>
                <w:sz w:val="20"/>
                <w:szCs w:val="20"/>
              </w:rPr>
              <w:t>-4,8</w:t>
            </w:r>
          </w:p>
        </w:tc>
        <w:tc>
          <w:tcPr>
            <w:tcW w:w="2551" w:type="dxa"/>
            <w:tcBorders>
              <w:bottom w:val="single" w:sz="4" w:space="0" w:color="auto"/>
            </w:tcBorders>
            <w:shd w:val="clear" w:color="auto" w:fill="D6E3BC" w:themeFill="accent3" w:themeFillTint="66"/>
            <w:vAlign w:val="center"/>
          </w:tcPr>
          <w:p w:rsidR="00EC199D" w:rsidRPr="00EC199D" w:rsidRDefault="00EC199D" w:rsidP="00EC199D">
            <w:pPr>
              <w:spacing w:before="20" w:after="20"/>
              <w:jc w:val="center"/>
              <w:rPr>
                <w:rFonts w:asciiTheme="minorHAnsi" w:hAnsiTheme="minorHAnsi" w:cstheme="minorHAnsi"/>
                <w:sz w:val="20"/>
                <w:szCs w:val="20"/>
              </w:rPr>
            </w:pPr>
            <w:r w:rsidRPr="00EC199D">
              <w:rPr>
                <w:rFonts w:asciiTheme="minorHAnsi" w:hAnsiTheme="minorHAnsi" w:cstheme="minorHAnsi"/>
                <w:sz w:val="20"/>
                <w:szCs w:val="20"/>
              </w:rPr>
              <w:t>-0,5</w:t>
            </w:r>
          </w:p>
        </w:tc>
        <w:tc>
          <w:tcPr>
            <w:tcW w:w="2268" w:type="dxa"/>
            <w:tcBorders>
              <w:top w:val="single" w:sz="4" w:space="0" w:color="auto"/>
              <w:bottom w:val="single" w:sz="4" w:space="0" w:color="auto"/>
              <w:right w:val="triple" w:sz="4" w:space="0" w:color="auto"/>
            </w:tcBorders>
            <w:shd w:val="clear" w:color="auto" w:fill="D6E3BC" w:themeFill="accent3" w:themeFillTint="66"/>
            <w:vAlign w:val="center"/>
          </w:tcPr>
          <w:p w:rsidR="00EC199D" w:rsidRPr="00EC199D" w:rsidRDefault="00EC199D" w:rsidP="00EC199D">
            <w:pPr>
              <w:spacing w:before="20" w:after="20"/>
              <w:jc w:val="center"/>
              <w:rPr>
                <w:rFonts w:asciiTheme="minorHAnsi" w:hAnsiTheme="minorHAnsi" w:cstheme="minorHAnsi"/>
                <w:sz w:val="20"/>
                <w:szCs w:val="20"/>
              </w:rPr>
            </w:pPr>
            <w:r w:rsidRPr="00EC199D">
              <w:rPr>
                <w:rFonts w:asciiTheme="minorHAnsi" w:hAnsiTheme="minorHAnsi" w:cstheme="minorHAnsi"/>
                <w:sz w:val="20"/>
                <w:szCs w:val="20"/>
              </w:rPr>
              <w:t>55,2</w:t>
            </w:r>
          </w:p>
        </w:tc>
      </w:tr>
      <w:tr w:rsidR="00EC199D" w:rsidRPr="0022006F" w:rsidTr="008A75ED">
        <w:trPr>
          <w:trHeight w:val="312"/>
        </w:trPr>
        <w:tc>
          <w:tcPr>
            <w:tcW w:w="1369" w:type="dxa"/>
            <w:tcBorders>
              <w:left w:val="triple" w:sz="4" w:space="0" w:color="auto"/>
              <w:bottom w:val="triple" w:sz="4" w:space="0" w:color="auto"/>
            </w:tcBorders>
          </w:tcPr>
          <w:p w:rsidR="00EC199D" w:rsidRPr="0022006F" w:rsidRDefault="00EC199D" w:rsidP="00EC199D">
            <w:pPr>
              <w:rPr>
                <w:rFonts w:ascii="Calibri" w:hAnsi="Calibri"/>
                <w:sz w:val="20"/>
                <w:szCs w:val="20"/>
              </w:rPr>
            </w:pPr>
            <w:r w:rsidRPr="0022006F">
              <w:rPr>
                <w:rFonts w:ascii="Calibri" w:hAnsi="Calibri"/>
                <w:sz w:val="20"/>
                <w:szCs w:val="20"/>
              </w:rPr>
              <w:t>Togo</w:t>
            </w:r>
          </w:p>
        </w:tc>
        <w:tc>
          <w:tcPr>
            <w:tcW w:w="2387" w:type="dxa"/>
            <w:tcBorders>
              <w:bottom w:val="triple" w:sz="4" w:space="0" w:color="auto"/>
            </w:tcBorders>
            <w:shd w:val="clear" w:color="auto" w:fill="FFFFFF" w:themeFill="background1"/>
          </w:tcPr>
          <w:p w:rsidR="00EC199D" w:rsidRPr="007C0D66" w:rsidRDefault="00EC199D" w:rsidP="00EC199D">
            <w:pPr>
              <w:jc w:val="center"/>
              <w:rPr>
                <w:rFonts w:asciiTheme="minorHAnsi" w:hAnsiTheme="minorHAnsi" w:cstheme="minorHAnsi"/>
                <w:sz w:val="20"/>
                <w:szCs w:val="20"/>
              </w:rPr>
            </w:pPr>
            <w:r w:rsidRPr="007C0D66">
              <w:rPr>
                <w:rFonts w:asciiTheme="minorHAnsi" w:hAnsiTheme="minorHAnsi" w:cstheme="minorHAnsi"/>
                <w:sz w:val="20"/>
                <w:szCs w:val="20"/>
              </w:rPr>
              <w:t>-3,7</w:t>
            </w:r>
          </w:p>
        </w:tc>
        <w:tc>
          <w:tcPr>
            <w:tcW w:w="2551" w:type="dxa"/>
            <w:tcBorders>
              <w:bottom w:val="triple" w:sz="4" w:space="0" w:color="auto"/>
            </w:tcBorders>
            <w:shd w:val="clear" w:color="auto" w:fill="D6E3BC" w:themeFill="accent3" w:themeFillTint="66"/>
            <w:vAlign w:val="center"/>
          </w:tcPr>
          <w:p w:rsidR="00EC199D" w:rsidRPr="00EC199D" w:rsidRDefault="00EC199D" w:rsidP="00EC199D">
            <w:pPr>
              <w:spacing w:before="20" w:after="20"/>
              <w:jc w:val="center"/>
              <w:rPr>
                <w:rFonts w:asciiTheme="minorHAnsi" w:hAnsiTheme="minorHAnsi" w:cstheme="minorHAnsi"/>
                <w:sz w:val="20"/>
                <w:szCs w:val="20"/>
                <w:lang w:val="fr-CA"/>
              </w:rPr>
            </w:pPr>
            <w:r w:rsidRPr="00EC199D">
              <w:rPr>
                <w:rFonts w:asciiTheme="minorHAnsi" w:hAnsiTheme="minorHAnsi" w:cstheme="minorHAnsi"/>
                <w:sz w:val="20"/>
                <w:szCs w:val="20"/>
                <w:lang w:val="fr-CA"/>
              </w:rPr>
              <w:t>2,1</w:t>
            </w:r>
          </w:p>
        </w:tc>
        <w:tc>
          <w:tcPr>
            <w:tcW w:w="2268" w:type="dxa"/>
            <w:tcBorders>
              <w:top w:val="single" w:sz="4" w:space="0" w:color="auto"/>
              <w:bottom w:val="triple" w:sz="4" w:space="0" w:color="auto"/>
              <w:right w:val="triple" w:sz="4" w:space="0" w:color="auto"/>
            </w:tcBorders>
            <w:shd w:val="clear" w:color="auto" w:fill="D6E3BC" w:themeFill="accent3" w:themeFillTint="66"/>
            <w:vAlign w:val="center"/>
          </w:tcPr>
          <w:p w:rsidR="00EC199D" w:rsidRPr="00EC199D" w:rsidRDefault="00EC199D" w:rsidP="00EC199D">
            <w:pPr>
              <w:spacing w:before="20" w:after="20"/>
              <w:jc w:val="center"/>
              <w:rPr>
                <w:rFonts w:asciiTheme="minorHAnsi" w:hAnsiTheme="minorHAnsi" w:cstheme="minorHAnsi"/>
                <w:sz w:val="20"/>
                <w:szCs w:val="20"/>
                <w:lang w:val="fr-CA"/>
              </w:rPr>
            </w:pPr>
            <w:r w:rsidRPr="00EC199D">
              <w:rPr>
                <w:rFonts w:asciiTheme="minorHAnsi" w:hAnsiTheme="minorHAnsi" w:cstheme="minorHAnsi"/>
                <w:sz w:val="20"/>
                <w:szCs w:val="20"/>
                <w:lang w:val="fr-CA"/>
              </w:rPr>
              <w:t>35,6</w:t>
            </w:r>
          </w:p>
        </w:tc>
      </w:tr>
    </w:tbl>
    <w:p w:rsidR="00654DCF" w:rsidRPr="0022006F" w:rsidRDefault="00654DCF" w:rsidP="00654DCF">
      <w:pPr>
        <w:jc w:val="both"/>
        <w:rPr>
          <w:rFonts w:ascii="Arial" w:hAnsi="Arial" w:cs="Arial"/>
          <w:sz w:val="24"/>
          <w:szCs w:val="24"/>
        </w:rPr>
      </w:pPr>
    </w:p>
    <w:p w:rsidR="007C0D66" w:rsidRPr="007840B2" w:rsidRDefault="007C0D66" w:rsidP="007C0D66">
      <w:pPr>
        <w:spacing w:after="120" w:line="288" w:lineRule="auto"/>
        <w:jc w:val="both"/>
        <w:rPr>
          <w:rFonts w:asciiTheme="minorHAnsi" w:hAnsiTheme="minorHAnsi" w:cstheme="minorHAnsi"/>
          <w:b/>
          <w:bCs/>
          <w:sz w:val="24"/>
          <w:szCs w:val="24"/>
        </w:rPr>
      </w:pPr>
      <w:r w:rsidRPr="007840B2">
        <w:rPr>
          <w:rFonts w:asciiTheme="minorHAnsi" w:hAnsiTheme="minorHAnsi" w:cstheme="minorHAnsi"/>
          <w:b/>
          <w:sz w:val="24"/>
          <w:szCs w:val="24"/>
        </w:rPr>
        <w:t>C</w:t>
      </w:r>
      <w:r w:rsidRPr="007840B2">
        <w:rPr>
          <w:rFonts w:asciiTheme="minorHAnsi" w:hAnsiTheme="minorHAnsi" w:cstheme="minorHAnsi"/>
          <w:b/>
          <w:bCs/>
          <w:sz w:val="24"/>
          <w:szCs w:val="24"/>
        </w:rPr>
        <w:t>ritères de premier rang</w:t>
      </w:r>
    </w:p>
    <w:p w:rsidR="007C0D66" w:rsidRDefault="007C0D66" w:rsidP="00C45F9E">
      <w:pPr>
        <w:numPr>
          <w:ilvl w:val="0"/>
          <w:numId w:val="12"/>
        </w:numPr>
        <w:tabs>
          <w:tab w:val="left" w:pos="360"/>
        </w:tabs>
        <w:autoSpaceDE w:val="0"/>
        <w:autoSpaceDN w:val="0"/>
        <w:adjustRightInd w:val="0"/>
        <w:spacing w:before="240" w:after="120" w:line="288" w:lineRule="auto"/>
        <w:jc w:val="both"/>
        <w:rPr>
          <w:rFonts w:asciiTheme="minorHAnsi" w:hAnsiTheme="minorHAnsi" w:cstheme="minorHAnsi"/>
          <w:sz w:val="24"/>
          <w:szCs w:val="24"/>
        </w:rPr>
      </w:pPr>
      <w:r w:rsidRPr="007840B2">
        <w:rPr>
          <w:rFonts w:asciiTheme="minorHAnsi" w:hAnsiTheme="minorHAnsi" w:cstheme="minorHAnsi"/>
          <w:b/>
          <w:bCs/>
          <w:sz w:val="24"/>
          <w:szCs w:val="24"/>
        </w:rPr>
        <w:t xml:space="preserve">Le Ratio solde budgétaire global, dons compris, sur le PIB nominal </w:t>
      </w:r>
      <w:r w:rsidRPr="007840B2">
        <w:rPr>
          <w:rFonts w:asciiTheme="minorHAnsi" w:hAnsiTheme="minorHAnsi" w:cstheme="minorHAnsi"/>
          <w:bCs/>
          <w:sz w:val="24"/>
          <w:szCs w:val="24"/>
        </w:rPr>
        <w:t xml:space="preserve">est ressorti à 4,0% en 2015 contre 3,1% en 2014. Trois </w:t>
      </w:r>
      <w:r w:rsidR="007840B2" w:rsidRPr="007840B2">
        <w:rPr>
          <w:rFonts w:asciiTheme="minorHAnsi" w:hAnsiTheme="minorHAnsi" w:cstheme="minorHAnsi"/>
          <w:bCs/>
          <w:sz w:val="24"/>
          <w:szCs w:val="24"/>
        </w:rPr>
        <w:t>États</w:t>
      </w:r>
      <w:r w:rsidRPr="007840B2">
        <w:rPr>
          <w:rFonts w:asciiTheme="minorHAnsi" w:hAnsiTheme="minorHAnsi" w:cstheme="minorHAnsi"/>
          <w:bCs/>
          <w:sz w:val="24"/>
          <w:szCs w:val="24"/>
        </w:rPr>
        <w:t xml:space="preserve">, </w:t>
      </w:r>
      <w:r w:rsidRPr="007840B2">
        <w:rPr>
          <w:rFonts w:asciiTheme="minorHAnsi" w:hAnsiTheme="minorHAnsi" w:cstheme="minorHAnsi"/>
          <w:sz w:val="24"/>
          <w:szCs w:val="24"/>
        </w:rPr>
        <w:t>le Burkina Faso (2,4%), la Guinée Bissau (2,6%) et le Mali (2,5%)</w:t>
      </w:r>
      <w:r w:rsidRPr="007840B2">
        <w:rPr>
          <w:rFonts w:asciiTheme="minorHAnsi" w:hAnsiTheme="minorHAnsi" w:cstheme="minorHAnsi"/>
          <w:bCs/>
          <w:sz w:val="24"/>
          <w:szCs w:val="24"/>
        </w:rPr>
        <w:t xml:space="preserve"> ont respecté ce critère. </w:t>
      </w:r>
      <w:r w:rsidRPr="007840B2">
        <w:rPr>
          <w:rFonts w:asciiTheme="minorHAnsi" w:hAnsiTheme="minorHAnsi" w:cstheme="minorHAnsi"/>
          <w:sz w:val="24"/>
          <w:szCs w:val="24"/>
        </w:rPr>
        <w:t xml:space="preserve">Pour les autres </w:t>
      </w:r>
      <w:r w:rsidR="007840B2" w:rsidRPr="007840B2">
        <w:rPr>
          <w:rFonts w:asciiTheme="minorHAnsi" w:hAnsiTheme="minorHAnsi" w:cstheme="minorHAnsi"/>
          <w:sz w:val="24"/>
          <w:szCs w:val="24"/>
        </w:rPr>
        <w:t>États</w:t>
      </w:r>
      <w:r w:rsidRPr="007840B2">
        <w:rPr>
          <w:rFonts w:asciiTheme="minorHAnsi" w:hAnsiTheme="minorHAnsi" w:cstheme="minorHAnsi"/>
          <w:sz w:val="24"/>
          <w:szCs w:val="24"/>
        </w:rPr>
        <w:t xml:space="preserve"> membres, la situation se présente comme suit : Bénin (-5,6%), Côte d’Ivoire (-3,6%), Niger (-6,9%), Sénégal (-4,8%) et Togo (-3,7%). Sur la période 2010-2013, ce critère n’a été respecté qu’en 2010. Toutefois, le Bénin a respecté ce critère pendant toute la période. En 2016, le Burkina Faso, la Guinée Bissau et le </w:t>
      </w:r>
      <w:r w:rsidR="007840B2">
        <w:rPr>
          <w:rFonts w:asciiTheme="minorHAnsi" w:hAnsiTheme="minorHAnsi" w:cstheme="minorHAnsi"/>
          <w:sz w:val="24"/>
          <w:szCs w:val="24"/>
        </w:rPr>
        <w:t>Togo respecteraient ce critère.</w:t>
      </w:r>
    </w:p>
    <w:p w:rsidR="00CB7F8F" w:rsidRDefault="00CB7F8F">
      <w:pPr>
        <w:rPr>
          <w:rFonts w:asciiTheme="minorHAnsi" w:hAnsiTheme="minorHAnsi" w:cstheme="minorHAnsi"/>
          <w:sz w:val="24"/>
          <w:szCs w:val="24"/>
        </w:rPr>
      </w:pPr>
      <w:r>
        <w:rPr>
          <w:rFonts w:asciiTheme="minorHAnsi" w:hAnsiTheme="minorHAnsi" w:cstheme="minorHAnsi"/>
          <w:sz w:val="24"/>
          <w:szCs w:val="24"/>
        </w:rPr>
        <w:br w:type="page"/>
      </w:r>
    </w:p>
    <w:p w:rsidR="00CB7F8F" w:rsidRPr="007840B2" w:rsidRDefault="00CB7F8F" w:rsidP="00CB7F8F">
      <w:pPr>
        <w:tabs>
          <w:tab w:val="left" w:pos="360"/>
        </w:tabs>
        <w:autoSpaceDE w:val="0"/>
        <w:autoSpaceDN w:val="0"/>
        <w:adjustRightInd w:val="0"/>
        <w:spacing w:before="240" w:after="120" w:line="288" w:lineRule="auto"/>
        <w:jc w:val="both"/>
        <w:rPr>
          <w:rFonts w:asciiTheme="minorHAnsi" w:hAnsiTheme="minorHAnsi" w:cstheme="minorHAnsi"/>
          <w:sz w:val="24"/>
          <w:szCs w:val="24"/>
        </w:rPr>
      </w:pPr>
    </w:p>
    <w:p w:rsidR="007C0D66" w:rsidRDefault="007C0D66" w:rsidP="007C0D66">
      <w:pPr>
        <w:tabs>
          <w:tab w:val="left" w:pos="360"/>
        </w:tabs>
        <w:autoSpaceDE w:val="0"/>
        <w:autoSpaceDN w:val="0"/>
        <w:adjustRightInd w:val="0"/>
        <w:spacing w:before="240" w:after="120" w:line="288" w:lineRule="auto"/>
        <w:jc w:val="both"/>
        <w:rPr>
          <w:rFonts w:ascii="Arial" w:hAnsi="Arial" w:cs="Arial"/>
          <w:b/>
          <w:bCs/>
          <w:sz w:val="24"/>
          <w:szCs w:val="24"/>
        </w:rPr>
      </w:pPr>
      <w:r>
        <w:rPr>
          <w:rFonts w:ascii="Calibri" w:hAnsi="Calibri"/>
          <w:b/>
          <w:color w:val="365F91" w:themeColor="accent1" w:themeShade="BF"/>
          <w:sz w:val="24"/>
          <w:szCs w:val="24"/>
        </w:rPr>
        <w:t xml:space="preserve">Graphique </w:t>
      </w:r>
      <w:r w:rsidR="00D02AC4">
        <w:rPr>
          <w:rFonts w:ascii="Calibri" w:hAnsi="Calibri"/>
          <w:b/>
          <w:color w:val="365F91" w:themeColor="accent1" w:themeShade="BF"/>
          <w:sz w:val="24"/>
          <w:szCs w:val="24"/>
        </w:rPr>
        <w:t>17 :</w:t>
      </w:r>
      <w:r>
        <w:rPr>
          <w:rFonts w:ascii="Calibri" w:hAnsi="Calibri"/>
          <w:b/>
          <w:color w:val="365F91" w:themeColor="accent1" w:themeShade="BF"/>
          <w:sz w:val="24"/>
          <w:szCs w:val="24"/>
        </w:rPr>
        <w:t xml:space="preserve"> Déficit global des États membres de l’UEMOA </w:t>
      </w:r>
      <w:r w:rsidR="00CB7F8F">
        <w:rPr>
          <w:rFonts w:ascii="Calibri" w:hAnsi="Calibri"/>
          <w:b/>
          <w:color w:val="365F91" w:themeColor="accent1" w:themeShade="BF"/>
          <w:sz w:val="24"/>
          <w:szCs w:val="24"/>
        </w:rPr>
        <w:t xml:space="preserve">par </w:t>
      </w:r>
      <w:r>
        <w:rPr>
          <w:rFonts w:ascii="Calibri" w:hAnsi="Calibri"/>
          <w:b/>
          <w:color w:val="365F91" w:themeColor="accent1" w:themeShade="BF"/>
          <w:sz w:val="24"/>
          <w:szCs w:val="24"/>
        </w:rPr>
        <w:t>rapport au PIB en 2014 et 2015</w:t>
      </w:r>
    </w:p>
    <w:p w:rsidR="007C0D66" w:rsidRPr="000C6640" w:rsidRDefault="001D0EA1" w:rsidP="007C0D66">
      <w:pPr>
        <w:tabs>
          <w:tab w:val="left" w:pos="360"/>
        </w:tabs>
        <w:autoSpaceDE w:val="0"/>
        <w:autoSpaceDN w:val="0"/>
        <w:adjustRightInd w:val="0"/>
        <w:spacing w:before="240" w:after="120" w:line="288" w:lineRule="auto"/>
        <w:jc w:val="both"/>
        <w:rPr>
          <w:rFonts w:ascii="Arial" w:hAnsi="Arial" w:cs="Arial"/>
          <w:sz w:val="24"/>
          <w:szCs w:val="24"/>
        </w:rPr>
      </w:pPr>
      <w:r w:rsidRPr="00772895">
        <w:rPr>
          <w:rFonts w:ascii="Arial" w:hAnsi="Arial" w:cs="Arial"/>
          <w:noProof/>
          <w:sz w:val="24"/>
          <w:szCs w:val="24"/>
          <w:highlight w:val="yellow"/>
          <w:lang w:val="de-DE" w:eastAsia="de-DE"/>
        </w:rPr>
        <w:drawing>
          <wp:inline distT="0" distB="0" distL="0" distR="0">
            <wp:extent cx="5486400" cy="3200400"/>
            <wp:effectExtent l="0" t="0" r="19050" b="1905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C0D66" w:rsidRPr="00EC199D" w:rsidRDefault="007C0D66" w:rsidP="00C45F9E">
      <w:pPr>
        <w:numPr>
          <w:ilvl w:val="0"/>
          <w:numId w:val="12"/>
        </w:numPr>
        <w:tabs>
          <w:tab w:val="left" w:pos="360"/>
        </w:tabs>
        <w:autoSpaceDE w:val="0"/>
        <w:autoSpaceDN w:val="0"/>
        <w:adjustRightInd w:val="0"/>
        <w:spacing w:before="240" w:after="120" w:line="288" w:lineRule="auto"/>
        <w:contextualSpacing/>
        <w:jc w:val="both"/>
        <w:rPr>
          <w:rFonts w:asciiTheme="minorHAnsi" w:hAnsiTheme="minorHAnsi" w:cstheme="minorHAnsi"/>
          <w:sz w:val="24"/>
          <w:szCs w:val="24"/>
        </w:rPr>
      </w:pPr>
      <w:r w:rsidRPr="00EC199D">
        <w:rPr>
          <w:rFonts w:asciiTheme="minorHAnsi" w:hAnsiTheme="minorHAnsi" w:cstheme="minorHAnsi"/>
          <w:b/>
          <w:bCs/>
          <w:sz w:val="24"/>
          <w:szCs w:val="24"/>
        </w:rPr>
        <w:t xml:space="preserve">Le taux d’inflation annuel moyen </w:t>
      </w:r>
      <w:r w:rsidRPr="00EC199D">
        <w:rPr>
          <w:rFonts w:asciiTheme="minorHAnsi" w:hAnsiTheme="minorHAnsi" w:cstheme="minorHAnsi"/>
          <w:bCs/>
          <w:sz w:val="24"/>
          <w:szCs w:val="24"/>
        </w:rPr>
        <w:t xml:space="preserve">a été de 1,0% en 2015 contre -0,1% en 2014. </w:t>
      </w:r>
      <w:r w:rsidRPr="00EC199D">
        <w:rPr>
          <w:rFonts w:asciiTheme="minorHAnsi" w:hAnsiTheme="minorHAnsi" w:cstheme="minorHAnsi"/>
          <w:sz w:val="24"/>
          <w:szCs w:val="24"/>
        </w:rPr>
        <w:t xml:space="preserve">Tous les </w:t>
      </w:r>
      <w:r w:rsidR="00EC199D" w:rsidRPr="00EC199D">
        <w:rPr>
          <w:rFonts w:asciiTheme="minorHAnsi" w:hAnsiTheme="minorHAnsi" w:cstheme="minorHAnsi"/>
          <w:sz w:val="24"/>
          <w:szCs w:val="24"/>
        </w:rPr>
        <w:t>États</w:t>
      </w:r>
      <w:r w:rsidRPr="00EC199D">
        <w:rPr>
          <w:rFonts w:asciiTheme="minorHAnsi" w:hAnsiTheme="minorHAnsi" w:cstheme="minorHAnsi"/>
          <w:sz w:val="24"/>
          <w:szCs w:val="24"/>
        </w:rPr>
        <w:t xml:space="preserve"> membres devraient respecter ce critère en 2015. Par pays, le taux d’inflation se présenterait comme suit : Bénin (0,0%), Burkina Faso (1,0%), Côte d’Ivoire (1,5%), Guinée-Bissau (1,4%), Mali (2,1%), Niger (0,6%), Sénégal (-0,5%) et Togo (2,1%). Depuis la fin de la crise alimentaire en 2008, la hausse des prix était modérée. Toutefois en 2011 et 2012, au moins trois </w:t>
      </w:r>
      <w:r w:rsidR="00EC199D" w:rsidRPr="00EC199D">
        <w:rPr>
          <w:rFonts w:asciiTheme="minorHAnsi" w:hAnsiTheme="minorHAnsi" w:cstheme="minorHAnsi"/>
          <w:sz w:val="24"/>
          <w:szCs w:val="24"/>
        </w:rPr>
        <w:t>États</w:t>
      </w:r>
      <w:r w:rsidRPr="00EC199D">
        <w:rPr>
          <w:rFonts w:asciiTheme="minorHAnsi" w:hAnsiTheme="minorHAnsi" w:cstheme="minorHAnsi"/>
          <w:sz w:val="24"/>
          <w:szCs w:val="24"/>
        </w:rPr>
        <w:t xml:space="preserve"> membres n’ont pu respecter la norme d’inflation de 3% au maximum.</w:t>
      </w:r>
    </w:p>
    <w:p w:rsidR="007C0D66" w:rsidRPr="00EC199D" w:rsidRDefault="007C0D66" w:rsidP="00C45F9E">
      <w:pPr>
        <w:numPr>
          <w:ilvl w:val="0"/>
          <w:numId w:val="12"/>
        </w:numPr>
        <w:tabs>
          <w:tab w:val="left" w:pos="360"/>
        </w:tabs>
        <w:autoSpaceDE w:val="0"/>
        <w:autoSpaceDN w:val="0"/>
        <w:adjustRightInd w:val="0"/>
        <w:spacing w:before="240" w:after="120" w:line="288" w:lineRule="auto"/>
        <w:jc w:val="both"/>
        <w:rPr>
          <w:rFonts w:asciiTheme="minorHAnsi" w:hAnsiTheme="minorHAnsi" w:cstheme="minorHAnsi"/>
          <w:sz w:val="24"/>
          <w:szCs w:val="24"/>
        </w:rPr>
      </w:pPr>
      <w:r w:rsidRPr="00EC199D">
        <w:rPr>
          <w:rFonts w:asciiTheme="minorHAnsi" w:hAnsiTheme="minorHAnsi" w:cstheme="minorHAnsi"/>
          <w:b/>
          <w:bCs/>
          <w:sz w:val="24"/>
          <w:szCs w:val="24"/>
        </w:rPr>
        <w:t xml:space="preserve">Le ratio de l’encours de la dette intérieure et extérieure rapporté au PIB nominal inférieur </w:t>
      </w:r>
      <w:r w:rsidRPr="00EC199D">
        <w:rPr>
          <w:rFonts w:asciiTheme="minorHAnsi" w:hAnsiTheme="minorHAnsi" w:cstheme="minorHAnsi"/>
          <w:bCs/>
          <w:sz w:val="24"/>
          <w:szCs w:val="24"/>
        </w:rPr>
        <w:t xml:space="preserve">a été de 39,3% contre 37,6% en 2014. </w:t>
      </w:r>
      <w:r w:rsidRPr="00EC199D">
        <w:rPr>
          <w:rFonts w:asciiTheme="minorHAnsi" w:hAnsiTheme="minorHAnsi" w:cstheme="minorHAnsi"/>
          <w:sz w:val="24"/>
          <w:szCs w:val="24"/>
        </w:rPr>
        <w:t xml:space="preserve">Tous les </w:t>
      </w:r>
      <w:r w:rsidR="00EC199D" w:rsidRPr="00EC199D">
        <w:rPr>
          <w:rFonts w:asciiTheme="minorHAnsi" w:hAnsiTheme="minorHAnsi" w:cstheme="minorHAnsi"/>
          <w:sz w:val="24"/>
          <w:szCs w:val="24"/>
        </w:rPr>
        <w:t>États</w:t>
      </w:r>
      <w:r w:rsidRPr="00EC199D">
        <w:rPr>
          <w:rFonts w:asciiTheme="minorHAnsi" w:hAnsiTheme="minorHAnsi" w:cstheme="minorHAnsi"/>
          <w:sz w:val="24"/>
          <w:szCs w:val="24"/>
        </w:rPr>
        <w:t xml:space="preserve"> membres ont respecté ce critère en 2015. Toutefois, ce taux a rapidement progressé dans trois </w:t>
      </w:r>
      <w:r w:rsidR="00EC199D" w:rsidRPr="00EC199D">
        <w:rPr>
          <w:rFonts w:asciiTheme="minorHAnsi" w:hAnsiTheme="minorHAnsi" w:cstheme="minorHAnsi"/>
          <w:sz w:val="24"/>
          <w:szCs w:val="24"/>
        </w:rPr>
        <w:t>États</w:t>
      </w:r>
      <w:r w:rsidRPr="00EC199D">
        <w:rPr>
          <w:rFonts w:asciiTheme="minorHAnsi" w:hAnsiTheme="minorHAnsi" w:cstheme="minorHAnsi"/>
          <w:sz w:val="24"/>
          <w:szCs w:val="24"/>
        </w:rPr>
        <w:t xml:space="preserve"> membres dans lesquels il a atteint ou dépassé 40%. Seuls les </w:t>
      </w:r>
      <w:r w:rsidR="00EC199D" w:rsidRPr="00EC199D">
        <w:rPr>
          <w:rFonts w:asciiTheme="minorHAnsi" w:hAnsiTheme="minorHAnsi" w:cstheme="minorHAnsi"/>
          <w:sz w:val="24"/>
          <w:szCs w:val="24"/>
        </w:rPr>
        <w:t>États</w:t>
      </w:r>
      <w:r w:rsidRPr="00EC199D">
        <w:rPr>
          <w:rFonts w:asciiTheme="minorHAnsi" w:hAnsiTheme="minorHAnsi" w:cstheme="minorHAnsi"/>
          <w:sz w:val="24"/>
          <w:szCs w:val="24"/>
        </w:rPr>
        <w:t xml:space="preserve"> n’ayant pas atteint le point d’achèvement des initiatives d’allègement avaient eu des difficultés pour respecter ce critère. En 2016, la Guinée Bissau ne respecterait pas ce critère.</w:t>
      </w:r>
    </w:p>
    <w:p w:rsidR="00EC199D" w:rsidRDefault="00EC199D">
      <w:pPr>
        <w:rPr>
          <w:rFonts w:ascii="Arial" w:hAnsi="Arial" w:cs="Arial"/>
          <w:b/>
          <w:bCs/>
          <w:sz w:val="24"/>
          <w:szCs w:val="24"/>
          <w:u w:val="single"/>
        </w:rPr>
      </w:pPr>
      <w:r>
        <w:rPr>
          <w:rFonts w:ascii="Arial" w:hAnsi="Arial" w:cs="Arial"/>
          <w:b/>
          <w:bCs/>
          <w:sz w:val="24"/>
          <w:szCs w:val="24"/>
          <w:u w:val="single"/>
        </w:rPr>
        <w:br w:type="page"/>
      </w:r>
    </w:p>
    <w:p w:rsidR="00805AE2" w:rsidRPr="00805AE2" w:rsidRDefault="00805AE2" w:rsidP="00805AE2">
      <w:pPr>
        <w:tabs>
          <w:tab w:val="left" w:pos="360"/>
        </w:tabs>
        <w:autoSpaceDE w:val="0"/>
        <w:autoSpaceDN w:val="0"/>
        <w:adjustRightInd w:val="0"/>
        <w:spacing w:before="240" w:after="120" w:line="288" w:lineRule="auto"/>
        <w:jc w:val="both"/>
        <w:rPr>
          <w:rFonts w:ascii="Calibri" w:hAnsi="Calibri"/>
          <w:b/>
          <w:color w:val="365F91" w:themeColor="accent1" w:themeShade="BF"/>
          <w:sz w:val="24"/>
          <w:szCs w:val="24"/>
        </w:rPr>
      </w:pPr>
      <w:r>
        <w:rPr>
          <w:rFonts w:ascii="Calibri" w:hAnsi="Calibri"/>
          <w:b/>
          <w:color w:val="365F91" w:themeColor="accent1" w:themeShade="BF"/>
          <w:sz w:val="24"/>
          <w:szCs w:val="24"/>
        </w:rPr>
        <w:lastRenderedPageBreak/>
        <w:t>Tableau</w:t>
      </w:r>
      <w:r w:rsidR="00D02AC4">
        <w:rPr>
          <w:rFonts w:ascii="Calibri" w:hAnsi="Calibri"/>
          <w:b/>
          <w:color w:val="365F91" w:themeColor="accent1" w:themeShade="BF"/>
          <w:sz w:val="24"/>
          <w:szCs w:val="24"/>
        </w:rPr>
        <w:t xml:space="preserve"> 5</w:t>
      </w:r>
      <w:r w:rsidR="002F4B3C">
        <w:rPr>
          <w:rFonts w:ascii="Calibri" w:hAnsi="Calibri"/>
          <w:b/>
          <w:color w:val="365F91" w:themeColor="accent1" w:themeShade="BF"/>
          <w:sz w:val="24"/>
          <w:szCs w:val="24"/>
        </w:rPr>
        <w:t> :</w:t>
      </w:r>
      <w:r>
        <w:rPr>
          <w:rFonts w:ascii="Calibri" w:hAnsi="Calibri"/>
          <w:b/>
          <w:color w:val="365F91" w:themeColor="accent1" w:themeShade="BF"/>
          <w:sz w:val="24"/>
          <w:szCs w:val="24"/>
        </w:rPr>
        <w:t xml:space="preserve"> </w:t>
      </w:r>
      <w:r w:rsidRPr="00805AE2">
        <w:rPr>
          <w:rFonts w:ascii="Calibri" w:hAnsi="Calibri"/>
          <w:b/>
          <w:color w:val="365F91" w:themeColor="accent1" w:themeShade="BF"/>
          <w:sz w:val="24"/>
          <w:szCs w:val="24"/>
        </w:rPr>
        <w:t>Critères de convergence de 1er rang,  réalisations des États membres de l’UEMOA entre 2011 et 2015</w:t>
      </w:r>
    </w:p>
    <w:tbl>
      <w:tblPr>
        <w:tblStyle w:val="Grilledutableau1"/>
        <w:tblW w:w="0" w:type="auto"/>
        <w:tblLook w:val="04A0" w:firstRow="1" w:lastRow="0" w:firstColumn="1" w:lastColumn="0" w:noHBand="0" w:noVBand="1"/>
      </w:tblPr>
      <w:tblGrid>
        <w:gridCol w:w="3369"/>
        <w:gridCol w:w="1134"/>
        <w:gridCol w:w="1275"/>
        <w:gridCol w:w="1276"/>
        <w:gridCol w:w="1134"/>
        <w:gridCol w:w="1024"/>
      </w:tblGrid>
      <w:tr w:rsidR="007C0D66" w:rsidRPr="004E1290" w:rsidTr="00DA26F3">
        <w:tc>
          <w:tcPr>
            <w:tcW w:w="3369" w:type="dxa"/>
          </w:tcPr>
          <w:p w:rsidR="007C0D66" w:rsidRPr="004E1290" w:rsidRDefault="007C0D66" w:rsidP="00DA26F3">
            <w:pPr>
              <w:rPr>
                <w:rFonts w:asciiTheme="minorHAnsi" w:eastAsiaTheme="minorHAnsi" w:hAnsiTheme="minorHAnsi" w:cstheme="minorBidi"/>
                <w:sz w:val="24"/>
                <w:szCs w:val="24"/>
              </w:rPr>
            </w:pPr>
          </w:p>
        </w:tc>
        <w:tc>
          <w:tcPr>
            <w:tcW w:w="1134" w:type="dxa"/>
          </w:tcPr>
          <w:p w:rsidR="007C0D66" w:rsidRPr="004E1290" w:rsidRDefault="007C0D66" w:rsidP="00DA26F3">
            <w:pPr>
              <w:rPr>
                <w:rFonts w:asciiTheme="minorHAnsi" w:eastAsiaTheme="minorHAnsi" w:hAnsiTheme="minorHAnsi" w:cstheme="minorBidi"/>
                <w:sz w:val="24"/>
                <w:szCs w:val="24"/>
              </w:rPr>
            </w:pPr>
            <w:r w:rsidRPr="004E1290">
              <w:rPr>
                <w:rFonts w:asciiTheme="minorHAnsi" w:eastAsiaTheme="minorHAnsi" w:hAnsiTheme="minorHAnsi" w:cstheme="minorBidi"/>
                <w:sz w:val="24"/>
                <w:szCs w:val="24"/>
              </w:rPr>
              <w:t>2011</w:t>
            </w:r>
          </w:p>
        </w:tc>
        <w:tc>
          <w:tcPr>
            <w:tcW w:w="1275" w:type="dxa"/>
          </w:tcPr>
          <w:p w:rsidR="007C0D66" w:rsidRPr="004E1290" w:rsidRDefault="007C0D66" w:rsidP="00DA26F3">
            <w:pPr>
              <w:rPr>
                <w:rFonts w:asciiTheme="minorHAnsi" w:eastAsiaTheme="minorHAnsi" w:hAnsiTheme="minorHAnsi" w:cstheme="minorBidi"/>
                <w:sz w:val="24"/>
                <w:szCs w:val="24"/>
              </w:rPr>
            </w:pPr>
            <w:r w:rsidRPr="004E1290">
              <w:rPr>
                <w:rFonts w:asciiTheme="minorHAnsi" w:eastAsiaTheme="minorHAnsi" w:hAnsiTheme="minorHAnsi" w:cstheme="minorBidi"/>
                <w:sz w:val="24"/>
                <w:szCs w:val="24"/>
              </w:rPr>
              <w:t>2012</w:t>
            </w:r>
          </w:p>
        </w:tc>
        <w:tc>
          <w:tcPr>
            <w:tcW w:w="1276" w:type="dxa"/>
          </w:tcPr>
          <w:p w:rsidR="007C0D66" w:rsidRPr="004E1290" w:rsidRDefault="007C0D66" w:rsidP="00DA26F3">
            <w:pPr>
              <w:rPr>
                <w:rFonts w:asciiTheme="minorHAnsi" w:eastAsiaTheme="minorHAnsi" w:hAnsiTheme="minorHAnsi" w:cstheme="minorBidi"/>
                <w:sz w:val="24"/>
                <w:szCs w:val="24"/>
              </w:rPr>
            </w:pPr>
            <w:r w:rsidRPr="004E1290">
              <w:rPr>
                <w:rFonts w:asciiTheme="minorHAnsi" w:eastAsiaTheme="minorHAnsi" w:hAnsiTheme="minorHAnsi" w:cstheme="minorBidi"/>
                <w:sz w:val="24"/>
                <w:szCs w:val="24"/>
              </w:rPr>
              <w:t>2013</w:t>
            </w:r>
          </w:p>
        </w:tc>
        <w:tc>
          <w:tcPr>
            <w:tcW w:w="1134" w:type="dxa"/>
          </w:tcPr>
          <w:p w:rsidR="007C0D66" w:rsidRPr="004E1290" w:rsidRDefault="007C0D66" w:rsidP="00DA26F3">
            <w:pPr>
              <w:rPr>
                <w:rFonts w:asciiTheme="minorHAnsi" w:eastAsiaTheme="minorHAnsi" w:hAnsiTheme="minorHAnsi" w:cstheme="minorBidi"/>
                <w:sz w:val="24"/>
                <w:szCs w:val="24"/>
              </w:rPr>
            </w:pPr>
            <w:r w:rsidRPr="004E1290">
              <w:rPr>
                <w:rFonts w:asciiTheme="minorHAnsi" w:eastAsiaTheme="minorHAnsi" w:hAnsiTheme="minorHAnsi" w:cstheme="minorBidi"/>
                <w:sz w:val="24"/>
                <w:szCs w:val="24"/>
              </w:rPr>
              <w:t>2014</w:t>
            </w:r>
          </w:p>
        </w:tc>
        <w:tc>
          <w:tcPr>
            <w:tcW w:w="1024" w:type="dxa"/>
          </w:tcPr>
          <w:p w:rsidR="007C0D66" w:rsidRPr="004E1290" w:rsidRDefault="007C0D66" w:rsidP="00DA26F3">
            <w:pPr>
              <w:rPr>
                <w:rFonts w:asciiTheme="minorHAnsi" w:eastAsiaTheme="minorHAnsi" w:hAnsiTheme="minorHAnsi" w:cstheme="minorBidi"/>
                <w:sz w:val="24"/>
                <w:szCs w:val="24"/>
              </w:rPr>
            </w:pPr>
            <w:r w:rsidRPr="004E1290">
              <w:rPr>
                <w:rFonts w:asciiTheme="minorHAnsi" w:eastAsiaTheme="minorHAnsi" w:hAnsiTheme="minorHAnsi" w:cstheme="minorBidi"/>
                <w:sz w:val="24"/>
                <w:szCs w:val="24"/>
              </w:rPr>
              <w:t>2015</w:t>
            </w:r>
          </w:p>
        </w:tc>
      </w:tr>
      <w:tr w:rsidR="007C0D66" w:rsidRPr="004E1290" w:rsidTr="00DA26F3">
        <w:tc>
          <w:tcPr>
            <w:tcW w:w="9212" w:type="dxa"/>
            <w:gridSpan w:val="6"/>
          </w:tcPr>
          <w:p w:rsidR="007C0D66" w:rsidRPr="00603B88" w:rsidRDefault="007C0D66" w:rsidP="00DA26F3">
            <w:pPr>
              <w:rPr>
                <w:rFonts w:asciiTheme="minorHAnsi" w:hAnsiTheme="minorHAnsi" w:cstheme="minorHAnsi"/>
                <w:b/>
                <w:bCs/>
              </w:rPr>
            </w:pPr>
            <w:r w:rsidRPr="00603B88">
              <w:rPr>
                <w:rFonts w:asciiTheme="minorHAnsi" w:hAnsiTheme="minorHAnsi" w:cstheme="minorHAnsi"/>
                <w:b/>
                <w:bCs/>
              </w:rPr>
              <w:t>1 Solde budgétaire global, dons compris en % du PIB nominal [Norme &gt;= -3%]</w:t>
            </w:r>
          </w:p>
          <w:p w:rsidR="007C0D66" w:rsidRPr="00603B88" w:rsidRDefault="007C0D66" w:rsidP="00DA26F3">
            <w:pPr>
              <w:rPr>
                <w:rFonts w:asciiTheme="minorHAnsi" w:eastAsiaTheme="minorHAnsi" w:hAnsiTheme="minorHAnsi" w:cstheme="minorHAnsi"/>
              </w:rPr>
            </w:pP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BENIN</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-1,7</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-0,4</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-1,7</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-1,9</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-5,6</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BURKINA FASO</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-2,3</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-3,1</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-3,5</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-1,8</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-2,4</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COTE D'IVOIRE</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-4,1</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-3,1</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-2,2</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-2,2</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-3,6</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GUINEE BISSAU</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-0,5</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-2,0</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-4,8</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-3,1</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-2,6</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MALI</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-4,3</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-1,1</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-2,9</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-3,4</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-2,5</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NIGER</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-2,1</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-1,1</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-2,6</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-5,6</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-6,9</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SENEGAL</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-6,7</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-5,8</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-5,4</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-5,0</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-4,8</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TOGO</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-1,1</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-5,8</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-4,6</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-3,4</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-3,7</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UEMOA</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-3,8</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-3,0</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-3,1</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-3,1</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-4,0</w:t>
            </w:r>
          </w:p>
        </w:tc>
      </w:tr>
      <w:tr w:rsidR="007C0D66" w:rsidRPr="004E1290" w:rsidTr="00DA26F3">
        <w:tc>
          <w:tcPr>
            <w:tcW w:w="3369" w:type="dxa"/>
          </w:tcPr>
          <w:p w:rsidR="007C0D66" w:rsidRPr="00603B88" w:rsidRDefault="007C0D66" w:rsidP="00DA26F3">
            <w:pPr>
              <w:rPr>
                <w:rFonts w:asciiTheme="minorHAnsi" w:eastAsiaTheme="minorHAnsi" w:hAnsiTheme="minorHAnsi" w:cstheme="minorHAnsi"/>
              </w:rPr>
            </w:pPr>
          </w:p>
        </w:tc>
        <w:tc>
          <w:tcPr>
            <w:tcW w:w="1134" w:type="dxa"/>
          </w:tcPr>
          <w:p w:rsidR="007C0D66" w:rsidRPr="00603B88" w:rsidRDefault="007C0D66" w:rsidP="00DA26F3">
            <w:pPr>
              <w:rPr>
                <w:rFonts w:asciiTheme="minorHAnsi" w:eastAsiaTheme="minorHAnsi" w:hAnsiTheme="minorHAnsi" w:cstheme="minorHAnsi"/>
              </w:rPr>
            </w:pPr>
          </w:p>
        </w:tc>
        <w:tc>
          <w:tcPr>
            <w:tcW w:w="1275" w:type="dxa"/>
          </w:tcPr>
          <w:p w:rsidR="007C0D66" w:rsidRPr="00603B88" w:rsidRDefault="007C0D66" w:rsidP="00DA26F3">
            <w:pPr>
              <w:rPr>
                <w:rFonts w:asciiTheme="minorHAnsi" w:eastAsiaTheme="minorHAnsi" w:hAnsiTheme="minorHAnsi" w:cstheme="minorHAnsi"/>
              </w:rPr>
            </w:pPr>
          </w:p>
        </w:tc>
        <w:tc>
          <w:tcPr>
            <w:tcW w:w="1276" w:type="dxa"/>
          </w:tcPr>
          <w:p w:rsidR="007C0D66" w:rsidRPr="00603B88" w:rsidRDefault="007C0D66" w:rsidP="00DA26F3">
            <w:pPr>
              <w:rPr>
                <w:rFonts w:asciiTheme="minorHAnsi" w:eastAsiaTheme="minorHAnsi" w:hAnsiTheme="minorHAnsi" w:cstheme="minorHAnsi"/>
              </w:rPr>
            </w:pPr>
          </w:p>
        </w:tc>
        <w:tc>
          <w:tcPr>
            <w:tcW w:w="1134" w:type="dxa"/>
          </w:tcPr>
          <w:p w:rsidR="007C0D66" w:rsidRPr="00603B88" w:rsidRDefault="007C0D66" w:rsidP="00DA26F3">
            <w:pPr>
              <w:rPr>
                <w:rFonts w:asciiTheme="minorHAnsi" w:eastAsiaTheme="minorHAnsi" w:hAnsiTheme="minorHAnsi" w:cstheme="minorHAnsi"/>
              </w:rPr>
            </w:pPr>
          </w:p>
        </w:tc>
        <w:tc>
          <w:tcPr>
            <w:tcW w:w="1024" w:type="dxa"/>
          </w:tcPr>
          <w:p w:rsidR="007C0D66" w:rsidRPr="00603B88" w:rsidRDefault="007C0D66" w:rsidP="00DA26F3">
            <w:pPr>
              <w:rPr>
                <w:rFonts w:asciiTheme="minorHAnsi" w:eastAsiaTheme="minorHAnsi" w:hAnsiTheme="minorHAnsi" w:cstheme="minorHAnsi"/>
              </w:rPr>
            </w:pPr>
          </w:p>
        </w:tc>
      </w:tr>
      <w:tr w:rsidR="007C0D66" w:rsidRPr="004E1290" w:rsidTr="00DA26F3">
        <w:tc>
          <w:tcPr>
            <w:tcW w:w="9212" w:type="dxa"/>
            <w:gridSpan w:val="6"/>
          </w:tcPr>
          <w:p w:rsidR="007C0D66" w:rsidRPr="00603B88" w:rsidRDefault="007C0D66" w:rsidP="00DA26F3">
            <w:pPr>
              <w:rPr>
                <w:rFonts w:asciiTheme="minorHAnsi" w:hAnsiTheme="minorHAnsi" w:cstheme="minorHAnsi"/>
                <w:b/>
                <w:bCs/>
              </w:rPr>
            </w:pPr>
            <w:r w:rsidRPr="00603B88">
              <w:rPr>
                <w:rFonts w:asciiTheme="minorHAnsi" w:hAnsiTheme="minorHAnsi" w:cstheme="minorHAnsi"/>
                <w:b/>
                <w:bCs/>
              </w:rPr>
              <w:t>2 Taux d'inflation annuel (glissement des indices moyens)  [Norme &lt;= 3%]</w:t>
            </w:r>
          </w:p>
          <w:p w:rsidR="007C0D66" w:rsidRPr="00603B88" w:rsidRDefault="007C0D66" w:rsidP="00DA26F3">
            <w:pPr>
              <w:rPr>
                <w:rFonts w:asciiTheme="minorHAnsi" w:eastAsiaTheme="minorHAnsi" w:hAnsiTheme="minorHAnsi" w:cstheme="minorHAnsi"/>
              </w:rPr>
            </w:pP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BENIN</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2,7</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6,8</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1,0</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-1,1</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0,0</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BURKINA FASO</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2,8</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3,8</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0,5</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-0,3</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1,0</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COTE D'IVOIRE</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4,9</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1,3</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2,6</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0,4</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1,5</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GUINEE BISSAU</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5,3</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2,1</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0,7</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-1,0</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1,4</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MALI</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3,0</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5,3</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-0,6</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0,9</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2,1</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NIGER</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2,9</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0,5</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2,3</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-0,9</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0,6</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SENEGAL</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3,4</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1,4</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0,7</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-1,1</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-0,5</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TOGO</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3,6</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2,6</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1,8</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0,2</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2,1</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UEMOA</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3,9</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2,4</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1,5</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-0,1</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1,0</w:t>
            </w:r>
          </w:p>
        </w:tc>
      </w:tr>
      <w:tr w:rsidR="007C0D66" w:rsidRPr="004E1290" w:rsidTr="00DA26F3">
        <w:tc>
          <w:tcPr>
            <w:tcW w:w="3369" w:type="dxa"/>
          </w:tcPr>
          <w:p w:rsidR="007C0D66" w:rsidRPr="00603B88" w:rsidRDefault="007C0D66" w:rsidP="00DA26F3">
            <w:pPr>
              <w:rPr>
                <w:rFonts w:asciiTheme="minorHAnsi" w:eastAsiaTheme="minorHAnsi" w:hAnsiTheme="minorHAnsi" w:cstheme="minorHAnsi"/>
              </w:rPr>
            </w:pPr>
          </w:p>
        </w:tc>
        <w:tc>
          <w:tcPr>
            <w:tcW w:w="1134" w:type="dxa"/>
          </w:tcPr>
          <w:p w:rsidR="007C0D66" w:rsidRPr="00603B88" w:rsidRDefault="007C0D66" w:rsidP="00DA26F3">
            <w:pPr>
              <w:rPr>
                <w:rFonts w:asciiTheme="minorHAnsi" w:eastAsiaTheme="minorHAnsi" w:hAnsiTheme="minorHAnsi" w:cstheme="minorHAnsi"/>
              </w:rPr>
            </w:pPr>
          </w:p>
        </w:tc>
        <w:tc>
          <w:tcPr>
            <w:tcW w:w="1275" w:type="dxa"/>
          </w:tcPr>
          <w:p w:rsidR="007C0D66" w:rsidRPr="00603B88" w:rsidRDefault="007C0D66" w:rsidP="00DA26F3">
            <w:pPr>
              <w:rPr>
                <w:rFonts w:asciiTheme="minorHAnsi" w:eastAsiaTheme="minorHAnsi" w:hAnsiTheme="minorHAnsi" w:cstheme="minorHAnsi"/>
              </w:rPr>
            </w:pPr>
          </w:p>
        </w:tc>
        <w:tc>
          <w:tcPr>
            <w:tcW w:w="1276" w:type="dxa"/>
          </w:tcPr>
          <w:p w:rsidR="007C0D66" w:rsidRPr="00603B88" w:rsidRDefault="007C0D66" w:rsidP="00DA26F3">
            <w:pPr>
              <w:rPr>
                <w:rFonts w:asciiTheme="minorHAnsi" w:eastAsiaTheme="minorHAnsi" w:hAnsiTheme="minorHAnsi" w:cstheme="minorHAnsi"/>
              </w:rPr>
            </w:pPr>
          </w:p>
        </w:tc>
        <w:tc>
          <w:tcPr>
            <w:tcW w:w="1134" w:type="dxa"/>
          </w:tcPr>
          <w:p w:rsidR="007C0D66" w:rsidRPr="00603B88" w:rsidRDefault="007C0D66" w:rsidP="00DA26F3">
            <w:pPr>
              <w:rPr>
                <w:rFonts w:asciiTheme="minorHAnsi" w:eastAsiaTheme="minorHAnsi" w:hAnsiTheme="minorHAnsi" w:cstheme="minorHAnsi"/>
              </w:rPr>
            </w:pPr>
          </w:p>
        </w:tc>
        <w:tc>
          <w:tcPr>
            <w:tcW w:w="1024" w:type="dxa"/>
          </w:tcPr>
          <w:p w:rsidR="007C0D66" w:rsidRPr="00603B88" w:rsidRDefault="007C0D66" w:rsidP="00DA26F3">
            <w:pPr>
              <w:rPr>
                <w:rFonts w:asciiTheme="minorHAnsi" w:eastAsiaTheme="minorHAnsi" w:hAnsiTheme="minorHAnsi" w:cstheme="minorHAnsi"/>
              </w:rPr>
            </w:pPr>
          </w:p>
        </w:tc>
      </w:tr>
      <w:tr w:rsidR="007C0D66" w:rsidRPr="004E1290" w:rsidTr="00DA26F3">
        <w:tc>
          <w:tcPr>
            <w:tcW w:w="9212" w:type="dxa"/>
            <w:gridSpan w:val="6"/>
          </w:tcPr>
          <w:p w:rsidR="007C0D66" w:rsidRPr="00603B88" w:rsidRDefault="007C0D66" w:rsidP="00DA26F3">
            <w:pPr>
              <w:rPr>
                <w:rFonts w:asciiTheme="minorHAnsi" w:hAnsiTheme="minorHAnsi" w:cstheme="minorHAnsi"/>
                <w:b/>
                <w:bCs/>
              </w:rPr>
            </w:pPr>
            <w:r w:rsidRPr="00603B88">
              <w:rPr>
                <w:rFonts w:asciiTheme="minorHAnsi" w:hAnsiTheme="minorHAnsi" w:cstheme="minorHAnsi"/>
                <w:b/>
                <w:bCs/>
              </w:rPr>
              <w:t>3 Dette publique totale, en % du PIB nominal  [Norme &lt;= 70%]</w:t>
            </w:r>
          </w:p>
          <w:p w:rsidR="007C0D66" w:rsidRPr="00603B88" w:rsidRDefault="007C0D66" w:rsidP="00DA26F3">
            <w:pPr>
              <w:rPr>
                <w:rFonts w:asciiTheme="minorHAnsi" w:eastAsiaTheme="minorHAnsi" w:hAnsiTheme="minorHAnsi" w:cstheme="minorHAnsi"/>
              </w:rPr>
            </w:pP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BENIN</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29,9</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26,8</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26,0</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30,9</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36,3</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BURKINA FASO</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31,4</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28,0</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28,2</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30,4</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32,7</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COTE D'IVOIRE</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68,3</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33,9</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34,0</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38,0</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40,0</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GUINEE BISSAU</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50,3</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56,0</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58,5</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62,9</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68,2</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MALI</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29,1</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29,3</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31,4</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32,4</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35,0</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NIGER</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24,2</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22,5</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23,8</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24,7</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23,5</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SENEGAL</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39,9</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42,9</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45,2</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53,1</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55,2</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TOGO</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47,1</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46,0</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45,3</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46,8</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35,6</w:t>
            </w:r>
          </w:p>
        </w:tc>
      </w:tr>
      <w:tr w:rsidR="007C0D66" w:rsidRPr="004E1290" w:rsidTr="00DA26F3">
        <w:tc>
          <w:tcPr>
            <w:tcW w:w="3369" w:type="dxa"/>
            <w:vAlign w:val="bottom"/>
          </w:tcPr>
          <w:p w:rsidR="007C0D66" w:rsidRPr="00603B88" w:rsidRDefault="007C0D66" w:rsidP="00DA26F3">
            <w:pPr>
              <w:rPr>
                <w:rFonts w:asciiTheme="minorHAnsi" w:hAnsiTheme="minorHAnsi" w:cstheme="minorHAnsi"/>
              </w:rPr>
            </w:pPr>
            <w:r w:rsidRPr="00603B88">
              <w:rPr>
                <w:rFonts w:asciiTheme="minorHAnsi" w:hAnsiTheme="minorHAnsi" w:cstheme="minorHAnsi"/>
              </w:rPr>
              <w:t>UEMOA</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44,6</w:t>
            </w:r>
          </w:p>
        </w:tc>
        <w:tc>
          <w:tcPr>
            <w:tcW w:w="1275"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33,2</w:t>
            </w:r>
          </w:p>
        </w:tc>
        <w:tc>
          <w:tcPr>
            <w:tcW w:w="1276"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33,9</w:t>
            </w:r>
          </w:p>
        </w:tc>
        <w:tc>
          <w:tcPr>
            <w:tcW w:w="113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37,6</w:t>
            </w:r>
          </w:p>
        </w:tc>
        <w:tc>
          <w:tcPr>
            <w:tcW w:w="1024" w:type="dxa"/>
            <w:vAlign w:val="bottom"/>
          </w:tcPr>
          <w:p w:rsidR="007C0D66" w:rsidRPr="00603B88" w:rsidRDefault="007C0D66" w:rsidP="00DA26F3">
            <w:pPr>
              <w:jc w:val="right"/>
              <w:rPr>
                <w:rFonts w:asciiTheme="minorHAnsi" w:hAnsiTheme="minorHAnsi" w:cstheme="minorHAnsi"/>
              </w:rPr>
            </w:pPr>
            <w:r w:rsidRPr="00603B88">
              <w:rPr>
                <w:rFonts w:asciiTheme="minorHAnsi" w:hAnsiTheme="minorHAnsi" w:cstheme="minorHAnsi"/>
              </w:rPr>
              <w:t>39,3</w:t>
            </w:r>
          </w:p>
        </w:tc>
      </w:tr>
    </w:tbl>
    <w:p w:rsidR="007C0D66" w:rsidRPr="004E1290" w:rsidRDefault="007C0D66" w:rsidP="007C0D66">
      <w:pPr>
        <w:rPr>
          <w:rFonts w:asciiTheme="minorHAnsi" w:eastAsiaTheme="minorHAnsi" w:hAnsiTheme="minorHAnsi" w:cstheme="minorBidi"/>
        </w:rPr>
      </w:pPr>
    </w:p>
    <w:p w:rsidR="00670467" w:rsidRDefault="00670467" w:rsidP="00DC6D52">
      <w:pPr>
        <w:spacing w:before="120" w:after="120"/>
        <w:jc w:val="both"/>
        <w:rPr>
          <w:rFonts w:asciiTheme="minorHAnsi" w:hAnsiTheme="minorHAnsi" w:cs="Arial"/>
          <w:sz w:val="24"/>
          <w:szCs w:val="24"/>
        </w:rPr>
      </w:pPr>
    </w:p>
    <w:p w:rsidR="00670467" w:rsidRDefault="00670467" w:rsidP="00DC6D52">
      <w:pPr>
        <w:spacing w:before="120" w:after="120"/>
        <w:jc w:val="both"/>
        <w:rPr>
          <w:rFonts w:asciiTheme="minorHAnsi" w:hAnsiTheme="minorHAnsi" w:cs="Arial"/>
          <w:sz w:val="24"/>
          <w:szCs w:val="24"/>
        </w:rPr>
      </w:pPr>
    </w:p>
    <w:p w:rsidR="00670467" w:rsidRDefault="00670467" w:rsidP="00DC6D52">
      <w:pPr>
        <w:spacing w:before="120" w:after="120"/>
        <w:jc w:val="both"/>
        <w:rPr>
          <w:rFonts w:asciiTheme="minorHAnsi" w:hAnsiTheme="minorHAnsi" w:cs="Arial"/>
          <w:sz w:val="24"/>
          <w:szCs w:val="24"/>
        </w:rPr>
      </w:pPr>
    </w:p>
    <w:p w:rsidR="00670467" w:rsidRDefault="00670467" w:rsidP="00DC6D52">
      <w:pPr>
        <w:spacing w:before="120" w:after="120"/>
        <w:jc w:val="both"/>
        <w:rPr>
          <w:rFonts w:asciiTheme="minorHAnsi" w:hAnsiTheme="minorHAnsi" w:cs="Arial"/>
          <w:sz w:val="24"/>
          <w:szCs w:val="24"/>
        </w:rPr>
      </w:pPr>
    </w:p>
    <w:p w:rsidR="00670467" w:rsidRDefault="00670467" w:rsidP="00DC6D52">
      <w:pPr>
        <w:spacing w:before="120" w:after="120"/>
        <w:jc w:val="both"/>
        <w:rPr>
          <w:rFonts w:asciiTheme="minorHAnsi" w:hAnsiTheme="minorHAnsi" w:cs="Arial"/>
          <w:sz w:val="24"/>
          <w:szCs w:val="24"/>
        </w:rPr>
      </w:pPr>
    </w:p>
    <w:p w:rsidR="00A821E7" w:rsidRDefault="00A821E7">
      <w:pPr>
        <w:rPr>
          <w:rFonts w:ascii="Calibri" w:hAnsi="Calibri"/>
          <w:b/>
          <w:bCs/>
          <w:sz w:val="20"/>
          <w:szCs w:val="20"/>
        </w:rPr>
      </w:pPr>
      <w:r>
        <w:rPr>
          <w:rFonts w:ascii="Calibri" w:hAnsi="Calibri"/>
          <w:b/>
          <w:bCs/>
          <w:sz w:val="20"/>
          <w:szCs w:val="20"/>
        </w:rPr>
        <w:br w:type="page"/>
      </w:r>
    </w:p>
    <w:p w:rsidR="00A821E7" w:rsidRPr="00C33E0F" w:rsidRDefault="00A821E7" w:rsidP="00A821E7">
      <w:pPr>
        <w:tabs>
          <w:tab w:val="left" w:pos="4613"/>
        </w:tabs>
        <w:spacing w:before="120" w:after="120"/>
        <w:jc w:val="center"/>
        <w:rPr>
          <w:rFonts w:asciiTheme="minorHAnsi" w:hAnsiTheme="minorHAnsi" w:cstheme="minorHAnsi"/>
          <w:b/>
          <w:bCs/>
          <w:sz w:val="24"/>
          <w:szCs w:val="24"/>
        </w:rPr>
      </w:pPr>
      <w:r w:rsidRPr="00704614">
        <w:rPr>
          <w:rFonts w:asciiTheme="minorHAnsi" w:hAnsiTheme="minorHAnsi" w:cstheme="minorHAnsi"/>
          <w:b/>
          <w:bCs/>
          <w:sz w:val="24"/>
          <w:szCs w:val="24"/>
        </w:rPr>
        <w:lastRenderedPageBreak/>
        <w:t xml:space="preserve">Résultats de la surveillance multilatérale </w:t>
      </w:r>
      <w:r w:rsidR="00220E46" w:rsidRPr="00704614">
        <w:rPr>
          <w:rFonts w:asciiTheme="minorHAnsi" w:hAnsiTheme="minorHAnsi" w:cstheme="minorHAnsi"/>
          <w:b/>
          <w:bCs/>
          <w:sz w:val="24"/>
          <w:szCs w:val="24"/>
        </w:rPr>
        <w:t>dans la  CEMAC au 31 décembre 2015</w:t>
      </w:r>
      <w:r w:rsidR="00371353" w:rsidRPr="00704614">
        <w:rPr>
          <w:rFonts w:asciiTheme="minorHAnsi" w:hAnsiTheme="minorHAnsi" w:cstheme="minorHAnsi"/>
          <w:b/>
          <w:bCs/>
          <w:sz w:val="24"/>
          <w:szCs w:val="24"/>
        </w:rPr>
        <w:t xml:space="preserve"> </w:t>
      </w:r>
    </w:p>
    <w:tbl>
      <w:tblPr>
        <w:tblpPr w:leftFromText="141" w:rightFromText="141" w:vertAnchor="text" w:horzAnchor="margin" w:tblpY="183"/>
        <w:tblOverlap w:val="never"/>
        <w:tblW w:w="9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1418"/>
        <w:gridCol w:w="1701"/>
        <w:gridCol w:w="1275"/>
        <w:gridCol w:w="1418"/>
        <w:gridCol w:w="992"/>
        <w:gridCol w:w="1002"/>
      </w:tblGrid>
      <w:tr w:rsidR="008B4644" w:rsidRPr="00704614" w:rsidTr="00CC33B0">
        <w:trPr>
          <w:cantSplit/>
          <w:trHeight w:val="20"/>
        </w:trPr>
        <w:tc>
          <w:tcPr>
            <w:tcW w:w="1346" w:type="dxa"/>
            <w:vMerge w:val="restart"/>
            <w:tcBorders>
              <w:top w:val="triple" w:sz="4" w:space="0" w:color="auto"/>
              <w:left w:val="triple" w:sz="4" w:space="0" w:color="auto"/>
            </w:tcBorders>
            <w:shd w:val="clear" w:color="auto" w:fill="FFFFFF"/>
            <w:vAlign w:val="center"/>
          </w:tcPr>
          <w:p w:rsidR="008B4644" w:rsidRPr="00704614" w:rsidRDefault="008B4644" w:rsidP="00DC6D52">
            <w:pPr>
              <w:spacing w:before="120" w:after="120"/>
              <w:ind w:left="-41" w:right="-72"/>
              <w:jc w:val="center"/>
              <w:rPr>
                <w:rFonts w:asciiTheme="minorHAnsi" w:eastAsia="Arial Unicode MS" w:hAnsiTheme="minorHAnsi" w:cs="Arial"/>
                <w:b/>
                <w:bCs/>
                <w:i/>
                <w:iCs/>
                <w:sz w:val="24"/>
                <w:szCs w:val="24"/>
              </w:rPr>
            </w:pPr>
            <w:bookmarkStart w:id="312" w:name="_Toc336261300"/>
            <w:bookmarkEnd w:id="312"/>
          </w:p>
        </w:tc>
        <w:tc>
          <w:tcPr>
            <w:tcW w:w="1418" w:type="dxa"/>
            <w:vMerge w:val="restart"/>
            <w:tcBorders>
              <w:top w:val="triple" w:sz="4" w:space="0" w:color="auto"/>
              <w:left w:val="triple" w:sz="4" w:space="0" w:color="auto"/>
            </w:tcBorders>
            <w:shd w:val="clear" w:color="auto" w:fill="FFFFFF"/>
            <w:vAlign w:val="center"/>
          </w:tcPr>
          <w:p w:rsidR="008B4644" w:rsidRPr="00704614" w:rsidRDefault="00AD7D99" w:rsidP="00DC6D52">
            <w:pPr>
              <w:spacing w:before="120" w:after="120"/>
              <w:ind w:left="-41" w:right="-72"/>
              <w:jc w:val="center"/>
              <w:rPr>
                <w:rFonts w:asciiTheme="minorHAnsi" w:hAnsiTheme="minorHAnsi"/>
                <w:sz w:val="24"/>
                <w:szCs w:val="24"/>
              </w:rPr>
            </w:pPr>
            <w:r w:rsidRPr="00AD7D99">
              <w:rPr>
                <w:rFonts w:asciiTheme="minorHAnsi" w:hAnsiTheme="minorHAnsi"/>
                <w:sz w:val="24"/>
                <w:szCs w:val="24"/>
              </w:rPr>
              <w:t>Solde budgétaire de base</w:t>
            </w:r>
            <w:r w:rsidRPr="00AD7D99">
              <w:rPr>
                <w:rStyle w:val="Appelnotedebasdep"/>
                <w:rFonts w:asciiTheme="minorHAnsi" w:hAnsiTheme="minorHAnsi"/>
                <w:sz w:val="24"/>
                <w:szCs w:val="24"/>
                <w:vertAlign w:val="superscript"/>
              </w:rPr>
              <w:footnoteReference w:id="2"/>
            </w:r>
            <w:r w:rsidRPr="00AD7D99">
              <w:rPr>
                <w:rFonts w:asciiTheme="minorHAnsi" w:hAnsiTheme="minorHAnsi"/>
                <w:sz w:val="24"/>
                <w:szCs w:val="24"/>
              </w:rPr>
              <w:t xml:space="preserve"> </w:t>
            </w:r>
          </w:p>
          <w:p w:rsidR="008B4644" w:rsidRPr="00704614" w:rsidRDefault="00AD7D99" w:rsidP="00DC6D52">
            <w:pPr>
              <w:spacing w:before="120" w:after="120"/>
              <w:ind w:left="-41" w:right="-72"/>
              <w:jc w:val="center"/>
              <w:rPr>
                <w:rFonts w:asciiTheme="minorHAnsi" w:eastAsia="Arial Unicode MS" w:hAnsiTheme="minorHAnsi" w:cs="Arial"/>
                <w:b/>
                <w:bCs/>
                <w:i/>
                <w:iCs/>
                <w:sz w:val="24"/>
                <w:szCs w:val="24"/>
              </w:rPr>
            </w:pPr>
            <w:r w:rsidRPr="00AD7D99">
              <w:rPr>
                <w:rFonts w:asciiTheme="minorHAnsi" w:hAnsiTheme="minorHAnsi"/>
                <w:sz w:val="24"/>
                <w:szCs w:val="24"/>
              </w:rPr>
              <w:t>(en % du PIB)</w:t>
            </w:r>
          </w:p>
        </w:tc>
        <w:tc>
          <w:tcPr>
            <w:tcW w:w="1701" w:type="dxa"/>
            <w:vMerge w:val="restart"/>
            <w:tcBorders>
              <w:top w:val="triple" w:sz="4" w:space="0" w:color="auto"/>
            </w:tcBorders>
            <w:shd w:val="clear" w:color="auto" w:fill="FFFFFF"/>
            <w:vAlign w:val="center"/>
          </w:tcPr>
          <w:p w:rsidR="008B4644" w:rsidRPr="00704614" w:rsidRDefault="00AD7D99" w:rsidP="00DC6D52">
            <w:pPr>
              <w:spacing w:before="120" w:after="120"/>
              <w:ind w:left="-68" w:right="-70"/>
              <w:jc w:val="center"/>
              <w:rPr>
                <w:rFonts w:asciiTheme="minorHAnsi" w:hAnsiTheme="minorHAnsi"/>
                <w:sz w:val="24"/>
                <w:szCs w:val="24"/>
              </w:rPr>
            </w:pPr>
            <w:r w:rsidRPr="00AD7D99">
              <w:rPr>
                <w:rFonts w:asciiTheme="minorHAnsi" w:hAnsiTheme="minorHAnsi"/>
                <w:sz w:val="24"/>
                <w:szCs w:val="24"/>
              </w:rPr>
              <w:t>Solde budgétaire</w:t>
            </w:r>
          </w:p>
          <w:p w:rsidR="008B4644" w:rsidRPr="00704614" w:rsidRDefault="00AD7D99" w:rsidP="00DC6D52">
            <w:pPr>
              <w:spacing w:before="120" w:after="120"/>
              <w:ind w:left="-68" w:right="-70"/>
              <w:jc w:val="center"/>
              <w:rPr>
                <w:rFonts w:asciiTheme="minorHAnsi" w:hAnsiTheme="minorHAnsi"/>
                <w:sz w:val="24"/>
                <w:szCs w:val="24"/>
              </w:rPr>
            </w:pPr>
            <w:r w:rsidRPr="00AD7D99">
              <w:rPr>
                <w:rFonts w:asciiTheme="minorHAnsi" w:hAnsiTheme="minorHAnsi"/>
                <w:sz w:val="24"/>
                <w:szCs w:val="24"/>
              </w:rPr>
              <w:t>de base complémentaire</w:t>
            </w:r>
            <w:r w:rsidRPr="00AD7D99">
              <w:rPr>
                <w:rStyle w:val="Appelnotedebasdep"/>
                <w:rFonts w:asciiTheme="minorHAnsi" w:hAnsiTheme="minorHAnsi"/>
                <w:sz w:val="24"/>
                <w:szCs w:val="24"/>
                <w:vertAlign w:val="superscript"/>
              </w:rPr>
              <w:footnoteReference w:id="3"/>
            </w:r>
          </w:p>
          <w:p w:rsidR="008B4644" w:rsidRPr="00704614" w:rsidRDefault="00AD7D99" w:rsidP="00DC6D52">
            <w:pPr>
              <w:spacing w:before="120" w:after="120"/>
              <w:ind w:left="-68" w:right="-70"/>
              <w:jc w:val="center"/>
              <w:rPr>
                <w:rFonts w:asciiTheme="minorHAnsi" w:eastAsia="Arial Unicode MS" w:hAnsiTheme="minorHAnsi" w:cs="Arial"/>
                <w:b/>
                <w:bCs/>
                <w:i/>
                <w:iCs/>
                <w:sz w:val="24"/>
                <w:szCs w:val="24"/>
              </w:rPr>
            </w:pPr>
            <w:r w:rsidRPr="00AD7D99">
              <w:rPr>
                <w:rFonts w:asciiTheme="minorHAnsi" w:hAnsiTheme="minorHAnsi"/>
                <w:sz w:val="24"/>
                <w:szCs w:val="24"/>
              </w:rPr>
              <w:t>(en % du PIB</w:t>
            </w:r>
            <w:r w:rsidRPr="00AD7D99">
              <w:rPr>
                <w:rFonts w:asciiTheme="minorHAnsi" w:hAnsiTheme="minorHAnsi"/>
                <w:i/>
                <w:sz w:val="24"/>
                <w:szCs w:val="24"/>
              </w:rPr>
              <w:t>)</w:t>
            </w:r>
          </w:p>
        </w:tc>
        <w:tc>
          <w:tcPr>
            <w:tcW w:w="1275" w:type="dxa"/>
            <w:vMerge w:val="restart"/>
            <w:tcBorders>
              <w:top w:val="triple" w:sz="4" w:space="0" w:color="auto"/>
            </w:tcBorders>
            <w:shd w:val="clear" w:color="auto" w:fill="FFFFFF"/>
            <w:vAlign w:val="center"/>
          </w:tcPr>
          <w:p w:rsidR="008B4644" w:rsidRPr="00704614" w:rsidRDefault="00AD7D99" w:rsidP="00DC6D52">
            <w:pPr>
              <w:spacing w:before="120" w:after="120"/>
              <w:jc w:val="center"/>
              <w:rPr>
                <w:rFonts w:asciiTheme="minorHAnsi" w:eastAsia="Arial Unicode MS" w:hAnsiTheme="minorHAnsi" w:cs="Arial"/>
                <w:b/>
                <w:bCs/>
                <w:i/>
                <w:iCs/>
                <w:sz w:val="24"/>
                <w:szCs w:val="24"/>
              </w:rPr>
            </w:pPr>
            <w:r w:rsidRPr="00AD7D99">
              <w:rPr>
                <w:rFonts w:asciiTheme="minorHAnsi" w:hAnsiTheme="minorHAnsi"/>
                <w:sz w:val="24"/>
                <w:szCs w:val="24"/>
              </w:rPr>
              <w:t>Taux d’inflation annuel</w:t>
            </w:r>
          </w:p>
          <w:p w:rsidR="008B4644" w:rsidRPr="00704614" w:rsidRDefault="00AD7D99" w:rsidP="00DC6D52">
            <w:pPr>
              <w:spacing w:before="120" w:after="120"/>
              <w:jc w:val="center"/>
              <w:rPr>
                <w:rFonts w:asciiTheme="minorHAnsi" w:eastAsia="Arial Unicode MS" w:hAnsiTheme="minorHAnsi" w:cs="Arial"/>
                <w:b/>
                <w:bCs/>
                <w:i/>
                <w:iCs/>
                <w:sz w:val="24"/>
                <w:szCs w:val="24"/>
              </w:rPr>
            </w:pPr>
            <w:r w:rsidRPr="00AD7D99">
              <w:rPr>
                <w:rFonts w:asciiTheme="minorHAnsi" w:hAnsiTheme="minorHAnsi"/>
                <w:sz w:val="24"/>
                <w:szCs w:val="24"/>
              </w:rPr>
              <w:t>(en %)</w:t>
            </w:r>
          </w:p>
        </w:tc>
        <w:tc>
          <w:tcPr>
            <w:tcW w:w="1418" w:type="dxa"/>
            <w:vMerge w:val="restart"/>
            <w:tcBorders>
              <w:top w:val="triple" w:sz="4" w:space="0" w:color="auto"/>
            </w:tcBorders>
            <w:shd w:val="clear" w:color="auto" w:fill="FFFFFF"/>
            <w:vAlign w:val="center"/>
          </w:tcPr>
          <w:p w:rsidR="008B4644" w:rsidRPr="00704614" w:rsidRDefault="00AD7D99" w:rsidP="00DC6D52">
            <w:pPr>
              <w:spacing w:before="120" w:after="120"/>
              <w:jc w:val="center"/>
              <w:rPr>
                <w:rFonts w:asciiTheme="minorHAnsi" w:eastAsia="Arial Unicode MS" w:hAnsiTheme="minorHAnsi" w:cs="Arial"/>
                <w:b/>
                <w:bCs/>
                <w:i/>
                <w:iCs/>
                <w:sz w:val="24"/>
                <w:szCs w:val="24"/>
              </w:rPr>
            </w:pPr>
            <w:r w:rsidRPr="00AD7D99">
              <w:rPr>
                <w:rFonts w:asciiTheme="minorHAnsi" w:hAnsiTheme="minorHAnsi"/>
                <w:sz w:val="24"/>
                <w:szCs w:val="24"/>
              </w:rPr>
              <w:t>Encours de la dette publique intérieure</w:t>
            </w:r>
          </w:p>
          <w:p w:rsidR="008B4644" w:rsidRPr="00704614" w:rsidRDefault="00AD7D99" w:rsidP="00DC6D52">
            <w:pPr>
              <w:spacing w:before="120" w:after="120"/>
              <w:jc w:val="center"/>
              <w:rPr>
                <w:rFonts w:asciiTheme="minorHAnsi" w:eastAsia="Arial Unicode MS" w:hAnsiTheme="minorHAnsi" w:cs="Arial"/>
                <w:b/>
                <w:bCs/>
                <w:i/>
                <w:iCs/>
                <w:sz w:val="24"/>
                <w:szCs w:val="24"/>
              </w:rPr>
            </w:pPr>
            <w:r w:rsidRPr="00AD7D99">
              <w:rPr>
                <w:rFonts w:asciiTheme="minorHAnsi" w:hAnsiTheme="minorHAnsi"/>
                <w:sz w:val="24"/>
                <w:szCs w:val="24"/>
              </w:rPr>
              <w:t>et extérieure (en % du PIB)</w:t>
            </w:r>
          </w:p>
        </w:tc>
        <w:tc>
          <w:tcPr>
            <w:tcW w:w="1994" w:type="dxa"/>
            <w:gridSpan w:val="2"/>
            <w:tcBorders>
              <w:top w:val="triple" w:sz="4" w:space="0" w:color="auto"/>
              <w:right w:val="triple" w:sz="4" w:space="0" w:color="auto"/>
            </w:tcBorders>
            <w:shd w:val="clear" w:color="auto" w:fill="FFFFFF"/>
            <w:vAlign w:val="center"/>
          </w:tcPr>
          <w:p w:rsidR="008B4644" w:rsidRPr="00704614" w:rsidRDefault="00AD7D99" w:rsidP="00DC6D52">
            <w:pPr>
              <w:spacing w:before="120" w:after="120"/>
              <w:jc w:val="center"/>
              <w:rPr>
                <w:rFonts w:asciiTheme="minorHAnsi" w:eastAsia="Arial Unicode MS" w:hAnsiTheme="minorHAnsi" w:cs="Arial"/>
                <w:b/>
                <w:bCs/>
                <w:i/>
                <w:iCs/>
                <w:sz w:val="24"/>
                <w:szCs w:val="24"/>
              </w:rPr>
            </w:pPr>
            <w:r w:rsidRPr="00AD7D99">
              <w:rPr>
                <w:rFonts w:asciiTheme="minorHAnsi" w:hAnsiTheme="minorHAnsi"/>
                <w:sz w:val="24"/>
                <w:szCs w:val="24"/>
              </w:rPr>
              <w:t>Accumulation des arriérés</w:t>
            </w:r>
          </w:p>
          <w:p w:rsidR="008B4644" w:rsidRPr="00704614" w:rsidRDefault="00AD7D99" w:rsidP="00DC6D52">
            <w:pPr>
              <w:spacing w:before="120" w:after="120"/>
              <w:jc w:val="center"/>
              <w:rPr>
                <w:rFonts w:asciiTheme="minorHAnsi" w:eastAsia="Arial Unicode MS" w:hAnsiTheme="minorHAnsi" w:cs="Arial"/>
                <w:b/>
                <w:bCs/>
                <w:i/>
                <w:iCs/>
                <w:sz w:val="24"/>
                <w:szCs w:val="24"/>
              </w:rPr>
            </w:pPr>
            <w:r w:rsidRPr="00AD7D99">
              <w:rPr>
                <w:rFonts w:asciiTheme="minorHAnsi" w:hAnsiTheme="minorHAnsi"/>
                <w:sz w:val="24"/>
                <w:szCs w:val="24"/>
              </w:rPr>
              <w:t>(Mds de FCFA)</w:t>
            </w:r>
          </w:p>
        </w:tc>
      </w:tr>
      <w:tr w:rsidR="008B4644" w:rsidRPr="00704614" w:rsidTr="00496416">
        <w:trPr>
          <w:cantSplit/>
          <w:trHeight w:val="269"/>
        </w:trPr>
        <w:tc>
          <w:tcPr>
            <w:tcW w:w="1346" w:type="dxa"/>
            <w:vMerge/>
            <w:tcBorders>
              <w:left w:val="triple" w:sz="4" w:space="0" w:color="auto"/>
              <w:bottom w:val="triple" w:sz="4" w:space="0" w:color="auto"/>
            </w:tcBorders>
            <w:shd w:val="clear" w:color="auto" w:fill="FFFFFF"/>
            <w:vAlign w:val="center"/>
          </w:tcPr>
          <w:p w:rsidR="008B4644" w:rsidRPr="00704614" w:rsidRDefault="008B4644" w:rsidP="00DC6D52">
            <w:pPr>
              <w:spacing w:before="120" w:after="120"/>
              <w:jc w:val="center"/>
              <w:rPr>
                <w:rFonts w:asciiTheme="minorHAnsi" w:hAnsiTheme="minorHAnsi"/>
                <w:sz w:val="24"/>
                <w:szCs w:val="24"/>
              </w:rPr>
            </w:pPr>
          </w:p>
        </w:tc>
        <w:tc>
          <w:tcPr>
            <w:tcW w:w="1418" w:type="dxa"/>
            <w:vMerge/>
            <w:tcBorders>
              <w:left w:val="triple" w:sz="4" w:space="0" w:color="auto"/>
              <w:bottom w:val="triple" w:sz="4" w:space="0" w:color="auto"/>
            </w:tcBorders>
            <w:shd w:val="clear" w:color="auto" w:fill="FFFFFF"/>
            <w:vAlign w:val="center"/>
          </w:tcPr>
          <w:p w:rsidR="008B4644" w:rsidRPr="00704614" w:rsidRDefault="008B4644" w:rsidP="00DC6D52">
            <w:pPr>
              <w:spacing w:before="120" w:after="120"/>
              <w:jc w:val="center"/>
              <w:rPr>
                <w:rFonts w:asciiTheme="minorHAnsi" w:hAnsiTheme="minorHAnsi"/>
                <w:sz w:val="24"/>
                <w:szCs w:val="24"/>
              </w:rPr>
            </w:pPr>
          </w:p>
        </w:tc>
        <w:tc>
          <w:tcPr>
            <w:tcW w:w="1701" w:type="dxa"/>
            <w:vMerge/>
            <w:tcBorders>
              <w:bottom w:val="triple" w:sz="4" w:space="0" w:color="auto"/>
            </w:tcBorders>
            <w:shd w:val="clear" w:color="auto" w:fill="FFFFFF"/>
          </w:tcPr>
          <w:p w:rsidR="008B4644" w:rsidRPr="00704614" w:rsidRDefault="008B4644" w:rsidP="00DC6D52">
            <w:pPr>
              <w:spacing w:before="120" w:after="120"/>
              <w:jc w:val="center"/>
              <w:rPr>
                <w:rFonts w:asciiTheme="minorHAnsi" w:hAnsiTheme="minorHAnsi"/>
                <w:i/>
                <w:sz w:val="24"/>
                <w:szCs w:val="24"/>
              </w:rPr>
            </w:pPr>
          </w:p>
        </w:tc>
        <w:tc>
          <w:tcPr>
            <w:tcW w:w="1275" w:type="dxa"/>
            <w:vMerge/>
            <w:tcBorders>
              <w:bottom w:val="triple" w:sz="4" w:space="0" w:color="auto"/>
            </w:tcBorders>
            <w:shd w:val="clear" w:color="auto" w:fill="FFFFFF"/>
            <w:vAlign w:val="center"/>
          </w:tcPr>
          <w:p w:rsidR="008B4644" w:rsidRPr="00704614" w:rsidRDefault="008B4644" w:rsidP="00DC6D52">
            <w:pPr>
              <w:spacing w:before="120" w:after="120"/>
              <w:jc w:val="center"/>
              <w:rPr>
                <w:rFonts w:asciiTheme="minorHAnsi" w:hAnsiTheme="minorHAnsi"/>
                <w:sz w:val="24"/>
                <w:szCs w:val="24"/>
              </w:rPr>
            </w:pPr>
          </w:p>
        </w:tc>
        <w:tc>
          <w:tcPr>
            <w:tcW w:w="1418" w:type="dxa"/>
            <w:vMerge/>
            <w:tcBorders>
              <w:bottom w:val="triple" w:sz="4" w:space="0" w:color="auto"/>
            </w:tcBorders>
            <w:shd w:val="clear" w:color="auto" w:fill="FFFFFF"/>
            <w:vAlign w:val="center"/>
          </w:tcPr>
          <w:p w:rsidR="008B4644" w:rsidRPr="00704614" w:rsidRDefault="008B4644" w:rsidP="00DC6D52">
            <w:pPr>
              <w:spacing w:before="120" w:after="120"/>
              <w:jc w:val="center"/>
              <w:rPr>
                <w:rFonts w:asciiTheme="minorHAnsi" w:hAnsiTheme="minorHAnsi"/>
                <w:sz w:val="24"/>
                <w:szCs w:val="24"/>
              </w:rPr>
            </w:pPr>
          </w:p>
        </w:tc>
        <w:tc>
          <w:tcPr>
            <w:tcW w:w="992" w:type="dxa"/>
            <w:tcBorders>
              <w:bottom w:val="triple" w:sz="4" w:space="0" w:color="auto"/>
            </w:tcBorders>
            <w:shd w:val="clear" w:color="auto" w:fill="FFFFFF"/>
            <w:vAlign w:val="center"/>
          </w:tcPr>
          <w:p w:rsidR="008B4644" w:rsidRPr="00704614" w:rsidRDefault="00AD7D99" w:rsidP="00DC6D52">
            <w:pPr>
              <w:spacing w:before="120" w:after="120"/>
              <w:ind w:left="-180" w:right="-50"/>
              <w:jc w:val="center"/>
              <w:rPr>
                <w:rFonts w:asciiTheme="minorHAnsi" w:eastAsia="Arial Unicode MS" w:hAnsiTheme="minorHAnsi" w:cs="Arial"/>
                <w:b/>
                <w:bCs/>
                <w:i/>
                <w:iCs/>
                <w:sz w:val="24"/>
                <w:szCs w:val="24"/>
              </w:rPr>
            </w:pPr>
            <w:r w:rsidRPr="00AD7D99">
              <w:rPr>
                <w:rFonts w:asciiTheme="minorHAnsi" w:hAnsiTheme="minorHAnsi"/>
                <w:sz w:val="24"/>
                <w:szCs w:val="24"/>
              </w:rPr>
              <w:t>Extérieurs</w:t>
            </w:r>
          </w:p>
        </w:tc>
        <w:tc>
          <w:tcPr>
            <w:tcW w:w="1002" w:type="dxa"/>
            <w:tcBorders>
              <w:bottom w:val="triple" w:sz="4" w:space="0" w:color="auto"/>
              <w:right w:val="triple" w:sz="4" w:space="0" w:color="auto"/>
            </w:tcBorders>
            <w:shd w:val="clear" w:color="auto" w:fill="FFFFFF"/>
            <w:vAlign w:val="center"/>
          </w:tcPr>
          <w:p w:rsidR="008B4644" w:rsidRPr="00704614" w:rsidRDefault="00AD7D99" w:rsidP="00DC6D52">
            <w:pPr>
              <w:spacing w:before="120" w:after="120"/>
              <w:ind w:left="-90"/>
              <w:jc w:val="center"/>
              <w:rPr>
                <w:rFonts w:asciiTheme="minorHAnsi" w:eastAsia="Arial Unicode MS" w:hAnsiTheme="minorHAnsi" w:cs="Arial"/>
                <w:b/>
                <w:bCs/>
                <w:i/>
                <w:iCs/>
                <w:sz w:val="24"/>
                <w:szCs w:val="24"/>
              </w:rPr>
            </w:pPr>
            <w:r w:rsidRPr="00AD7D99">
              <w:rPr>
                <w:rFonts w:asciiTheme="minorHAnsi" w:hAnsiTheme="minorHAnsi"/>
                <w:sz w:val="24"/>
                <w:szCs w:val="24"/>
              </w:rPr>
              <w:t>Intérieurs</w:t>
            </w:r>
          </w:p>
        </w:tc>
      </w:tr>
    </w:tbl>
    <w:tbl>
      <w:tblPr>
        <w:tblpPr w:leftFromText="141" w:rightFromText="141" w:vertAnchor="text" w:horzAnchor="margin" w:tblpY="16"/>
        <w:tblOverlap w:val="never"/>
        <w:tblW w:w="9142" w:type="dxa"/>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shd w:val="clear" w:color="auto" w:fill="FFFFFF" w:themeFill="background1"/>
        <w:tblLayout w:type="fixed"/>
        <w:tblCellMar>
          <w:left w:w="70" w:type="dxa"/>
          <w:right w:w="70" w:type="dxa"/>
        </w:tblCellMar>
        <w:tblLook w:val="0000" w:firstRow="0" w:lastRow="0" w:firstColumn="0" w:lastColumn="0" w:noHBand="0" w:noVBand="0"/>
      </w:tblPr>
      <w:tblGrid>
        <w:gridCol w:w="1346"/>
        <w:gridCol w:w="1418"/>
        <w:gridCol w:w="1701"/>
        <w:gridCol w:w="1275"/>
        <w:gridCol w:w="1432"/>
        <w:gridCol w:w="990"/>
        <w:gridCol w:w="980"/>
      </w:tblGrid>
      <w:tr w:rsidR="00496416" w:rsidRPr="00704614" w:rsidTr="002F4B3C">
        <w:trPr>
          <w:trHeight w:val="338"/>
        </w:trPr>
        <w:tc>
          <w:tcPr>
            <w:tcW w:w="1346" w:type="dxa"/>
            <w:tcBorders>
              <w:top w:val="triple" w:sz="4" w:space="0" w:color="auto"/>
              <w:bottom w:val="triple" w:sz="4" w:space="0" w:color="auto"/>
              <w:right w:val="triple" w:sz="4" w:space="0" w:color="auto"/>
            </w:tcBorders>
            <w:shd w:val="clear" w:color="auto" w:fill="FFFFFF" w:themeFill="background1"/>
          </w:tcPr>
          <w:p w:rsidR="00496416" w:rsidRPr="00704614" w:rsidRDefault="00AD7D99" w:rsidP="00496416">
            <w:pPr>
              <w:tabs>
                <w:tab w:val="left" w:pos="505"/>
                <w:tab w:val="center" w:pos="743"/>
              </w:tabs>
              <w:spacing w:line="276" w:lineRule="auto"/>
              <w:jc w:val="center"/>
              <w:rPr>
                <w:rFonts w:asciiTheme="minorHAnsi" w:hAnsiTheme="minorHAnsi"/>
                <w:color w:val="000000" w:themeColor="text1"/>
                <w:sz w:val="24"/>
                <w:szCs w:val="24"/>
              </w:rPr>
            </w:pPr>
            <w:r w:rsidRPr="00AD7D99">
              <w:rPr>
                <w:rFonts w:asciiTheme="minorHAnsi" w:hAnsiTheme="minorHAnsi"/>
                <w:color w:val="000000" w:themeColor="text1"/>
                <w:sz w:val="24"/>
                <w:szCs w:val="24"/>
              </w:rPr>
              <w:t>Norme</w:t>
            </w:r>
          </w:p>
        </w:tc>
        <w:tc>
          <w:tcPr>
            <w:tcW w:w="1418" w:type="dxa"/>
            <w:tcBorders>
              <w:top w:val="triple" w:sz="4" w:space="0" w:color="auto"/>
              <w:left w:val="triple" w:sz="4" w:space="0" w:color="auto"/>
              <w:bottom w:val="single" w:sz="4" w:space="0" w:color="auto"/>
            </w:tcBorders>
            <w:shd w:val="clear" w:color="auto" w:fill="auto"/>
          </w:tcPr>
          <w:p w:rsidR="00496416" w:rsidRPr="00704614" w:rsidRDefault="00AD7D99" w:rsidP="00496416">
            <w:pPr>
              <w:spacing w:line="276" w:lineRule="auto"/>
              <w:jc w:val="center"/>
              <w:rPr>
                <w:rFonts w:asciiTheme="minorHAnsi" w:hAnsiTheme="minorHAnsi"/>
                <w:b/>
                <w:bCs/>
                <w:sz w:val="24"/>
                <w:szCs w:val="24"/>
              </w:rPr>
            </w:pPr>
            <w:r w:rsidRPr="00AD7D99">
              <w:rPr>
                <w:rFonts w:asciiTheme="minorHAnsi" w:hAnsiTheme="minorHAnsi"/>
                <w:b/>
                <w:bCs/>
                <w:sz w:val="24"/>
                <w:szCs w:val="24"/>
              </w:rPr>
              <w:t>&gt;=0</w:t>
            </w:r>
          </w:p>
        </w:tc>
        <w:tc>
          <w:tcPr>
            <w:tcW w:w="1701" w:type="dxa"/>
            <w:tcBorders>
              <w:top w:val="triple" w:sz="4" w:space="0" w:color="auto"/>
              <w:bottom w:val="single" w:sz="4" w:space="0" w:color="auto"/>
            </w:tcBorders>
            <w:shd w:val="clear" w:color="auto" w:fill="auto"/>
          </w:tcPr>
          <w:p w:rsidR="00496416" w:rsidRPr="00704614" w:rsidRDefault="00AD7D99" w:rsidP="00496416">
            <w:pPr>
              <w:spacing w:line="276" w:lineRule="auto"/>
              <w:jc w:val="center"/>
              <w:rPr>
                <w:rFonts w:asciiTheme="minorHAnsi" w:hAnsiTheme="minorHAnsi"/>
                <w:b/>
                <w:bCs/>
                <w:sz w:val="24"/>
                <w:szCs w:val="24"/>
              </w:rPr>
            </w:pPr>
            <w:r w:rsidRPr="00AD7D99">
              <w:rPr>
                <w:rFonts w:asciiTheme="minorHAnsi" w:hAnsiTheme="minorHAnsi"/>
                <w:b/>
                <w:bCs/>
                <w:sz w:val="24"/>
                <w:szCs w:val="24"/>
              </w:rPr>
              <w:t>&gt;=0</w:t>
            </w:r>
          </w:p>
        </w:tc>
        <w:tc>
          <w:tcPr>
            <w:tcW w:w="1275" w:type="dxa"/>
            <w:tcBorders>
              <w:top w:val="triple" w:sz="4" w:space="0" w:color="auto"/>
              <w:bottom w:val="single" w:sz="4" w:space="0" w:color="auto"/>
            </w:tcBorders>
            <w:shd w:val="clear" w:color="auto" w:fill="auto"/>
          </w:tcPr>
          <w:p w:rsidR="00496416" w:rsidRPr="00704614" w:rsidRDefault="00AD7D99" w:rsidP="00496416">
            <w:pPr>
              <w:spacing w:line="276" w:lineRule="auto"/>
              <w:jc w:val="center"/>
              <w:rPr>
                <w:rFonts w:asciiTheme="minorHAnsi" w:hAnsiTheme="minorHAnsi"/>
                <w:b/>
                <w:bCs/>
                <w:sz w:val="24"/>
                <w:szCs w:val="24"/>
              </w:rPr>
            </w:pPr>
            <w:r w:rsidRPr="00AD7D99">
              <w:rPr>
                <w:rFonts w:asciiTheme="minorHAnsi" w:hAnsiTheme="minorHAnsi"/>
                <w:b/>
                <w:bCs/>
                <w:sz w:val="24"/>
                <w:szCs w:val="24"/>
              </w:rPr>
              <w:t>&lt;=3</w:t>
            </w:r>
          </w:p>
        </w:tc>
        <w:tc>
          <w:tcPr>
            <w:tcW w:w="1432" w:type="dxa"/>
            <w:tcBorders>
              <w:top w:val="triple" w:sz="4" w:space="0" w:color="auto"/>
              <w:bottom w:val="single" w:sz="4" w:space="0" w:color="auto"/>
            </w:tcBorders>
            <w:shd w:val="clear" w:color="auto" w:fill="auto"/>
          </w:tcPr>
          <w:p w:rsidR="00496416" w:rsidRPr="00704614" w:rsidRDefault="00AD7D99" w:rsidP="00496416">
            <w:pPr>
              <w:spacing w:line="276" w:lineRule="auto"/>
              <w:jc w:val="center"/>
              <w:rPr>
                <w:rFonts w:asciiTheme="minorHAnsi" w:hAnsiTheme="minorHAnsi"/>
                <w:b/>
                <w:bCs/>
                <w:sz w:val="24"/>
                <w:szCs w:val="24"/>
              </w:rPr>
            </w:pPr>
            <w:r w:rsidRPr="00AD7D99">
              <w:rPr>
                <w:rFonts w:asciiTheme="minorHAnsi" w:hAnsiTheme="minorHAnsi"/>
                <w:b/>
                <w:bCs/>
                <w:sz w:val="24"/>
                <w:szCs w:val="24"/>
              </w:rPr>
              <w:t>&lt;=70</w:t>
            </w:r>
          </w:p>
        </w:tc>
        <w:tc>
          <w:tcPr>
            <w:tcW w:w="990" w:type="dxa"/>
            <w:tcBorders>
              <w:top w:val="triple" w:sz="4" w:space="0" w:color="auto"/>
              <w:bottom w:val="single" w:sz="4" w:space="0" w:color="auto"/>
            </w:tcBorders>
            <w:shd w:val="clear" w:color="auto" w:fill="auto"/>
          </w:tcPr>
          <w:p w:rsidR="00496416" w:rsidRPr="00704614" w:rsidRDefault="00AD7D99" w:rsidP="00496416">
            <w:pPr>
              <w:spacing w:line="276" w:lineRule="auto"/>
              <w:jc w:val="center"/>
              <w:rPr>
                <w:rFonts w:asciiTheme="minorHAnsi" w:hAnsiTheme="minorHAnsi"/>
                <w:b/>
                <w:bCs/>
                <w:sz w:val="24"/>
                <w:szCs w:val="24"/>
              </w:rPr>
            </w:pPr>
            <w:r w:rsidRPr="00AD7D99">
              <w:rPr>
                <w:rFonts w:asciiTheme="minorHAnsi" w:hAnsiTheme="minorHAnsi"/>
                <w:b/>
                <w:bCs/>
                <w:sz w:val="24"/>
                <w:szCs w:val="24"/>
              </w:rPr>
              <w:t>0</w:t>
            </w:r>
          </w:p>
        </w:tc>
        <w:tc>
          <w:tcPr>
            <w:tcW w:w="980" w:type="dxa"/>
            <w:tcBorders>
              <w:top w:val="triple" w:sz="4" w:space="0" w:color="auto"/>
              <w:bottom w:val="single" w:sz="4" w:space="0" w:color="auto"/>
            </w:tcBorders>
            <w:shd w:val="clear" w:color="auto" w:fill="auto"/>
          </w:tcPr>
          <w:p w:rsidR="00496416" w:rsidRPr="00704614" w:rsidRDefault="00AD7D99" w:rsidP="00496416">
            <w:pPr>
              <w:spacing w:line="276" w:lineRule="auto"/>
              <w:jc w:val="center"/>
              <w:rPr>
                <w:rFonts w:asciiTheme="minorHAnsi" w:hAnsiTheme="minorHAnsi"/>
                <w:b/>
                <w:bCs/>
                <w:sz w:val="24"/>
                <w:szCs w:val="24"/>
              </w:rPr>
            </w:pPr>
            <w:r w:rsidRPr="00AD7D99">
              <w:rPr>
                <w:rFonts w:asciiTheme="minorHAnsi" w:hAnsiTheme="minorHAnsi"/>
                <w:b/>
                <w:bCs/>
                <w:sz w:val="24"/>
                <w:szCs w:val="24"/>
              </w:rPr>
              <w:t>0</w:t>
            </w:r>
          </w:p>
        </w:tc>
      </w:tr>
      <w:tr w:rsidR="005F293B" w:rsidRPr="00704614" w:rsidTr="005F293B">
        <w:trPr>
          <w:trHeight w:val="338"/>
        </w:trPr>
        <w:tc>
          <w:tcPr>
            <w:tcW w:w="1346" w:type="dxa"/>
            <w:tcBorders>
              <w:top w:val="triple" w:sz="4" w:space="0" w:color="auto"/>
            </w:tcBorders>
            <w:shd w:val="clear" w:color="auto" w:fill="FFFFFF" w:themeFill="background1"/>
          </w:tcPr>
          <w:p w:rsidR="005F293B" w:rsidRPr="00704614" w:rsidRDefault="00AD7D99" w:rsidP="005F293B">
            <w:pPr>
              <w:spacing w:before="120" w:after="120"/>
              <w:jc w:val="both"/>
              <w:rPr>
                <w:rFonts w:asciiTheme="minorHAnsi" w:hAnsiTheme="minorHAnsi"/>
                <w:b/>
                <w:sz w:val="24"/>
                <w:szCs w:val="24"/>
              </w:rPr>
            </w:pPr>
            <w:r w:rsidRPr="00AD7D99">
              <w:rPr>
                <w:rFonts w:asciiTheme="minorHAnsi" w:hAnsiTheme="minorHAnsi"/>
                <w:b/>
                <w:sz w:val="24"/>
                <w:szCs w:val="24"/>
              </w:rPr>
              <w:t>CEMAC</w:t>
            </w:r>
          </w:p>
        </w:tc>
        <w:tc>
          <w:tcPr>
            <w:tcW w:w="1418" w:type="dxa"/>
            <w:tcBorders>
              <w:top w:val="triple" w:sz="4" w:space="0" w:color="auto"/>
              <w:bottom w:val="single" w:sz="4" w:space="0" w:color="auto"/>
            </w:tcBorders>
            <w:shd w:val="clear" w:color="auto" w:fill="auto"/>
            <w:vAlign w:val="center"/>
          </w:tcPr>
          <w:p w:rsidR="005F293B" w:rsidRPr="00704614" w:rsidRDefault="00AD7D99" w:rsidP="005F293B">
            <w:pPr>
              <w:spacing w:line="276" w:lineRule="auto"/>
              <w:jc w:val="center"/>
              <w:rPr>
                <w:rFonts w:asciiTheme="minorHAnsi" w:hAnsiTheme="minorHAnsi"/>
                <w:color w:val="000000" w:themeColor="text1"/>
                <w:sz w:val="24"/>
                <w:szCs w:val="24"/>
              </w:rPr>
            </w:pPr>
            <w:r w:rsidRPr="00AD7D99">
              <w:rPr>
                <w:rFonts w:asciiTheme="minorHAnsi" w:hAnsiTheme="minorHAnsi"/>
                <w:color w:val="000000" w:themeColor="text1"/>
                <w:sz w:val="24"/>
                <w:szCs w:val="24"/>
              </w:rPr>
              <w:t>-1,0</w:t>
            </w:r>
          </w:p>
        </w:tc>
        <w:tc>
          <w:tcPr>
            <w:tcW w:w="1701" w:type="dxa"/>
            <w:tcBorders>
              <w:top w:val="triple" w:sz="4" w:space="0" w:color="auto"/>
              <w:bottom w:val="single" w:sz="4" w:space="0" w:color="auto"/>
            </w:tcBorders>
            <w:shd w:val="clear" w:color="auto" w:fill="D6E3BC" w:themeFill="accent3" w:themeFillTint="66"/>
            <w:vAlign w:val="center"/>
          </w:tcPr>
          <w:p w:rsidR="005F293B" w:rsidRPr="00704614" w:rsidRDefault="00AD7D99" w:rsidP="005F293B">
            <w:pPr>
              <w:spacing w:before="120" w:after="120"/>
              <w:jc w:val="center"/>
              <w:rPr>
                <w:rFonts w:asciiTheme="minorHAnsi" w:hAnsiTheme="minorHAnsi"/>
                <w:sz w:val="24"/>
                <w:szCs w:val="24"/>
              </w:rPr>
            </w:pPr>
            <w:r w:rsidRPr="00AD7D99">
              <w:rPr>
                <w:rFonts w:asciiTheme="minorHAnsi" w:hAnsiTheme="minorHAnsi"/>
                <w:sz w:val="24"/>
                <w:szCs w:val="24"/>
              </w:rPr>
              <w:t>6,0</w:t>
            </w:r>
          </w:p>
        </w:tc>
        <w:tc>
          <w:tcPr>
            <w:tcW w:w="1275" w:type="dxa"/>
            <w:tcBorders>
              <w:top w:val="triple" w:sz="4" w:space="0" w:color="auto"/>
              <w:bottom w:val="single" w:sz="4" w:space="0" w:color="auto"/>
            </w:tcBorders>
            <w:shd w:val="clear" w:color="auto" w:fill="D6E3BC" w:themeFill="accent3" w:themeFillTint="66"/>
            <w:vAlign w:val="center"/>
          </w:tcPr>
          <w:p w:rsidR="005F293B" w:rsidRPr="00704614" w:rsidRDefault="00AD7D99" w:rsidP="005F293B">
            <w:pPr>
              <w:spacing w:before="2" w:after="2" w:line="276" w:lineRule="auto"/>
              <w:jc w:val="center"/>
              <w:rPr>
                <w:rFonts w:asciiTheme="minorHAnsi" w:hAnsiTheme="minorHAnsi"/>
                <w:color w:val="000000" w:themeColor="text1"/>
                <w:sz w:val="24"/>
                <w:szCs w:val="24"/>
              </w:rPr>
            </w:pPr>
            <w:r w:rsidRPr="00AD7D99">
              <w:rPr>
                <w:rFonts w:asciiTheme="minorHAnsi" w:hAnsiTheme="minorHAnsi"/>
                <w:color w:val="000000" w:themeColor="text1"/>
                <w:sz w:val="24"/>
                <w:szCs w:val="24"/>
              </w:rPr>
              <w:t>2,3</w:t>
            </w:r>
          </w:p>
        </w:tc>
        <w:tc>
          <w:tcPr>
            <w:tcW w:w="1432" w:type="dxa"/>
            <w:tcBorders>
              <w:top w:val="triple" w:sz="4" w:space="0" w:color="auto"/>
              <w:bottom w:val="single" w:sz="4" w:space="0" w:color="auto"/>
            </w:tcBorders>
            <w:shd w:val="clear" w:color="auto" w:fill="D6E3BC" w:themeFill="accent3" w:themeFillTint="66"/>
            <w:vAlign w:val="center"/>
          </w:tcPr>
          <w:p w:rsidR="005F293B" w:rsidRPr="00704614" w:rsidRDefault="00AD7D99" w:rsidP="005F293B">
            <w:pPr>
              <w:spacing w:before="2" w:after="2" w:line="276" w:lineRule="auto"/>
              <w:jc w:val="center"/>
              <w:rPr>
                <w:rFonts w:asciiTheme="minorHAnsi" w:eastAsia="SimSun" w:hAnsiTheme="minorHAnsi"/>
                <w:color w:val="000000" w:themeColor="text1"/>
                <w:sz w:val="24"/>
                <w:szCs w:val="24"/>
                <w:lang w:eastAsia="zh-CN"/>
              </w:rPr>
            </w:pPr>
            <w:r w:rsidRPr="00AD7D99">
              <w:rPr>
                <w:rFonts w:asciiTheme="minorHAnsi" w:hAnsiTheme="minorHAnsi"/>
                <w:color w:val="000000" w:themeColor="text1"/>
                <w:sz w:val="24"/>
                <w:szCs w:val="24"/>
              </w:rPr>
              <w:t>30,8</w:t>
            </w:r>
          </w:p>
        </w:tc>
        <w:tc>
          <w:tcPr>
            <w:tcW w:w="990" w:type="dxa"/>
            <w:tcBorders>
              <w:top w:val="triple" w:sz="4" w:space="0" w:color="auto"/>
              <w:bottom w:val="single" w:sz="4" w:space="0" w:color="auto"/>
            </w:tcBorders>
            <w:shd w:val="clear" w:color="auto" w:fill="FFFFFF" w:themeFill="background1"/>
            <w:vAlign w:val="center"/>
          </w:tcPr>
          <w:p w:rsidR="005F293B" w:rsidRPr="00704614" w:rsidRDefault="00AD7D99" w:rsidP="009D5F11">
            <w:pPr>
              <w:spacing w:before="40" w:after="40" w:line="276" w:lineRule="auto"/>
              <w:jc w:val="center"/>
              <w:rPr>
                <w:rFonts w:asciiTheme="minorHAnsi" w:hAnsiTheme="minorHAnsi"/>
                <w:color w:val="000000" w:themeColor="text1"/>
                <w:sz w:val="24"/>
                <w:szCs w:val="24"/>
              </w:rPr>
            </w:pPr>
            <w:r w:rsidRPr="00AD7D99">
              <w:rPr>
                <w:rFonts w:asciiTheme="minorHAnsi" w:hAnsiTheme="minorHAnsi" w:cs="Arial"/>
                <w:color w:val="000000" w:themeColor="text1"/>
                <w:sz w:val="24"/>
                <w:szCs w:val="24"/>
              </w:rPr>
              <w:t>=0</w:t>
            </w:r>
          </w:p>
        </w:tc>
        <w:tc>
          <w:tcPr>
            <w:tcW w:w="980" w:type="dxa"/>
            <w:tcBorders>
              <w:top w:val="triple" w:sz="4" w:space="0" w:color="auto"/>
              <w:bottom w:val="single" w:sz="4" w:space="0" w:color="auto"/>
            </w:tcBorders>
            <w:shd w:val="clear" w:color="auto" w:fill="auto"/>
            <w:vAlign w:val="center"/>
          </w:tcPr>
          <w:p w:rsidR="005F293B" w:rsidRPr="00704614" w:rsidRDefault="00AD7D99" w:rsidP="005F293B">
            <w:pPr>
              <w:spacing w:before="40" w:after="40" w:line="276" w:lineRule="auto"/>
              <w:jc w:val="center"/>
              <w:rPr>
                <w:rFonts w:asciiTheme="minorHAnsi" w:hAnsiTheme="minorHAnsi"/>
                <w:color w:val="000000" w:themeColor="text1"/>
                <w:sz w:val="24"/>
                <w:szCs w:val="24"/>
              </w:rPr>
            </w:pPr>
            <w:r w:rsidRPr="00AD7D99">
              <w:rPr>
                <w:rFonts w:asciiTheme="minorHAnsi" w:hAnsiTheme="minorHAnsi" w:cs="Arial"/>
                <w:color w:val="000000" w:themeColor="text1"/>
                <w:sz w:val="24"/>
                <w:szCs w:val="24"/>
              </w:rPr>
              <w:t>&gt;0</w:t>
            </w:r>
          </w:p>
        </w:tc>
      </w:tr>
      <w:tr w:rsidR="009D5F11" w:rsidRPr="00704614" w:rsidTr="0027185F">
        <w:tc>
          <w:tcPr>
            <w:tcW w:w="1346" w:type="dxa"/>
            <w:shd w:val="clear" w:color="auto" w:fill="FFFFFF" w:themeFill="background1"/>
          </w:tcPr>
          <w:p w:rsidR="009D5F11" w:rsidRPr="00704614" w:rsidRDefault="00AD7D99" w:rsidP="009D5F11">
            <w:pPr>
              <w:spacing w:before="120" w:after="120"/>
              <w:jc w:val="both"/>
              <w:rPr>
                <w:rFonts w:asciiTheme="minorHAnsi" w:hAnsiTheme="minorHAnsi"/>
                <w:sz w:val="24"/>
                <w:szCs w:val="24"/>
              </w:rPr>
            </w:pPr>
            <w:r w:rsidRPr="00AD7D99">
              <w:rPr>
                <w:rFonts w:asciiTheme="minorHAnsi" w:hAnsiTheme="minorHAnsi"/>
                <w:sz w:val="24"/>
                <w:szCs w:val="24"/>
              </w:rPr>
              <w:t>Cameroun</w:t>
            </w:r>
          </w:p>
        </w:tc>
        <w:tc>
          <w:tcPr>
            <w:tcW w:w="1418" w:type="dxa"/>
            <w:tcBorders>
              <w:top w:val="single" w:sz="4" w:space="0" w:color="auto"/>
              <w:bottom w:val="single" w:sz="4" w:space="0" w:color="auto"/>
            </w:tcBorders>
            <w:shd w:val="clear" w:color="auto" w:fill="C2D69B" w:themeFill="accent3" w:themeFillTint="99"/>
            <w:vAlign w:val="center"/>
          </w:tcPr>
          <w:p w:rsidR="00343A54" w:rsidRDefault="00AD7D99">
            <w:pPr>
              <w:spacing w:before="120" w:after="120"/>
              <w:jc w:val="center"/>
              <w:rPr>
                <w:rFonts w:asciiTheme="minorHAnsi" w:hAnsiTheme="minorHAnsi"/>
                <w:sz w:val="24"/>
                <w:szCs w:val="24"/>
              </w:rPr>
            </w:pPr>
            <w:r w:rsidRPr="00AD7D99">
              <w:rPr>
                <w:rFonts w:asciiTheme="minorHAnsi" w:hAnsiTheme="minorHAnsi"/>
                <w:sz w:val="24"/>
                <w:szCs w:val="24"/>
              </w:rPr>
              <w:t>1,8</w:t>
            </w:r>
          </w:p>
        </w:tc>
        <w:tc>
          <w:tcPr>
            <w:tcW w:w="1701" w:type="dxa"/>
            <w:tcBorders>
              <w:top w:val="single" w:sz="4" w:space="0" w:color="auto"/>
              <w:bottom w:val="single" w:sz="4" w:space="0" w:color="auto"/>
            </w:tcBorders>
            <w:shd w:val="clear" w:color="auto" w:fill="D6E3BC" w:themeFill="accent3" w:themeFillTint="66"/>
            <w:vAlign w:val="center"/>
          </w:tcPr>
          <w:p w:rsidR="009D5F11" w:rsidRPr="00704614" w:rsidRDefault="00AD7D99" w:rsidP="009D5F11">
            <w:pPr>
              <w:spacing w:before="120" w:after="120"/>
              <w:jc w:val="center"/>
              <w:rPr>
                <w:rFonts w:asciiTheme="minorHAnsi" w:hAnsiTheme="minorHAnsi"/>
                <w:sz w:val="24"/>
                <w:szCs w:val="24"/>
              </w:rPr>
            </w:pPr>
            <w:r w:rsidRPr="00AD7D99">
              <w:rPr>
                <w:rFonts w:asciiTheme="minorHAnsi" w:hAnsiTheme="minorHAnsi"/>
                <w:sz w:val="24"/>
                <w:szCs w:val="24"/>
              </w:rPr>
              <w:t>2,6</w:t>
            </w:r>
          </w:p>
        </w:tc>
        <w:tc>
          <w:tcPr>
            <w:tcW w:w="1275" w:type="dxa"/>
            <w:tcBorders>
              <w:top w:val="single" w:sz="4" w:space="0" w:color="auto"/>
              <w:bottom w:val="single" w:sz="4" w:space="0" w:color="auto"/>
            </w:tcBorders>
            <w:shd w:val="clear" w:color="auto" w:fill="D6E3BC" w:themeFill="accent3" w:themeFillTint="66"/>
            <w:vAlign w:val="center"/>
          </w:tcPr>
          <w:p w:rsidR="009D5F11" w:rsidRPr="00704614" w:rsidRDefault="00AD7D99" w:rsidP="009D5F11">
            <w:pPr>
              <w:spacing w:before="2" w:after="2" w:line="276" w:lineRule="auto"/>
              <w:jc w:val="center"/>
              <w:rPr>
                <w:rFonts w:asciiTheme="minorHAnsi" w:hAnsiTheme="minorHAnsi"/>
                <w:snapToGrid w:val="0"/>
                <w:color w:val="000000" w:themeColor="text1"/>
                <w:sz w:val="24"/>
                <w:szCs w:val="24"/>
              </w:rPr>
            </w:pPr>
            <w:r w:rsidRPr="00AD7D99">
              <w:rPr>
                <w:rFonts w:asciiTheme="minorHAnsi" w:hAnsiTheme="minorHAnsi"/>
                <w:color w:val="000000" w:themeColor="text1"/>
                <w:sz w:val="24"/>
                <w:szCs w:val="24"/>
              </w:rPr>
              <w:t>2,7</w:t>
            </w:r>
          </w:p>
        </w:tc>
        <w:tc>
          <w:tcPr>
            <w:tcW w:w="1432" w:type="dxa"/>
            <w:tcBorders>
              <w:top w:val="single" w:sz="4" w:space="0" w:color="auto"/>
              <w:bottom w:val="single" w:sz="4" w:space="0" w:color="auto"/>
            </w:tcBorders>
            <w:shd w:val="clear" w:color="auto" w:fill="D6E3BC" w:themeFill="accent3" w:themeFillTint="66"/>
            <w:vAlign w:val="center"/>
          </w:tcPr>
          <w:p w:rsidR="009D5F11" w:rsidRPr="00704614" w:rsidRDefault="00AD7D99" w:rsidP="009D5F11">
            <w:pPr>
              <w:spacing w:before="2" w:after="2" w:line="276" w:lineRule="auto"/>
              <w:jc w:val="center"/>
              <w:rPr>
                <w:rFonts w:asciiTheme="minorHAnsi" w:hAnsiTheme="minorHAnsi"/>
                <w:snapToGrid w:val="0"/>
                <w:color w:val="000000" w:themeColor="text1"/>
                <w:sz w:val="24"/>
                <w:szCs w:val="24"/>
              </w:rPr>
            </w:pPr>
            <w:r w:rsidRPr="00AD7D99">
              <w:rPr>
                <w:rFonts w:asciiTheme="minorHAnsi" w:hAnsiTheme="minorHAnsi"/>
                <w:color w:val="000000" w:themeColor="text1"/>
                <w:sz w:val="24"/>
                <w:szCs w:val="24"/>
              </w:rPr>
              <w:t>23,6</w:t>
            </w:r>
          </w:p>
        </w:tc>
        <w:tc>
          <w:tcPr>
            <w:tcW w:w="990" w:type="dxa"/>
            <w:tcBorders>
              <w:top w:val="single" w:sz="4" w:space="0" w:color="auto"/>
              <w:bottom w:val="single" w:sz="4" w:space="0" w:color="auto"/>
            </w:tcBorders>
            <w:shd w:val="clear" w:color="auto" w:fill="C2D69B" w:themeFill="accent3" w:themeFillTint="99"/>
            <w:vAlign w:val="center"/>
          </w:tcPr>
          <w:p w:rsidR="009D5F11" w:rsidRPr="00704614" w:rsidRDefault="00AD7D99" w:rsidP="009D5F11">
            <w:pPr>
              <w:spacing w:before="20" w:after="20" w:line="276" w:lineRule="auto"/>
              <w:jc w:val="center"/>
              <w:rPr>
                <w:rFonts w:asciiTheme="minorHAnsi" w:hAnsiTheme="minorHAnsi"/>
                <w:color w:val="000000" w:themeColor="text1"/>
                <w:sz w:val="24"/>
                <w:szCs w:val="24"/>
              </w:rPr>
            </w:pPr>
            <w:r w:rsidRPr="00AD7D99">
              <w:rPr>
                <w:rFonts w:asciiTheme="minorHAnsi" w:hAnsiTheme="minorHAnsi" w:cs="Arial"/>
                <w:color w:val="000000" w:themeColor="text1"/>
                <w:sz w:val="24"/>
                <w:szCs w:val="24"/>
              </w:rPr>
              <w:t>=0</w:t>
            </w:r>
          </w:p>
        </w:tc>
        <w:tc>
          <w:tcPr>
            <w:tcW w:w="980" w:type="dxa"/>
            <w:tcBorders>
              <w:top w:val="single" w:sz="4" w:space="0" w:color="auto"/>
              <w:bottom w:val="single" w:sz="4" w:space="0" w:color="auto"/>
            </w:tcBorders>
            <w:shd w:val="clear" w:color="auto" w:fill="C2D69B" w:themeFill="accent3" w:themeFillTint="99"/>
            <w:vAlign w:val="center"/>
          </w:tcPr>
          <w:p w:rsidR="009D5F11" w:rsidRPr="00704614" w:rsidRDefault="00AD7D99" w:rsidP="009D5F11">
            <w:pPr>
              <w:spacing w:before="20" w:after="20" w:line="276" w:lineRule="auto"/>
              <w:jc w:val="center"/>
              <w:rPr>
                <w:rFonts w:asciiTheme="minorHAnsi" w:hAnsiTheme="minorHAnsi"/>
                <w:color w:val="000000" w:themeColor="text1"/>
                <w:sz w:val="24"/>
                <w:szCs w:val="24"/>
              </w:rPr>
            </w:pPr>
            <w:r w:rsidRPr="00AD7D99">
              <w:rPr>
                <w:rFonts w:asciiTheme="minorHAnsi" w:hAnsiTheme="minorHAnsi" w:cs="Arial"/>
                <w:color w:val="000000" w:themeColor="text1"/>
                <w:sz w:val="24"/>
                <w:szCs w:val="24"/>
              </w:rPr>
              <w:t>=0</w:t>
            </w:r>
          </w:p>
        </w:tc>
      </w:tr>
      <w:tr w:rsidR="009D5F11" w:rsidRPr="00704614" w:rsidTr="005F293B">
        <w:tc>
          <w:tcPr>
            <w:tcW w:w="1346" w:type="dxa"/>
            <w:shd w:val="clear" w:color="auto" w:fill="FFFFFF" w:themeFill="background1"/>
          </w:tcPr>
          <w:p w:rsidR="009D5F11" w:rsidRPr="00704614" w:rsidRDefault="00AD7D99" w:rsidP="009D5F11">
            <w:pPr>
              <w:spacing w:before="120" w:after="120"/>
              <w:jc w:val="both"/>
              <w:rPr>
                <w:rFonts w:asciiTheme="minorHAnsi" w:hAnsiTheme="minorHAnsi"/>
                <w:sz w:val="24"/>
                <w:szCs w:val="24"/>
              </w:rPr>
            </w:pPr>
            <w:r w:rsidRPr="00AD7D99">
              <w:rPr>
                <w:rFonts w:asciiTheme="minorHAnsi" w:hAnsiTheme="minorHAnsi"/>
                <w:sz w:val="24"/>
                <w:szCs w:val="24"/>
              </w:rPr>
              <w:t>Centrafrique</w:t>
            </w:r>
          </w:p>
        </w:tc>
        <w:tc>
          <w:tcPr>
            <w:tcW w:w="1418" w:type="dxa"/>
            <w:tcBorders>
              <w:top w:val="single" w:sz="4" w:space="0" w:color="auto"/>
              <w:bottom w:val="single" w:sz="4" w:space="0" w:color="auto"/>
            </w:tcBorders>
            <w:shd w:val="clear" w:color="auto" w:fill="auto"/>
            <w:vAlign w:val="center"/>
          </w:tcPr>
          <w:p w:rsidR="009D5F11" w:rsidRPr="00704614" w:rsidRDefault="00AD7D99" w:rsidP="009D5F11">
            <w:pPr>
              <w:spacing w:line="276" w:lineRule="auto"/>
              <w:jc w:val="center"/>
              <w:rPr>
                <w:rFonts w:asciiTheme="minorHAnsi" w:eastAsia="SimSun" w:hAnsiTheme="minorHAnsi"/>
                <w:color w:val="000000" w:themeColor="text1"/>
                <w:sz w:val="24"/>
                <w:szCs w:val="24"/>
                <w:lang w:eastAsia="zh-CN"/>
              </w:rPr>
            </w:pPr>
            <w:r w:rsidRPr="00AD7D99">
              <w:rPr>
                <w:rFonts w:asciiTheme="minorHAnsi" w:hAnsiTheme="minorHAnsi"/>
                <w:color w:val="000000" w:themeColor="text1"/>
                <w:sz w:val="24"/>
                <w:szCs w:val="24"/>
              </w:rPr>
              <w:t>-3,5</w:t>
            </w:r>
          </w:p>
        </w:tc>
        <w:tc>
          <w:tcPr>
            <w:tcW w:w="1701" w:type="dxa"/>
            <w:tcBorders>
              <w:top w:val="single" w:sz="4" w:space="0" w:color="auto"/>
              <w:bottom w:val="single" w:sz="4" w:space="0" w:color="auto"/>
            </w:tcBorders>
            <w:shd w:val="clear" w:color="auto" w:fill="auto"/>
            <w:vAlign w:val="center"/>
          </w:tcPr>
          <w:p w:rsidR="009D5F11" w:rsidRPr="00704614" w:rsidRDefault="00AD7D99" w:rsidP="009D5F11">
            <w:pPr>
              <w:spacing w:line="276" w:lineRule="auto"/>
              <w:jc w:val="center"/>
              <w:rPr>
                <w:rFonts w:asciiTheme="minorHAnsi" w:eastAsia="SimSun" w:hAnsiTheme="minorHAnsi"/>
                <w:color w:val="000000" w:themeColor="text1"/>
                <w:sz w:val="24"/>
                <w:szCs w:val="24"/>
                <w:lang w:eastAsia="zh-CN"/>
              </w:rPr>
            </w:pPr>
            <w:r w:rsidRPr="00AD7D99">
              <w:rPr>
                <w:rFonts w:asciiTheme="minorHAnsi" w:hAnsiTheme="minorHAnsi"/>
                <w:color w:val="000000" w:themeColor="text1"/>
                <w:sz w:val="24"/>
                <w:szCs w:val="24"/>
              </w:rPr>
              <w:t>-3,5</w:t>
            </w:r>
          </w:p>
        </w:tc>
        <w:tc>
          <w:tcPr>
            <w:tcW w:w="1275" w:type="dxa"/>
            <w:tcBorders>
              <w:top w:val="single" w:sz="4" w:space="0" w:color="auto"/>
              <w:bottom w:val="single" w:sz="4" w:space="0" w:color="auto"/>
            </w:tcBorders>
            <w:shd w:val="clear" w:color="auto" w:fill="D6E3BC" w:themeFill="accent3" w:themeFillTint="66"/>
            <w:vAlign w:val="center"/>
          </w:tcPr>
          <w:p w:rsidR="009D5F11" w:rsidRPr="00704614" w:rsidRDefault="00AD7D99" w:rsidP="009D5F11">
            <w:pPr>
              <w:spacing w:before="2" w:after="2" w:line="276" w:lineRule="auto"/>
              <w:jc w:val="center"/>
              <w:rPr>
                <w:rFonts w:asciiTheme="minorHAnsi" w:hAnsiTheme="minorHAnsi"/>
                <w:snapToGrid w:val="0"/>
                <w:color w:val="000000" w:themeColor="text1"/>
                <w:sz w:val="24"/>
                <w:szCs w:val="24"/>
              </w:rPr>
            </w:pPr>
            <w:r w:rsidRPr="00AD7D99">
              <w:rPr>
                <w:rFonts w:asciiTheme="minorHAnsi" w:hAnsiTheme="minorHAnsi"/>
                <w:color w:val="000000" w:themeColor="text1"/>
                <w:sz w:val="24"/>
                <w:szCs w:val="24"/>
              </w:rPr>
              <w:t>2,0</w:t>
            </w:r>
          </w:p>
        </w:tc>
        <w:tc>
          <w:tcPr>
            <w:tcW w:w="1432" w:type="dxa"/>
            <w:tcBorders>
              <w:top w:val="single" w:sz="4" w:space="0" w:color="auto"/>
              <w:bottom w:val="single" w:sz="4" w:space="0" w:color="auto"/>
            </w:tcBorders>
            <w:shd w:val="clear" w:color="auto" w:fill="D6E3BC" w:themeFill="accent3" w:themeFillTint="66"/>
            <w:vAlign w:val="center"/>
          </w:tcPr>
          <w:p w:rsidR="009D5F11" w:rsidRPr="00704614" w:rsidRDefault="00AD7D99" w:rsidP="009D5F11">
            <w:pPr>
              <w:spacing w:before="2" w:after="2" w:line="276" w:lineRule="auto"/>
              <w:jc w:val="center"/>
              <w:rPr>
                <w:rFonts w:asciiTheme="minorHAnsi" w:hAnsiTheme="minorHAnsi"/>
                <w:snapToGrid w:val="0"/>
                <w:color w:val="000000" w:themeColor="text1"/>
                <w:sz w:val="24"/>
                <w:szCs w:val="24"/>
              </w:rPr>
            </w:pPr>
            <w:r w:rsidRPr="00AD7D99">
              <w:rPr>
                <w:rFonts w:asciiTheme="minorHAnsi" w:hAnsiTheme="minorHAnsi"/>
                <w:color w:val="000000" w:themeColor="text1"/>
                <w:sz w:val="24"/>
                <w:szCs w:val="24"/>
              </w:rPr>
              <w:t>49,0</w:t>
            </w:r>
          </w:p>
        </w:tc>
        <w:tc>
          <w:tcPr>
            <w:tcW w:w="990" w:type="dxa"/>
            <w:tcBorders>
              <w:top w:val="single" w:sz="4" w:space="0" w:color="auto"/>
              <w:bottom w:val="single" w:sz="4" w:space="0" w:color="auto"/>
            </w:tcBorders>
            <w:shd w:val="clear" w:color="auto" w:fill="FFFFFF" w:themeFill="background1"/>
            <w:vAlign w:val="center"/>
          </w:tcPr>
          <w:p w:rsidR="009D5F11" w:rsidRPr="00704614" w:rsidRDefault="00AD7D99" w:rsidP="009D5F11">
            <w:pPr>
              <w:spacing w:line="276" w:lineRule="auto"/>
              <w:jc w:val="center"/>
              <w:rPr>
                <w:rFonts w:asciiTheme="minorHAnsi" w:hAnsiTheme="minorHAnsi"/>
                <w:color w:val="000000" w:themeColor="text1"/>
                <w:sz w:val="24"/>
                <w:szCs w:val="24"/>
              </w:rPr>
            </w:pPr>
            <w:r w:rsidRPr="00AD7D99">
              <w:rPr>
                <w:rFonts w:asciiTheme="minorHAnsi" w:hAnsiTheme="minorHAnsi" w:cs="Arial"/>
                <w:color w:val="000000" w:themeColor="text1"/>
                <w:sz w:val="24"/>
                <w:szCs w:val="24"/>
              </w:rPr>
              <w:t>=0</w:t>
            </w:r>
          </w:p>
        </w:tc>
        <w:tc>
          <w:tcPr>
            <w:tcW w:w="980" w:type="dxa"/>
            <w:tcBorders>
              <w:top w:val="single" w:sz="4" w:space="0" w:color="auto"/>
              <w:bottom w:val="single" w:sz="4" w:space="0" w:color="auto"/>
            </w:tcBorders>
            <w:shd w:val="clear" w:color="auto" w:fill="auto"/>
            <w:vAlign w:val="center"/>
          </w:tcPr>
          <w:p w:rsidR="009D5F11" w:rsidRPr="00704614" w:rsidRDefault="00AD7D99" w:rsidP="009D5F11">
            <w:pPr>
              <w:spacing w:line="276" w:lineRule="auto"/>
              <w:jc w:val="center"/>
              <w:rPr>
                <w:rFonts w:asciiTheme="minorHAnsi" w:hAnsiTheme="minorHAnsi"/>
                <w:color w:val="000000" w:themeColor="text1"/>
                <w:sz w:val="24"/>
                <w:szCs w:val="24"/>
              </w:rPr>
            </w:pPr>
            <w:r w:rsidRPr="00AD7D99">
              <w:rPr>
                <w:rFonts w:asciiTheme="minorHAnsi" w:hAnsiTheme="minorHAnsi" w:cs="Arial"/>
                <w:color w:val="000000" w:themeColor="text1"/>
                <w:sz w:val="24"/>
                <w:szCs w:val="24"/>
              </w:rPr>
              <w:t>&gt;0</w:t>
            </w:r>
          </w:p>
        </w:tc>
      </w:tr>
      <w:tr w:rsidR="009D5F11" w:rsidRPr="00704614" w:rsidTr="005F293B">
        <w:tc>
          <w:tcPr>
            <w:tcW w:w="1346" w:type="dxa"/>
            <w:shd w:val="clear" w:color="auto" w:fill="FFFFFF" w:themeFill="background1"/>
          </w:tcPr>
          <w:p w:rsidR="009D5F11" w:rsidRPr="00704614" w:rsidRDefault="00AD7D99" w:rsidP="009D5F11">
            <w:pPr>
              <w:spacing w:before="120" w:after="120"/>
              <w:jc w:val="both"/>
              <w:rPr>
                <w:rFonts w:asciiTheme="minorHAnsi" w:hAnsiTheme="minorHAnsi"/>
                <w:sz w:val="24"/>
                <w:szCs w:val="24"/>
              </w:rPr>
            </w:pPr>
            <w:r w:rsidRPr="00AD7D99">
              <w:rPr>
                <w:rFonts w:asciiTheme="minorHAnsi" w:hAnsiTheme="minorHAnsi"/>
                <w:sz w:val="24"/>
                <w:szCs w:val="24"/>
              </w:rPr>
              <w:t>Congo</w:t>
            </w:r>
          </w:p>
        </w:tc>
        <w:tc>
          <w:tcPr>
            <w:tcW w:w="1418" w:type="dxa"/>
            <w:tcBorders>
              <w:top w:val="single" w:sz="4" w:space="0" w:color="auto"/>
              <w:bottom w:val="single" w:sz="4" w:space="0" w:color="auto"/>
            </w:tcBorders>
            <w:shd w:val="clear" w:color="auto" w:fill="auto"/>
            <w:vAlign w:val="center"/>
          </w:tcPr>
          <w:p w:rsidR="009D5F11" w:rsidRPr="00704614" w:rsidRDefault="00AD7D99" w:rsidP="009D5F11">
            <w:pPr>
              <w:spacing w:line="276" w:lineRule="auto"/>
              <w:jc w:val="center"/>
              <w:rPr>
                <w:rFonts w:asciiTheme="minorHAnsi" w:hAnsiTheme="minorHAnsi"/>
                <w:snapToGrid w:val="0"/>
                <w:color w:val="000000" w:themeColor="text1"/>
                <w:sz w:val="24"/>
                <w:szCs w:val="24"/>
              </w:rPr>
            </w:pPr>
            <w:r w:rsidRPr="00AD7D99">
              <w:rPr>
                <w:rFonts w:asciiTheme="minorHAnsi" w:hAnsiTheme="minorHAnsi"/>
                <w:color w:val="000000" w:themeColor="text1"/>
                <w:sz w:val="24"/>
                <w:szCs w:val="24"/>
              </w:rPr>
              <w:t>-9,2</w:t>
            </w:r>
          </w:p>
        </w:tc>
        <w:tc>
          <w:tcPr>
            <w:tcW w:w="1701" w:type="dxa"/>
            <w:tcBorders>
              <w:top w:val="single" w:sz="4" w:space="0" w:color="auto"/>
              <w:bottom w:val="single" w:sz="4" w:space="0" w:color="auto"/>
            </w:tcBorders>
            <w:shd w:val="clear" w:color="auto" w:fill="D6E3BC" w:themeFill="accent3" w:themeFillTint="66"/>
            <w:vAlign w:val="center"/>
          </w:tcPr>
          <w:p w:rsidR="009D5F11" w:rsidRPr="00704614" w:rsidRDefault="00AD7D99" w:rsidP="009D5F11">
            <w:pPr>
              <w:spacing w:before="120" w:after="120"/>
              <w:jc w:val="center"/>
              <w:rPr>
                <w:rFonts w:asciiTheme="minorHAnsi" w:hAnsiTheme="minorHAnsi"/>
                <w:sz w:val="24"/>
                <w:szCs w:val="24"/>
              </w:rPr>
            </w:pPr>
            <w:r w:rsidRPr="00AD7D99">
              <w:rPr>
                <w:rFonts w:asciiTheme="minorHAnsi" w:hAnsiTheme="minorHAnsi"/>
                <w:sz w:val="24"/>
                <w:szCs w:val="24"/>
              </w:rPr>
              <w:t>15,8</w:t>
            </w:r>
          </w:p>
        </w:tc>
        <w:tc>
          <w:tcPr>
            <w:tcW w:w="1275" w:type="dxa"/>
            <w:tcBorders>
              <w:top w:val="single" w:sz="4" w:space="0" w:color="auto"/>
              <w:bottom w:val="single" w:sz="4" w:space="0" w:color="auto"/>
            </w:tcBorders>
            <w:shd w:val="clear" w:color="auto" w:fill="D6E3BC" w:themeFill="accent3" w:themeFillTint="66"/>
            <w:vAlign w:val="center"/>
          </w:tcPr>
          <w:p w:rsidR="009D5F11" w:rsidRPr="00704614" w:rsidRDefault="00AD7D99" w:rsidP="009D5F11">
            <w:pPr>
              <w:spacing w:before="2" w:after="2" w:line="276" w:lineRule="auto"/>
              <w:jc w:val="center"/>
              <w:rPr>
                <w:rFonts w:asciiTheme="minorHAnsi" w:hAnsiTheme="minorHAnsi"/>
                <w:snapToGrid w:val="0"/>
                <w:color w:val="000000" w:themeColor="text1"/>
                <w:sz w:val="24"/>
                <w:szCs w:val="24"/>
              </w:rPr>
            </w:pPr>
            <w:r w:rsidRPr="00AD7D99">
              <w:rPr>
                <w:rFonts w:asciiTheme="minorHAnsi" w:hAnsiTheme="minorHAnsi"/>
                <w:color w:val="000000" w:themeColor="text1"/>
                <w:sz w:val="24"/>
                <w:szCs w:val="24"/>
              </w:rPr>
              <w:t>1,8</w:t>
            </w:r>
          </w:p>
        </w:tc>
        <w:tc>
          <w:tcPr>
            <w:tcW w:w="1432" w:type="dxa"/>
            <w:tcBorders>
              <w:top w:val="single" w:sz="4" w:space="0" w:color="auto"/>
              <w:bottom w:val="single" w:sz="4" w:space="0" w:color="auto"/>
            </w:tcBorders>
            <w:shd w:val="clear" w:color="auto" w:fill="D6E3BC" w:themeFill="accent3" w:themeFillTint="66"/>
            <w:vAlign w:val="center"/>
          </w:tcPr>
          <w:p w:rsidR="009D5F11" w:rsidRPr="00704614" w:rsidRDefault="00AD7D99" w:rsidP="009D5F11">
            <w:pPr>
              <w:spacing w:before="2" w:after="2" w:line="276" w:lineRule="auto"/>
              <w:jc w:val="center"/>
              <w:rPr>
                <w:rFonts w:asciiTheme="minorHAnsi" w:hAnsiTheme="minorHAnsi"/>
                <w:snapToGrid w:val="0"/>
                <w:color w:val="000000" w:themeColor="text1"/>
                <w:sz w:val="24"/>
                <w:szCs w:val="24"/>
              </w:rPr>
            </w:pPr>
            <w:r w:rsidRPr="00AD7D99">
              <w:rPr>
                <w:rFonts w:asciiTheme="minorHAnsi" w:hAnsiTheme="minorHAnsi"/>
                <w:color w:val="000000" w:themeColor="text1"/>
                <w:sz w:val="24"/>
                <w:szCs w:val="24"/>
              </w:rPr>
              <w:t>52,5</w:t>
            </w:r>
          </w:p>
        </w:tc>
        <w:tc>
          <w:tcPr>
            <w:tcW w:w="990" w:type="dxa"/>
            <w:tcBorders>
              <w:top w:val="single" w:sz="4" w:space="0" w:color="auto"/>
              <w:bottom w:val="single" w:sz="4" w:space="0" w:color="auto"/>
            </w:tcBorders>
            <w:shd w:val="clear" w:color="auto" w:fill="FFFFFF" w:themeFill="background1"/>
            <w:vAlign w:val="center"/>
          </w:tcPr>
          <w:p w:rsidR="009D5F11" w:rsidRPr="00704614" w:rsidRDefault="00AD7D99" w:rsidP="009D5F11">
            <w:pPr>
              <w:spacing w:line="276" w:lineRule="auto"/>
              <w:jc w:val="center"/>
              <w:rPr>
                <w:rFonts w:asciiTheme="minorHAnsi" w:hAnsiTheme="minorHAnsi"/>
                <w:color w:val="000000" w:themeColor="text1"/>
                <w:sz w:val="24"/>
                <w:szCs w:val="24"/>
              </w:rPr>
            </w:pPr>
            <w:r w:rsidRPr="00AD7D99">
              <w:rPr>
                <w:rFonts w:asciiTheme="minorHAnsi" w:hAnsiTheme="minorHAnsi" w:cs="Arial"/>
                <w:color w:val="000000" w:themeColor="text1"/>
                <w:sz w:val="24"/>
                <w:szCs w:val="24"/>
              </w:rPr>
              <w:t>=0</w:t>
            </w:r>
          </w:p>
        </w:tc>
        <w:tc>
          <w:tcPr>
            <w:tcW w:w="980" w:type="dxa"/>
            <w:tcBorders>
              <w:top w:val="single" w:sz="4" w:space="0" w:color="auto"/>
              <w:bottom w:val="single" w:sz="4" w:space="0" w:color="auto"/>
            </w:tcBorders>
            <w:shd w:val="clear" w:color="auto" w:fill="auto"/>
            <w:vAlign w:val="center"/>
          </w:tcPr>
          <w:p w:rsidR="009D5F11" w:rsidRPr="00704614" w:rsidRDefault="00AD7D99" w:rsidP="009D5F11">
            <w:pPr>
              <w:spacing w:line="276" w:lineRule="auto"/>
              <w:jc w:val="center"/>
              <w:rPr>
                <w:rFonts w:asciiTheme="minorHAnsi" w:hAnsiTheme="minorHAnsi"/>
                <w:color w:val="000000" w:themeColor="text1"/>
                <w:sz w:val="24"/>
                <w:szCs w:val="24"/>
              </w:rPr>
            </w:pPr>
            <w:r w:rsidRPr="00AD7D99">
              <w:rPr>
                <w:rFonts w:asciiTheme="minorHAnsi" w:hAnsiTheme="minorHAnsi" w:cs="Arial"/>
                <w:color w:val="000000" w:themeColor="text1"/>
                <w:sz w:val="24"/>
                <w:szCs w:val="24"/>
              </w:rPr>
              <w:t>&gt;0</w:t>
            </w:r>
          </w:p>
        </w:tc>
      </w:tr>
      <w:tr w:rsidR="009D5F11" w:rsidRPr="00704614" w:rsidTr="005F293B">
        <w:tc>
          <w:tcPr>
            <w:tcW w:w="1346" w:type="dxa"/>
            <w:shd w:val="clear" w:color="auto" w:fill="FFFFFF" w:themeFill="background1"/>
          </w:tcPr>
          <w:p w:rsidR="009D5F11" w:rsidRPr="00704614" w:rsidRDefault="00AD7D99" w:rsidP="009D5F11">
            <w:pPr>
              <w:spacing w:before="120" w:after="120"/>
              <w:jc w:val="both"/>
              <w:rPr>
                <w:rFonts w:asciiTheme="minorHAnsi" w:hAnsiTheme="minorHAnsi"/>
                <w:sz w:val="24"/>
                <w:szCs w:val="24"/>
              </w:rPr>
            </w:pPr>
            <w:r w:rsidRPr="00AD7D99">
              <w:rPr>
                <w:rFonts w:asciiTheme="minorHAnsi" w:hAnsiTheme="minorHAnsi"/>
                <w:sz w:val="24"/>
                <w:szCs w:val="24"/>
              </w:rPr>
              <w:t>Gabon</w:t>
            </w:r>
          </w:p>
        </w:tc>
        <w:tc>
          <w:tcPr>
            <w:tcW w:w="1418" w:type="dxa"/>
            <w:tcBorders>
              <w:top w:val="single" w:sz="4" w:space="0" w:color="auto"/>
              <w:bottom w:val="single" w:sz="4" w:space="0" w:color="auto"/>
            </w:tcBorders>
            <w:shd w:val="clear" w:color="auto" w:fill="auto"/>
            <w:vAlign w:val="center"/>
          </w:tcPr>
          <w:p w:rsidR="009D5F11" w:rsidRPr="00704614" w:rsidRDefault="00AD7D99" w:rsidP="009D5F11">
            <w:pPr>
              <w:spacing w:line="276" w:lineRule="auto"/>
              <w:jc w:val="center"/>
              <w:rPr>
                <w:rFonts w:asciiTheme="minorHAnsi" w:hAnsiTheme="minorHAnsi"/>
                <w:snapToGrid w:val="0"/>
                <w:color w:val="000000" w:themeColor="text1"/>
                <w:sz w:val="24"/>
                <w:szCs w:val="24"/>
              </w:rPr>
            </w:pPr>
            <w:r w:rsidRPr="00AD7D99">
              <w:rPr>
                <w:rFonts w:asciiTheme="minorHAnsi" w:hAnsiTheme="minorHAnsi"/>
                <w:color w:val="000000" w:themeColor="text1"/>
                <w:sz w:val="24"/>
                <w:szCs w:val="24"/>
              </w:rPr>
              <w:t>1,0</w:t>
            </w:r>
          </w:p>
        </w:tc>
        <w:tc>
          <w:tcPr>
            <w:tcW w:w="1701" w:type="dxa"/>
            <w:tcBorders>
              <w:top w:val="single" w:sz="4" w:space="0" w:color="auto"/>
              <w:bottom w:val="single" w:sz="4" w:space="0" w:color="auto"/>
            </w:tcBorders>
            <w:shd w:val="clear" w:color="auto" w:fill="D6E3BC" w:themeFill="accent3" w:themeFillTint="66"/>
            <w:vAlign w:val="center"/>
          </w:tcPr>
          <w:p w:rsidR="009D5F11" w:rsidRPr="00704614" w:rsidRDefault="00AD7D99" w:rsidP="009D5F11">
            <w:pPr>
              <w:spacing w:before="120" w:after="120"/>
              <w:jc w:val="center"/>
              <w:rPr>
                <w:rFonts w:asciiTheme="minorHAnsi" w:hAnsiTheme="minorHAnsi"/>
                <w:sz w:val="24"/>
                <w:szCs w:val="24"/>
              </w:rPr>
            </w:pPr>
            <w:r w:rsidRPr="00AD7D99">
              <w:rPr>
                <w:rFonts w:asciiTheme="minorHAnsi" w:hAnsiTheme="minorHAnsi"/>
                <w:sz w:val="24"/>
                <w:szCs w:val="24"/>
              </w:rPr>
              <w:t>7,1</w:t>
            </w:r>
          </w:p>
        </w:tc>
        <w:tc>
          <w:tcPr>
            <w:tcW w:w="1275" w:type="dxa"/>
            <w:tcBorders>
              <w:top w:val="single" w:sz="4" w:space="0" w:color="auto"/>
              <w:bottom w:val="single" w:sz="4" w:space="0" w:color="auto"/>
            </w:tcBorders>
            <w:shd w:val="clear" w:color="auto" w:fill="D6E3BC" w:themeFill="accent3" w:themeFillTint="66"/>
            <w:vAlign w:val="center"/>
          </w:tcPr>
          <w:p w:rsidR="009D5F11" w:rsidRPr="00704614" w:rsidRDefault="00AD7D99" w:rsidP="009D5F11">
            <w:pPr>
              <w:spacing w:before="2" w:after="2" w:line="276" w:lineRule="auto"/>
              <w:jc w:val="center"/>
              <w:rPr>
                <w:rFonts w:asciiTheme="minorHAnsi" w:hAnsiTheme="minorHAnsi"/>
                <w:snapToGrid w:val="0"/>
                <w:color w:val="000000" w:themeColor="text1"/>
                <w:sz w:val="24"/>
                <w:szCs w:val="24"/>
              </w:rPr>
            </w:pPr>
            <w:r w:rsidRPr="00AD7D99">
              <w:rPr>
                <w:rFonts w:asciiTheme="minorHAnsi" w:hAnsiTheme="minorHAnsi"/>
                <w:color w:val="000000" w:themeColor="text1"/>
                <w:sz w:val="24"/>
                <w:szCs w:val="24"/>
              </w:rPr>
              <w:t>-0,3</w:t>
            </w:r>
          </w:p>
        </w:tc>
        <w:tc>
          <w:tcPr>
            <w:tcW w:w="1432" w:type="dxa"/>
            <w:tcBorders>
              <w:top w:val="single" w:sz="4" w:space="0" w:color="auto"/>
              <w:bottom w:val="single" w:sz="4" w:space="0" w:color="auto"/>
            </w:tcBorders>
            <w:shd w:val="clear" w:color="auto" w:fill="D6E3BC" w:themeFill="accent3" w:themeFillTint="66"/>
            <w:vAlign w:val="center"/>
          </w:tcPr>
          <w:p w:rsidR="009D5F11" w:rsidRPr="00704614" w:rsidRDefault="00AD7D99" w:rsidP="009D5F11">
            <w:pPr>
              <w:spacing w:before="2" w:after="2" w:line="276" w:lineRule="auto"/>
              <w:jc w:val="center"/>
              <w:rPr>
                <w:rFonts w:asciiTheme="minorHAnsi" w:eastAsia="Arial Unicode MS" w:hAnsiTheme="minorHAnsi"/>
                <w:snapToGrid w:val="0"/>
                <w:color w:val="000000" w:themeColor="text1"/>
                <w:sz w:val="24"/>
                <w:szCs w:val="24"/>
              </w:rPr>
            </w:pPr>
            <w:r w:rsidRPr="00AD7D99">
              <w:rPr>
                <w:rFonts w:asciiTheme="minorHAnsi" w:hAnsiTheme="minorHAnsi"/>
                <w:color w:val="000000" w:themeColor="text1"/>
                <w:sz w:val="24"/>
                <w:szCs w:val="24"/>
              </w:rPr>
              <w:t>35,9</w:t>
            </w:r>
          </w:p>
        </w:tc>
        <w:tc>
          <w:tcPr>
            <w:tcW w:w="990" w:type="dxa"/>
            <w:tcBorders>
              <w:top w:val="single" w:sz="4" w:space="0" w:color="auto"/>
              <w:bottom w:val="single" w:sz="4" w:space="0" w:color="auto"/>
            </w:tcBorders>
            <w:shd w:val="clear" w:color="auto" w:fill="FFFFFF" w:themeFill="background1"/>
            <w:vAlign w:val="center"/>
          </w:tcPr>
          <w:p w:rsidR="009D5F11" w:rsidRPr="00704614" w:rsidRDefault="00AD7D99" w:rsidP="009D5F11">
            <w:pPr>
              <w:spacing w:line="276" w:lineRule="auto"/>
              <w:jc w:val="center"/>
              <w:rPr>
                <w:rFonts w:asciiTheme="minorHAnsi" w:hAnsiTheme="minorHAnsi"/>
                <w:color w:val="000000" w:themeColor="text1"/>
                <w:sz w:val="24"/>
                <w:szCs w:val="24"/>
              </w:rPr>
            </w:pPr>
            <w:r w:rsidRPr="00AD7D99">
              <w:rPr>
                <w:rFonts w:asciiTheme="minorHAnsi" w:hAnsiTheme="minorHAnsi" w:cs="Arial"/>
                <w:color w:val="000000" w:themeColor="text1"/>
                <w:sz w:val="24"/>
                <w:szCs w:val="24"/>
              </w:rPr>
              <w:t>=0</w:t>
            </w:r>
          </w:p>
        </w:tc>
        <w:tc>
          <w:tcPr>
            <w:tcW w:w="980" w:type="dxa"/>
            <w:tcBorders>
              <w:top w:val="single" w:sz="4" w:space="0" w:color="auto"/>
              <w:bottom w:val="single" w:sz="4" w:space="0" w:color="auto"/>
            </w:tcBorders>
            <w:shd w:val="clear" w:color="auto" w:fill="auto"/>
            <w:vAlign w:val="center"/>
          </w:tcPr>
          <w:p w:rsidR="009D5F11" w:rsidRPr="00704614" w:rsidRDefault="00AD7D99" w:rsidP="009D5F11">
            <w:pPr>
              <w:spacing w:line="276" w:lineRule="auto"/>
              <w:jc w:val="center"/>
              <w:rPr>
                <w:rFonts w:asciiTheme="minorHAnsi" w:hAnsiTheme="minorHAnsi"/>
                <w:color w:val="000000" w:themeColor="text1"/>
                <w:sz w:val="24"/>
                <w:szCs w:val="24"/>
              </w:rPr>
            </w:pPr>
            <w:r w:rsidRPr="00AD7D99">
              <w:rPr>
                <w:rFonts w:asciiTheme="minorHAnsi" w:hAnsiTheme="minorHAnsi" w:cs="Arial"/>
                <w:color w:val="000000" w:themeColor="text1"/>
                <w:sz w:val="24"/>
                <w:szCs w:val="24"/>
              </w:rPr>
              <w:t>&gt;0</w:t>
            </w:r>
          </w:p>
        </w:tc>
      </w:tr>
      <w:tr w:rsidR="009D5F11" w:rsidRPr="00704614" w:rsidTr="005F293B">
        <w:tc>
          <w:tcPr>
            <w:tcW w:w="1346" w:type="dxa"/>
            <w:shd w:val="clear" w:color="auto" w:fill="FFFFFF" w:themeFill="background1"/>
          </w:tcPr>
          <w:p w:rsidR="009D5F11" w:rsidRPr="00704614" w:rsidRDefault="00AD7D99" w:rsidP="009D5F11">
            <w:pPr>
              <w:spacing w:before="120" w:after="120"/>
              <w:jc w:val="both"/>
              <w:rPr>
                <w:rFonts w:asciiTheme="minorHAnsi" w:hAnsiTheme="minorHAnsi"/>
                <w:sz w:val="24"/>
                <w:szCs w:val="24"/>
              </w:rPr>
            </w:pPr>
            <w:r w:rsidRPr="00AD7D99">
              <w:rPr>
                <w:rFonts w:asciiTheme="minorHAnsi" w:hAnsiTheme="minorHAnsi"/>
                <w:sz w:val="24"/>
                <w:szCs w:val="24"/>
              </w:rPr>
              <w:t>Guinée Equ.</w:t>
            </w:r>
          </w:p>
        </w:tc>
        <w:tc>
          <w:tcPr>
            <w:tcW w:w="1418" w:type="dxa"/>
            <w:tcBorders>
              <w:top w:val="single" w:sz="4" w:space="0" w:color="auto"/>
              <w:bottom w:val="single" w:sz="4" w:space="0" w:color="auto"/>
            </w:tcBorders>
            <w:shd w:val="clear" w:color="auto" w:fill="auto"/>
            <w:vAlign w:val="center"/>
          </w:tcPr>
          <w:p w:rsidR="009D5F11" w:rsidRPr="00704614" w:rsidRDefault="00AD7D99" w:rsidP="009D5F11">
            <w:pPr>
              <w:spacing w:line="276" w:lineRule="auto"/>
              <w:jc w:val="center"/>
              <w:rPr>
                <w:rFonts w:asciiTheme="minorHAnsi" w:hAnsiTheme="minorHAnsi"/>
                <w:snapToGrid w:val="0"/>
                <w:color w:val="000000" w:themeColor="text1"/>
                <w:sz w:val="24"/>
                <w:szCs w:val="24"/>
              </w:rPr>
            </w:pPr>
            <w:r w:rsidRPr="00AD7D99">
              <w:rPr>
                <w:rFonts w:asciiTheme="minorHAnsi" w:hAnsiTheme="minorHAnsi"/>
                <w:color w:val="000000" w:themeColor="text1"/>
                <w:sz w:val="24"/>
                <w:szCs w:val="24"/>
              </w:rPr>
              <w:t>-4,9</w:t>
            </w:r>
          </w:p>
        </w:tc>
        <w:tc>
          <w:tcPr>
            <w:tcW w:w="1701" w:type="dxa"/>
            <w:tcBorders>
              <w:top w:val="single" w:sz="4" w:space="0" w:color="auto"/>
              <w:bottom w:val="single" w:sz="4" w:space="0" w:color="auto"/>
            </w:tcBorders>
            <w:shd w:val="clear" w:color="auto" w:fill="D6E3BC" w:themeFill="accent3" w:themeFillTint="66"/>
            <w:vAlign w:val="center"/>
          </w:tcPr>
          <w:p w:rsidR="009D5F11" w:rsidRPr="00704614" w:rsidRDefault="00AD7D99" w:rsidP="009D5F11">
            <w:pPr>
              <w:spacing w:before="120" w:after="120"/>
              <w:jc w:val="center"/>
              <w:rPr>
                <w:rFonts w:asciiTheme="minorHAnsi" w:hAnsiTheme="minorHAnsi"/>
                <w:sz w:val="24"/>
                <w:szCs w:val="24"/>
              </w:rPr>
            </w:pPr>
            <w:r w:rsidRPr="00AD7D99">
              <w:rPr>
                <w:rFonts w:asciiTheme="minorHAnsi" w:hAnsiTheme="minorHAnsi"/>
                <w:sz w:val="24"/>
                <w:szCs w:val="24"/>
              </w:rPr>
              <w:t>7,5</w:t>
            </w:r>
          </w:p>
        </w:tc>
        <w:tc>
          <w:tcPr>
            <w:tcW w:w="1275" w:type="dxa"/>
            <w:tcBorders>
              <w:top w:val="single" w:sz="4" w:space="0" w:color="auto"/>
              <w:bottom w:val="single" w:sz="4" w:space="0" w:color="auto"/>
            </w:tcBorders>
            <w:shd w:val="clear" w:color="auto" w:fill="D6E3BC" w:themeFill="accent3" w:themeFillTint="66"/>
            <w:vAlign w:val="center"/>
          </w:tcPr>
          <w:p w:rsidR="009D5F11" w:rsidRPr="00704614" w:rsidRDefault="00AD7D99" w:rsidP="009D5F11">
            <w:pPr>
              <w:spacing w:before="2" w:after="2" w:line="276" w:lineRule="auto"/>
              <w:jc w:val="center"/>
              <w:rPr>
                <w:rFonts w:asciiTheme="minorHAnsi" w:hAnsiTheme="minorHAnsi"/>
                <w:snapToGrid w:val="0"/>
                <w:color w:val="000000" w:themeColor="text1"/>
                <w:sz w:val="24"/>
                <w:szCs w:val="24"/>
              </w:rPr>
            </w:pPr>
            <w:r w:rsidRPr="00AD7D99">
              <w:rPr>
                <w:rFonts w:asciiTheme="minorHAnsi" w:hAnsiTheme="minorHAnsi"/>
                <w:color w:val="000000" w:themeColor="text1"/>
                <w:sz w:val="24"/>
                <w:szCs w:val="24"/>
              </w:rPr>
              <w:t>1,7</w:t>
            </w:r>
          </w:p>
        </w:tc>
        <w:tc>
          <w:tcPr>
            <w:tcW w:w="1432" w:type="dxa"/>
            <w:tcBorders>
              <w:top w:val="single" w:sz="4" w:space="0" w:color="auto"/>
              <w:bottom w:val="single" w:sz="4" w:space="0" w:color="auto"/>
            </w:tcBorders>
            <w:shd w:val="clear" w:color="auto" w:fill="D6E3BC" w:themeFill="accent3" w:themeFillTint="66"/>
            <w:vAlign w:val="center"/>
          </w:tcPr>
          <w:p w:rsidR="009D5F11" w:rsidRPr="00704614" w:rsidRDefault="00AD7D99" w:rsidP="009D5F11">
            <w:pPr>
              <w:spacing w:before="2" w:after="2" w:line="276" w:lineRule="auto"/>
              <w:jc w:val="center"/>
              <w:rPr>
                <w:rFonts w:asciiTheme="minorHAnsi" w:hAnsiTheme="minorHAnsi"/>
                <w:snapToGrid w:val="0"/>
                <w:color w:val="000000" w:themeColor="text1"/>
                <w:sz w:val="24"/>
                <w:szCs w:val="24"/>
              </w:rPr>
            </w:pPr>
            <w:r w:rsidRPr="00AD7D99">
              <w:rPr>
                <w:rFonts w:asciiTheme="minorHAnsi" w:hAnsiTheme="minorHAnsi"/>
                <w:color w:val="000000" w:themeColor="text1"/>
                <w:sz w:val="24"/>
                <w:szCs w:val="24"/>
              </w:rPr>
              <w:t>18,7</w:t>
            </w:r>
          </w:p>
        </w:tc>
        <w:tc>
          <w:tcPr>
            <w:tcW w:w="990" w:type="dxa"/>
            <w:tcBorders>
              <w:top w:val="single" w:sz="4" w:space="0" w:color="auto"/>
              <w:bottom w:val="single" w:sz="4" w:space="0" w:color="auto"/>
            </w:tcBorders>
            <w:shd w:val="clear" w:color="auto" w:fill="FFFFFF" w:themeFill="background1"/>
            <w:vAlign w:val="center"/>
          </w:tcPr>
          <w:p w:rsidR="009D5F11" w:rsidRPr="00704614" w:rsidRDefault="00AD7D99" w:rsidP="009D5F11">
            <w:pPr>
              <w:spacing w:line="276" w:lineRule="auto"/>
              <w:jc w:val="center"/>
              <w:rPr>
                <w:rFonts w:asciiTheme="minorHAnsi" w:hAnsiTheme="minorHAnsi"/>
                <w:color w:val="000000" w:themeColor="text1"/>
                <w:sz w:val="24"/>
                <w:szCs w:val="24"/>
              </w:rPr>
            </w:pPr>
            <w:r w:rsidRPr="00AD7D99">
              <w:rPr>
                <w:rFonts w:asciiTheme="minorHAnsi" w:hAnsiTheme="minorHAnsi" w:cs="Arial"/>
                <w:color w:val="000000" w:themeColor="text1"/>
                <w:sz w:val="24"/>
                <w:szCs w:val="24"/>
              </w:rPr>
              <w:t>=0</w:t>
            </w:r>
          </w:p>
        </w:tc>
        <w:tc>
          <w:tcPr>
            <w:tcW w:w="980" w:type="dxa"/>
            <w:tcBorders>
              <w:top w:val="single" w:sz="4" w:space="0" w:color="auto"/>
              <w:bottom w:val="single" w:sz="4" w:space="0" w:color="auto"/>
            </w:tcBorders>
            <w:shd w:val="clear" w:color="auto" w:fill="auto"/>
            <w:vAlign w:val="center"/>
          </w:tcPr>
          <w:p w:rsidR="009D5F11" w:rsidRPr="00704614" w:rsidRDefault="00AD7D99" w:rsidP="009D5F11">
            <w:pPr>
              <w:spacing w:line="276" w:lineRule="auto"/>
              <w:jc w:val="center"/>
              <w:rPr>
                <w:rFonts w:asciiTheme="minorHAnsi" w:hAnsiTheme="minorHAnsi"/>
                <w:color w:val="000000" w:themeColor="text1"/>
                <w:sz w:val="24"/>
                <w:szCs w:val="24"/>
              </w:rPr>
            </w:pPr>
            <w:r w:rsidRPr="00AD7D99">
              <w:rPr>
                <w:rFonts w:asciiTheme="minorHAnsi" w:hAnsiTheme="minorHAnsi" w:cs="Arial"/>
                <w:color w:val="000000" w:themeColor="text1"/>
                <w:sz w:val="24"/>
                <w:szCs w:val="24"/>
              </w:rPr>
              <w:t>&gt;0</w:t>
            </w:r>
          </w:p>
        </w:tc>
      </w:tr>
      <w:tr w:rsidR="009D5F11" w:rsidRPr="00704614" w:rsidTr="0027185F">
        <w:tc>
          <w:tcPr>
            <w:tcW w:w="1346" w:type="dxa"/>
            <w:tcBorders>
              <w:bottom w:val="triple" w:sz="4" w:space="0" w:color="auto"/>
            </w:tcBorders>
            <w:shd w:val="clear" w:color="auto" w:fill="FFFFFF" w:themeFill="background1"/>
          </w:tcPr>
          <w:p w:rsidR="009D5F11" w:rsidRPr="00704614" w:rsidRDefault="00AD7D99" w:rsidP="009D5F11">
            <w:pPr>
              <w:spacing w:before="120" w:after="120"/>
              <w:jc w:val="both"/>
              <w:rPr>
                <w:rFonts w:asciiTheme="minorHAnsi" w:hAnsiTheme="minorHAnsi"/>
                <w:sz w:val="24"/>
                <w:szCs w:val="24"/>
              </w:rPr>
            </w:pPr>
            <w:r w:rsidRPr="00AD7D99">
              <w:rPr>
                <w:rFonts w:asciiTheme="minorHAnsi" w:hAnsiTheme="minorHAnsi"/>
                <w:sz w:val="24"/>
                <w:szCs w:val="24"/>
              </w:rPr>
              <w:t>Tchad</w:t>
            </w:r>
          </w:p>
        </w:tc>
        <w:tc>
          <w:tcPr>
            <w:tcW w:w="1418" w:type="dxa"/>
            <w:tcBorders>
              <w:top w:val="single" w:sz="4" w:space="0" w:color="auto"/>
              <w:bottom w:val="triple" w:sz="4" w:space="0" w:color="auto"/>
            </w:tcBorders>
            <w:shd w:val="clear" w:color="auto" w:fill="auto"/>
            <w:vAlign w:val="center"/>
          </w:tcPr>
          <w:p w:rsidR="009D5F11" w:rsidRPr="00704614" w:rsidRDefault="00AD7D99" w:rsidP="009D5F11">
            <w:pPr>
              <w:spacing w:line="276" w:lineRule="auto"/>
              <w:jc w:val="center"/>
              <w:rPr>
                <w:rFonts w:asciiTheme="minorHAnsi" w:hAnsiTheme="minorHAnsi"/>
                <w:snapToGrid w:val="0"/>
                <w:color w:val="000000" w:themeColor="text1"/>
                <w:sz w:val="24"/>
                <w:szCs w:val="24"/>
              </w:rPr>
            </w:pPr>
            <w:r w:rsidRPr="00AD7D99">
              <w:rPr>
                <w:rFonts w:asciiTheme="minorHAnsi" w:hAnsiTheme="minorHAnsi"/>
                <w:color w:val="000000" w:themeColor="text1"/>
                <w:sz w:val="24"/>
                <w:szCs w:val="24"/>
              </w:rPr>
              <w:t>-0,7</w:t>
            </w:r>
          </w:p>
        </w:tc>
        <w:tc>
          <w:tcPr>
            <w:tcW w:w="1701" w:type="dxa"/>
            <w:tcBorders>
              <w:top w:val="single" w:sz="4" w:space="0" w:color="auto"/>
              <w:bottom w:val="triple" w:sz="4" w:space="0" w:color="auto"/>
            </w:tcBorders>
            <w:shd w:val="clear" w:color="auto" w:fill="D6E3BC" w:themeFill="accent3" w:themeFillTint="66"/>
            <w:vAlign w:val="center"/>
          </w:tcPr>
          <w:p w:rsidR="009D5F11" w:rsidRPr="00704614" w:rsidRDefault="00AD7D99" w:rsidP="009D5F11">
            <w:pPr>
              <w:spacing w:before="120" w:after="120"/>
              <w:jc w:val="center"/>
              <w:rPr>
                <w:rFonts w:asciiTheme="minorHAnsi" w:hAnsiTheme="minorHAnsi"/>
                <w:sz w:val="24"/>
                <w:szCs w:val="24"/>
              </w:rPr>
            </w:pPr>
            <w:r w:rsidRPr="00AD7D99">
              <w:rPr>
                <w:rFonts w:asciiTheme="minorHAnsi" w:hAnsiTheme="minorHAnsi"/>
                <w:sz w:val="24"/>
                <w:szCs w:val="24"/>
              </w:rPr>
              <w:t>4,0</w:t>
            </w:r>
          </w:p>
        </w:tc>
        <w:tc>
          <w:tcPr>
            <w:tcW w:w="1275" w:type="dxa"/>
            <w:tcBorders>
              <w:top w:val="single" w:sz="4" w:space="0" w:color="auto"/>
              <w:bottom w:val="triple" w:sz="4" w:space="0" w:color="auto"/>
            </w:tcBorders>
            <w:shd w:val="clear" w:color="auto" w:fill="auto"/>
            <w:vAlign w:val="center"/>
          </w:tcPr>
          <w:p w:rsidR="009D5F11" w:rsidRPr="00704614" w:rsidRDefault="00AD7D99" w:rsidP="009D5F11">
            <w:pPr>
              <w:spacing w:before="2" w:after="2" w:line="276" w:lineRule="auto"/>
              <w:jc w:val="center"/>
              <w:rPr>
                <w:rFonts w:asciiTheme="minorHAnsi" w:hAnsiTheme="minorHAnsi"/>
                <w:snapToGrid w:val="0"/>
                <w:color w:val="000000" w:themeColor="text1"/>
                <w:sz w:val="24"/>
                <w:szCs w:val="24"/>
              </w:rPr>
            </w:pPr>
            <w:r w:rsidRPr="00AD7D99">
              <w:rPr>
                <w:rFonts w:asciiTheme="minorHAnsi" w:hAnsiTheme="minorHAnsi"/>
                <w:color w:val="000000" w:themeColor="text1"/>
                <w:sz w:val="24"/>
                <w:szCs w:val="24"/>
              </w:rPr>
              <w:t>3,7</w:t>
            </w:r>
          </w:p>
        </w:tc>
        <w:tc>
          <w:tcPr>
            <w:tcW w:w="1432" w:type="dxa"/>
            <w:tcBorders>
              <w:top w:val="single" w:sz="4" w:space="0" w:color="auto"/>
              <w:bottom w:val="triple" w:sz="4" w:space="0" w:color="auto"/>
            </w:tcBorders>
            <w:shd w:val="clear" w:color="auto" w:fill="D6E3BC" w:themeFill="accent3" w:themeFillTint="66"/>
            <w:vAlign w:val="center"/>
          </w:tcPr>
          <w:p w:rsidR="009D5F11" w:rsidRPr="00704614" w:rsidRDefault="00AD7D99" w:rsidP="009D5F11">
            <w:pPr>
              <w:spacing w:before="2" w:after="2" w:line="276" w:lineRule="auto"/>
              <w:jc w:val="center"/>
              <w:rPr>
                <w:rFonts w:asciiTheme="minorHAnsi" w:hAnsiTheme="minorHAnsi"/>
                <w:snapToGrid w:val="0"/>
                <w:color w:val="000000" w:themeColor="text1"/>
                <w:sz w:val="24"/>
                <w:szCs w:val="24"/>
              </w:rPr>
            </w:pPr>
            <w:r w:rsidRPr="00AD7D99">
              <w:rPr>
                <w:rFonts w:asciiTheme="minorHAnsi" w:hAnsiTheme="minorHAnsi"/>
                <w:color w:val="000000" w:themeColor="text1"/>
                <w:sz w:val="24"/>
                <w:szCs w:val="24"/>
              </w:rPr>
              <w:t>32,5</w:t>
            </w:r>
          </w:p>
        </w:tc>
        <w:tc>
          <w:tcPr>
            <w:tcW w:w="990" w:type="dxa"/>
            <w:tcBorders>
              <w:top w:val="single" w:sz="4" w:space="0" w:color="auto"/>
              <w:bottom w:val="triple" w:sz="4" w:space="0" w:color="auto"/>
            </w:tcBorders>
            <w:shd w:val="clear" w:color="auto" w:fill="C2D69B" w:themeFill="accent3" w:themeFillTint="99"/>
            <w:vAlign w:val="center"/>
          </w:tcPr>
          <w:p w:rsidR="009D5F11" w:rsidRPr="00704614" w:rsidRDefault="00AD7D99" w:rsidP="009D5F11">
            <w:pPr>
              <w:spacing w:line="276" w:lineRule="auto"/>
              <w:jc w:val="center"/>
              <w:rPr>
                <w:rFonts w:asciiTheme="minorHAnsi" w:hAnsiTheme="minorHAnsi"/>
                <w:color w:val="000000" w:themeColor="text1"/>
                <w:sz w:val="24"/>
                <w:szCs w:val="24"/>
              </w:rPr>
            </w:pPr>
            <w:r w:rsidRPr="00AD7D99">
              <w:rPr>
                <w:rFonts w:asciiTheme="minorHAnsi" w:hAnsiTheme="minorHAnsi" w:cs="Arial"/>
                <w:color w:val="000000" w:themeColor="text1"/>
                <w:sz w:val="24"/>
                <w:szCs w:val="24"/>
              </w:rPr>
              <w:t>=0</w:t>
            </w:r>
          </w:p>
        </w:tc>
        <w:tc>
          <w:tcPr>
            <w:tcW w:w="980" w:type="dxa"/>
            <w:tcBorders>
              <w:top w:val="single" w:sz="4" w:space="0" w:color="auto"/>
              <w:bottom w:val="triple" w:sz="4" w:space="0" w:color="auto"/>
            </w:tcBorders>
            <w:shd w:val="clear" w:color="auto" w:fill="C2D69B" w:themeFill="accent3" w:themeFillTint="99"/>
            <w:vAlign w:val="center"/>
          </w:tcPr>
          <w:p w:rsidR="009D5F11" w:rsidRPr="00704614" w:rsidRDefault="00AD7D99" w:rsidP="009D5F11">
            <w:pPr>
              <w:spacing w:line="276" w:lineRule="auto"/>
              <w:jc w:val="center"/>
              <w:rPr>
                <w:rFonts w:asciiTheme="minorHAnsi" w:hAnsiTheme="minorHAnsi"/>
                <w:color w:val="000000" w:themeColor="text1"/>
                <w:sz w:val="24"/>
                <w:szCs w:val="24"/>
              </w:rPr>
            </w:pPr>
            <w:r w:rsidRPr="00AD7D99">
              <w:rPr>
                <w:rFonts w:asciiTheme="minorHAnsi" w:hAnsiTheme="minorHAnsi" w:cs="Arial"/>
                <w:color w:val="000000" w:themeColor="text1"/>
                <w:sz w:val="24"/>
                <w:szCs w:val="24"/>
              </w:rPr>
              <w:t>=0</w:t>
            </w:r>
          </w:p>
        </w:tc>
      </w:tr>
    </w:tbl>
    <w:p w:rsidR="002B0389" w:rsidRPr="00704614" w:rsidRDefault="002B0389" w:rsidP="002B0389">
      <w:pPr>
        <w:spacing w:after="60"/>
        <w:jc w:val="both"/>
        <w:rPr>
          <w:rFonts w:asciiTheme="minorHAnsi" w:hAnsiTheme="minorHAnsi"/>
          <w:sz w:val="24"/>
          <w:szCs w:val="24"/>
        </w:rPr>
      </w:pPr>
      <w:r w:rsidRPr="00704614">
        <w:rPr>
          <w:rFonts w:asciiTheme="minorHAnsi" w:hAnsiTheme="minorHAnsi"/>
          <w:sz w:val="24"/>
          <w:szCs w:val="24"/>
        </w:rPr>
        <w:t>L’exercice de la surveillance multilatérale dans la CEMAC s’appuie sur des critères de convergence et un ensemble d’indicateurs macroéconomiques.</w:t>
      </w:r>
    </w:p>
    <w:p w:rsidR="00041BB8" w:rsidRPr="001C509F" w:rsidRDefault="00AD7D99" w:rsidP="00041BB8">
      <w:pPr>
        <w:tabs>
          <w:tab w:val="left" w:pos="2666"/>
          <w:tab w:val="left" w:pos="5885"/>
          <w:tab w:val="left" w:pos="9103"/>
        </w:tabs>
        <w:spacing w:after="120"/>
        <w:jc w:val="both"/>
        <w:rPr>
          <w:rFonts w:asciiTheme="minorHAnsi" w:hAnsiTheme="minorHAnsi"/>
          <w:sz w:val="24"/>
          <w:szCs w:val="24"/>
        </w:rPr>
      </w:pPr>
      <w:r w:rsidRPr="00AD7D99">
        <w:rPr>
          <w:rFonts w:asciiTheme="minorHAnsi" w:hAnsiTheme="minorHAnsi"/>
          <w:sz w:val="24"/>
          <w:szCs w:val="24"/>
        </w:rPr>
        <w:t xml:space="preserve">Au niveau global de la Communauté, le ratio </w:t>
      </w:r>
      <w:r w:rsidRPr="00AD7D99">
        <w:rPr>
          <w:rFonts w:asciiTheme="minorHAnsi" w:hAnsiTheme="minorHAnsi"/>
          <w:b/>
          <w:i/>
          <w:sz w:val="24"/>
          <w:szCs w:val="24"/>
        </w:rPr>
        <w:t>solde budgétaire de base sur le PIB nominal</w:t>
      </w:r>
      <w:r w:rsidRPr="00AD7D99">
        <w:rPr>
          <w:rFonts w:asciiTheme="minorHAnsi" w:hAnsiTheme="minorHAnsi"/>
          <w:sz w:val="24"/>
          <w:szCs w:val="24"/>
        </w:rPr>
        <w:t xml:space="preserve"> a été déficitaire de 1 % en 2015 contre un excédent de 0,9 % en 2014. Deux pays ont respecté ce critère, avec 1,8% pour le Cameroun et 1% pour le Gabon. Les autres États à savoir la Centrafrique, le Congo, la Guinée équatoriale et le Tchad ont enregistré un déficit de 3,5 %, 9,2 %, 4,9 % et 0,7 % du PIB, respectivement</w:t>
      </w:r>
      <w:r w:rsidR="00041BB8" w:rsidRPr="001C509F">
        <w:rPr>
          <w:rFonts w:asciiTheme="minorHAnsi" w:hAnsiTheme="minorHAnsi"/>
          <w:sz w:val="24"/>
          <w:szCs w:val="24"/>
        </w:rPr>
        <w:t xml:space="preserve">. </w:t>
      </w:r>
    </w:p>
    <w:p w:rsidR="00B936C7" w:rsidRPr="00704614" w:rsidRDefault="00AD7D99" w:rsidP="00041BB8">
      <w:pPr>
        <w:tabs>
          <w:tab w:val="left" w:pos="2666"/>
          <w:tab w:val="left" w:pos="5885"/>
          <w:tab w:val="left" w:pos="9103"/>
        </w:tabs>
        <w:spacing w:after="120"/>
        <w:jc w:val="both"/>
        <w:rPr>
          <w:rFonts w:asciiTheme="minorHAnsi" w:hAnsiTheme="minorHAnsi"/>
          <w:snapToGrid w:val="0"/>
          <w:sz w:val="24"/>
          <w:szCs w:val="24"/>
        </w:rPr>
      </w:pPr>
      <w:r w:rsidRPr="00AD7D99">
        <w:rPr>
          <w:rFonts w:asciiTheme="minorHAnsi" w:hAnsiTheme="minorHAnsi"/>
          <w:snapToGrid w:val="0"/>
          <w:sz w:val="24"/>
          <w:szCs w:val="24"/>
        </w:rPr>
        <w:t xml:space="preserve">Du côté des deux critères complémentaires, le solde </w:t>
      </w:r>
      <w:r w:rsidRPr="00AD7D99">
        <w:rPr>
          <w:rFonts w:asciiTheme="minorHAnsi" w:hAnsiTheme="minorHAnsi"/>
          <w:b/>
          <w:i/>
          <w:snapToGrid w:val="0"/>
          <w:sz w:val="24"/>
          <w:szCs w:val="24"/>
        </w:rPr>
        <w:t>budgétaire de base structurel</w:t>
      </w:r>
      <w:r w:rsidR="00041BB8" w:rsidRPr="00704614">
        <w:rPr>
          <w:rFonts w:asciiTheme="minorHAnsi" w:hAnsiTheme="minorHAnsi"/>
          <w:snapToGrid w:val="0"/>
          <w:sz w:val="24"/>
          <w:szCs w:val="24"/>
          <w:vertAlign w:val="superscript"/>
        </w:rPr>
        <w:footnoteReference w:id="4"/>
      </w:r>
      <w:r w:rsidR="00041BB8" w:rsidRPr="00704614">
        <w:rPr>
          <w:rFonts w:asciiTheme="minorHAnsi" w:hAnsiTheme="minorHAnsi"/>
          <w:b/>
          <w:i/>
          <w:snapToGrid w:val="0"/>
          <w:sz w:val="24"/>
          <w:szCs w:val="24"/>
        </w:rPr>
        <w:t xml:space="preserve"> </w:t>
      </w:r>
      <w:r w:rsidR="00041BB8" w:rsidRPr="00704614">
        <w:rPr>
          <w:rFonts w:asciiTheme="minorHAnsi" w:hAnsiTheme="minorHAnsi"/>
          <w:snapToGrid w:val="0"/>
          <w:sz w:val="24"/>
          <w:szCs w:val="24"/>
        </w:rPr>
        <w:t xml:space="preserve">excédentaire de 1 % du PIB en 2014 s’est amélioré à 6 % du PIB en 2015 pour la Communauté. Ce solde est ressorti positif pour le Cameroun de </w:t>
      </w:r>
      <w:r w:rsidR="006F751C" w:rsidRPr="00C33E0F">
        <w:rPr>
          <w:rFonts w:asciiTheme="minorHAnsi" w:hAnsiTheme="minorHAnsi"/>
          <w:snapToGrid w:val="0"/>
          <w:sz w:val="24"/>
          <w:szCs w:val="24"/>
        </w:rPr>
        <w:t>2</w:t>
      </w:r>
      <w:r w:rsidRPr="00AD7D99">
        <w:rPr>
          <w:rFonts w:asciiTheme="minorHAnsi" w:hAnsiTheme="minorHAnsi"/>
          <w:snapToGrid w:val="0"/>
          <w:sz w:val="24"/>
          <w:szCs w:val="24"/>
        </w:rPr>
        <w:t xml:space="preserve">,5 % du PIB, pour le Congo de 15,8 % du PIB, pour le Gabon de 7,1 % du PIB, pour la Guinée équatoriale de 7,5 % du PIB et pour le Tchad de 4 % du PIB. Seule, la Centrafrique a eu un solde négatif de 3,5 %du PIB en 2015. Le </w:t>
      </w:r>
      <w:r w:rsidRPr="00AD7D99">
        <w:rPr>
          <w:rFonts w:asciiTheme="minorHAnsi" w:hAnsiTheme="minorHAnsi"/>
          <w:b/>
          <w:i/>
          <w:snapToGrid w:val="0"/>
          <w:sz w:val="24"/>
          <w:szCs w:val="24"/>
        </w:rPr>
        <w:t>déficit budgétaire de base hors pétrole</w:t>
      </w:r>
      <w:r w:rsidRPr="00AD7D99">
        <w:rPr>
          <w:rFonts w:asciiTheme="minorHAnsi" w:hAnsiTheme="minorHAnsi"/>
          <w:snapToGrid w:val="0"/>
          <w:sz w:val="24"/>
          <w:szCs w:val="24"/>
        </w:rPr>
        <w:t xml:space="preserve"> s’est réduit au niveau de la </w:t>
      </w:r>
      <w:r w:rsidRPr="00AD7D99">
        <w:rPr>
          <w:rFonts w:asciiTheme="minorHAnsi" w:hAnsiTheme="minorHAnsi"/>
          <w:snapToGrid w:val="0"/>
          <w:sz w:val="24"/>
          <w:szCs w:val="24"/>
        </w:rPr>
        <w:lastRenderedPageBreak/>
        <w:t>Communauté se situant à 10 % du PIB hors pétrole en 2015 contre 12,6 % en 2014. Par pays, il se présente de la manière suivante en pourcentage du PIB hors pétrole : au Cameroun -0,7 %, au Congo -19,4 %, au Gabon -7,6 %, en Guinée Équatoriale -37,2 % et au Tchad -6,8 %.</w:t>
      </w:r>
    </w:p>
    <w:p w:rsidR="00041BB8" w:rsidRPr="00704614" w:rsidRDefault="00AD7D99" w:rsidP="00041BB8">
      <w:pPr>
        <w:tabs>
          <w:tab w:val="left" w:pos="2666"/>
          <w:tab w:val="left" w:pos="5885"/>
          <w:tab w:val="left" w:pos="9103"/>
        </w:tabs>
        <w:spacing w:after="120"/>
        <w:jc w:val="both"/>
        <w:rPr>
          <w:rFonts w:asciiTheme="minorHAnsi" w:hAnsiTheme="minorHAnsi"/>
          <w:snapToGrid w:val="0"/>
          <w:sz w:val="24"/>
          <w:szCs w:val="24"/>
        </w:rPr>
      </w:pPr>
      <w:r w:rsidRPr="00AD7D99">
        <w:rPr>
          <w:rFonts w:asciiTheme="minorHAnsi" w:hAnsiTheme="minorHAnsi"/>
          <w:snapToGrid w:val="0"/>
          <w:sz w:val="24"/>
          <w:szCs w:val="24"/>
        </w:rPr>
        <w:t xml:space="preserve">Concernant le </w:t>
      </w:r>
      <w:r w:rsidRPr="00AD7D99">
        <w:rPr>
          <w:rFonts w:asciiTheme="minorHAnsi" w:hAnsiTheme="minorHAnsi"/>
          <w:b/>
          <w:i/>
          <w:snapToGrid w:val="0"/>
          <w:sz w:val="24"/>
          <w:szCs w:val="24"/>
        </w:rPr>
        <w:t>taux d’inflation annuel moyen</w:t>
      </w:r>
      <w:r w:rsidRPr="00AD7D99">
        <w:rPr>
          <w:rFonts w:asciiTheme="minorHAnsi" w:hAnsiTheme="minorHAnsi"/>
          <w:snapToGrid w:val="0"/>
          <w:sz w:val="24"/>
          <w:szCs w:val="24"/>
        </w:rPr>
        <w:t xml:space="preserve">, il s’est situé en-dessous de la norme communautaire à 2,3 % en 2015 contre 3,2 % en 2014. Seul, le Tchad n’a pas respecté ce critère avec un niveau de 3,7 %. Les niveaux d’inflation dans les autres pays sont de 2,7 % pour le Cameroun, 2 % pour la Centrafrique, 1,8 % pour le Congo, -0,3 % pour le Gabon et 1,7 % pour la Guinée Équatoriale. </w:t>
      </w:r>
    </w:p>
    <w:p w:rsidR="00041BB8" w:rsidRPr="00704614" w:rsidRDefault="00AD7D99" w:rsidP="00041BB8">
      <w:pPr>
        <w:tabs>
          <w:tab w:val="left" w:pos="2666"/>
          <w:tab w:val="left" w:pos="5885"/>
          <w:tab w:val="left" w:pos="9103"/>
        </w:tabs>
        <w:spacing w:after="120"/>
        <w:jc w:val="both"/>
        <w:rPr>
          <w:rFonts w:asciiTheme="minorHAnsi" w:hAnsiTheme="minorHAnsi"/>
          <w:snapToGrid w:val="0"/>
          <w:sz w:val="24"/>
          <w:szCs w:val="24"/>
        </w:rPr>
      </w:pPr>
      <w:r w:rsidRPr="00AD7D99">
        <w:rPr>
          <w:rFonts w:asciiTheme="minorHAnsi" w:hAnsiTheme="minorHAnsi"/>
          <w:snapToGrid w:val="0"/>
          <w:sz w:val="24"/>
          <w:szCs w:val="24"/>
        </w:rPr>
        <w:t>S’agissant du ratio de l’</w:t>
      </w:r>
      <w:r w:rsidRPr="00AD7D99">
        <w:rPr>
          <w:rFonts w:asciiTheme="minorHAnsi" w:hAnsiTheme="minorHAnsi"/>
          <w:b/>
          <w:i/>
          <w:snapToGrid w:val="0"/>
          <w:sz w:val="24"/>
          <w:szCs w:val="24"/>
        </w:rPr>
        <w:t>encours de la dette intérieure et extérieure rapporté au PIB nominal</w:t>
      </w:r>
      <w:r w:rsidRPr="00AD7D99">
        <w:rPr>
          <w:rFonts w:asciiTheme="minorHAnsi" w:hAnsiTheme="minorHAnsi"/>
          <w:snapToGrid w:val="0"/>
          <w:sz w:val="24"/>
          <w:szCs w:val="24"/>
        </w:rPr>
        <w:t>, il est resté en-dessous de la norme communautaire aussi bien au niveau de la Communauté qu’au niveau des États membres. Ainsi, il s’est situé à 30,8 % du PIB en 2015 pour la Communauté. Ce critère a été respecté par tous les pays membres et varie entre 18,7 % du PIB pour la Guinée Équatoriale et 52,5 % du PIB pour le Congo en 2015.</w:t>
      </w:r>
    </w:p>
    <w:p w:rsidR="006F751C" w:rsidRPr="00704614" w:rsidRDefault="00AD7D99" w:rsidP="006F751C">
      <w:pPr>
        <w:tabs>
          <w:tab w:val="left" w:pos="2666"/>
          <w:tab w:val="left" w:pos="5885"/>
          <w:tab w:val="left" w:pos="9103"/>
        </w:tabs>
        <w:spacing w:after="120"/>
        <w:jc w:val="both"/>
        <w:rPr>
          <w:rFonts w:asciiTheme="minorHAnsi" w:hAnsiTheme="minorHAnsi"/>
          <w:snapToGrid w:val="0"/>
          <w:sz w:val="24"/>
          <w:szCs w:val="24"/>
        </w:rPr>
      </w:pPr>
      <w:r w:rsidRPr="00AD7D99">
        <w:rPr>
          <w:rFonts w:asciiTheme="minorHAnsi" w:hAnsiTheme="minorHAnsi"/>
          <w:snapToGrid w:val="0"/>
          <w:sz w:val="24"/>
          <w:szCs w:val="24"/>
        </w:rPr>
        <w:t xml:space="preserve">Enfin, pour ce qui est du critère relatif à la </w:t>
      </w:r>
      <w:r w:rsidRPr="00AD7D99">
        <w:rPr>
          <w:rFonts w:asciiTheme="minorHAnsi" w:hAnsiTheme="minorHAnsi"/>
          <w:b/>
          <w:i/>
          <w:snapToGrid w:val="0"/>
          <w:sz w:val="24"/>
          <w:szCs w:val="24"/>
        </w:rPr>
        <w:t>non-accumulation des arriérés extérieurs et intérieurs sur la gestion courante</w:t>
      </w:r>
      <w:r w:rsidRPr="00AD7D99">
        <w:rPr>
          <w:rFonts w:asciiTheme="minorHAnsi" w:hAnsiTheme="minorHAnsi"/>
          <w:snapToGrid w:val="0"/>
          <w:sz w:val="24"/>
          <w:szCs w:val="24"/>
        </w:rPr>
        <w:t xml:space="preserve"> en 2015, le Cameroun et le Tchad ont respecté le critère. Les quatre autres pays ont accumulé des arriérés de paiement pendant la gestion courante.</w:t>
      </w:r>
    </w:p>
    <w:p w:rsidR="00041BB8" w:rsidRPr="00704614" w:rsidRDefault="00AD7D99" w:rsidP="00041BB8">
      <w:pPr>
        <w:tabs>
          <w:tab w:val="left" w:pos="2666"/>
          <w:tab w:val="left" w:pos="5885"/>
          <w:tab w:val="left" w:pos="9103"/>
        </w:tabs>
        <w:spacing w:after="120"/>
        <w:jc w:val="both"/>
        <w:rPr>
          <w:rFonts w:asciiTheme="minorHAnsi" w:hAnsiTheme="minorHAnsi"/>
          <w:sz w:val="24"/>
          <w:szCs w:val="24"/>
        </w:rPr>
      </w:pPr>
      <w:r w:rsidRPr="00AD7D99">
        <w:rPr>
          <w:rFonts w:asciiTheme="minorHAnsi" w:hAnsiTheme="minorHAnsi"/>
          <w:sz w:val="24"/>
          <w:szCs w:val="24"/>
        </w:rPr>
        <w:t>En définitive, selon les données provisoires disponibles pour 2015, la Communauté observe deux critères sur quatre, à savoir ceux relatifs à l’inflation et au taux d’endettement. Par pays, le Cameroun a respecté les quatre critères. Le Gabon a respecté trois critères à l’exception de celui relatif à la non-accumulation des arriérés extérieurs et intérieurs sur la gestion courante. La Centrafrique, le Congo, la Guinée Équatoriale et le Tchad ont respecté deux critères se rapportant au taux d’inflation et au taux d’endettement public, pour les trois premiers le taux d’endettement et la non-accumulation des arriérés pour le Tchad.</w:t>
      </w:r>
    </w:p>
    <w:p w:rsidR="00D02AC4" w:rsidRPr="00704614" w:rsidRDefault="00AD7D99" w:rsidP="00D02AC4">
      <w:pPr>
        <w:tabs>
          <w:tab w:val="left" w:pos="360"/>
        </w:tabs>
        <w:autoSpaceDE w:val="0"/>
        <w:autoSpaceDN w:val="0"/>
        <w:adjustRightInd w:val="0"/>
        <w:spacing w:before="240" w:after="120" w:line="288" w:lineRule="auto"/>
        <w:jc w:val="both"/>
        <w:rPr>
          <w:rFonts w:asciiTheme="minorHAnsi" w:hAnsiTheme="minorHAnsi"/>
          <w:b/>
          <w:color w:val="365F91" w:themeColor="accent1" w:themeShade="BF"/>
          <w:sz w:val="24"/>
          <w:szCs w:val="24"/>
        </w:rPr>
      </w:pPr>
      <w:bookmarkStart w:id="313" w:name="_Toc444335820"/>
      <w:r w:rsidRPr="00AD7D99">
        <w:rPr>
          <w:rFonts w:asciiTheme="minorHAnsi" w:hAnsiTheme="minorHAnsi"/>
          <w:b/>
          <w:color w:val="365F91" w:themeColor="accent1" w:themeShade="BF"/>
          <w:sz w:val="24"/>
          <w:szCs w:val="24"/>
        </w:rPr>
        <w:t>Graphique 18: Solde budgétaire de base hors pétrole (en pourcentage du PIB hors pétrole; critère &gt;=0)</w:t>
      </w:r>
      <w:bookmarkEnd w:id="313"/>
    </w:p>
    <w:p w:rsidR="00041BB8" w:rsidRPr="00704614" w:rsidRDefault="00D02AC4" w:rsidP="0005736E">
      <w:pPr>
        <w:tabs>
          <w:tab w:val="left" w:pos="2666"/>
          <w:tab w:val="left" w:pos="5885"/>
          <w:tab w:val="left" w:pos="9103"/>
        </w:tabs>
        <w:spacing w:after="60"/>
        <w:jc w:val="both"/>
        <w:rPr>
          <w:rFonts w:asciiTheme="minorHAnsi" w:hAnsiTheme="minorHAnsi" w:cstheme="minorHAnsi"/>
          <w:sz w:val="24"/>
          <w:szCs w:val="24"/>
          <w:highlight w:val="yellow"/>
        </w:rPr>
      </w:pPr>
      <w:r w:rsidRPr="00704614">
        <w:rPr>
          <w:rFonts w:asciiTheme="minorHAnsi" w:hAnsiTheme="minorHAnsi" w:cstheme="minorHAnsi"/>
          <w:noProof/>
          <w:sz w:val="24"/>
          <w:szCs w:val="24"/>
          <w:lang w:val="de-DE" w:eastAsia="de-DE"/>
        </w:rPr>
        <w:drawing>
          <wp:inline distT="0" distB="0" distL="0" distR="0">
            <wp:extent cx="5275964" cy="2488019"/>
            <wp:effectExtent l="19050" t="0" r="19936" b="7531"/>
            <wp:docPr id="22" name="Graphique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26A19" w:rsidRPr="00704614" w:rsidRDefault="00E26A19" w:rsidP="0005736E">
      <w:pPr>
        <w:tabs>
          <w:tab w:val="left" w:pos="2666"/>
          <w:tab w:val="left" w:pos="5885"/>
          <w:tab w:val="left" w:pos="9103"/>
        </w:tabs>
        <w:spacing w:after="60"/>
        <w:jc w:val="both"/>
        <w:rPr>
          <w:rFonts w:asciiTheme="minorHAnsi" w:hAnsiTheme="minorHAnsi" w:cstheme="minorHAnsi"/>
          <w:sz w:val="24"/>
          <w:szCs w:val="24"/>
          <w:highlight w:val="yellow"/>
        </w:rPr>
      </w:pPr>
    </w:p>
    <w:p w:rsidR="00E26A19" w:rsidRPr="00704614" w:rsidRDefault="00AD7D99" w:rsidP="00E26A19">
      <w:pPr>
        <w:pStyle w:val="Lgende"/>
        <w:jc w:val="both"/>
        <w:rPr>
          <w:rFonts w:asciiTheme="minorHAnsi" w:hAnsiTheme="minorHAnsi"/>
          <w:color w:val="365F91" w:themeColor="accent1" w:themeShade="BF"/>
          <w:sz w:val="24"/>
          <w:szCs w:val="24"/>
        </w:rPr>
      </w:pPr>
      <w:bookmarkStart w:id="314" w:name="_Toc332028358"/>
      <w:bookmarkStart w:id="315" w:name="_Toc444335821"/>
      <w:r w:rsidRPr="00AD7D99">
        <w:rPr>
          <w:rFonts w:asciiTheme="minorHAnsi" w:hAnsiTheme="minorHAnsi"/>
          <w:color w:val="365F91" w:themeColor="accent1" w:themeShade="BF"/>
          <w:sz w:val="24"/>
          <w:szCs w:val="24"/>
        </w:rPr>
        <w:t xml:space="preserve">Graphique </w:t>
      </w:r>
      <w:r w:rsidRPr="00AD7D99">
        <w:rPr>
          <w:rFonts w:asciiTheme="minorHAnsi" w:hAnsiTheme="minorHAnsi"/>
          <w:color w:val="365F91" w:themeColor="accent1" w:themeShade="BF"/>
          <w:sz w:val="24"/>
          <w:szCs w:val="24"/>
        </w:rPr>
        <w:fldChar w:fldCharType="begin"/>
      </w:r>
      <w:r w:rsidRPr="00AD7D99">
        <w:rPr>
          <w:rFonts w:asciiTheme="minorHAnsi" w:hAnsiTheme="minorHAnsi"/>
          <w:color w:val="365F91" w:themeColor="accent1" w:themeShade="BF"/>
          <w:sz w:val="24"/>
          <w:szCs w:val="24"/>
        </w:rPr>
        <w:instrText xml:space="preserve">SEQ Graphique \* ARABIC </w:instrText>
      </w:r>
      <w:r w:rsidRPr="00AD7D99">
        <w:rPr>
          <w:rFonts w:asciiTheme="minorHAnsi" w:hAnsiTheme="minorHAnsi"/>
          <w:color w:val="365F91" w:themeColor="accent1" w:themeShade="BF"/>
          <w:sz w:val="24"/>
          <w:szCs w:val="24"/>
        </w:rPr>
        <w:fldChar w:fldCharType="separate"/>
      </w:r>
      <w:r w:rsidRPr="00AD7D99">
        <w:rPr>
          <w:rFonts w:asciiTheme="minorHAnsi" w:hAnsiTheme="minorHAnsi"/>
          <w:color w:val="365F91" w:themeColor="accent1" w:themeShade="BF"/>
          <w:sz w:val="24"/>
          <w:szCs w:val="24"/>
        </w:rPr>
        <w:t>1</w:t>
      </w:r>
      <w:r w:rsidRPr="00AD7D99">
        <w:rPr>
          <w:rFonts w:asciiTheme="minorHAnsi" w:hAnsiTheme="minorHAnsi"/>
          <w:color w:val="365F91" w:themeColor="accent1" w:themeShade="BF"/>
          <w:sz w:val="24"/>
          <w:szCs w:val="24"/>
        </w:rPr>
        <w:fldChar w:fldCharType="end"/>
      </w:r>
      <w:r w:rsidRPr="00AD7D99">
        <w:rPr>
          <w:rFonts w:asciiTheme="minorHAnsi" w:hAnsiTheme="minorHAnsi"/>
          <w:color w:val="365F91" w:themeColor="accent1" w:themeShade="BF"/>
          <w:sz w:val="24"/>
          <w:szCs w:val="24"/>
        </w:rPr>
        <w:t>9: Nombre de pays respectant le critère de l'inflation</w:t>
      </w:r>
      <w:bookmarkEnd w:id="314"/>
      <w:bookmarkEnd w:id="315"/>
    </w:p>
    <w:p w:rsidR="00E26A19" w:rsidRPr="00704614" w:rsidRDefault="00E26A19" w:rsidP="0005736E">
      <w:pPr>
        <w:tabs>
          <w:tab w:val="left" w:pos="2666"/>
          <w:tab w:val="left" w:pos="5885"/>
          <w:tab w:val="left" w:pos="9103"/>
        </w:tabs>
        <w:spacing w:after="60"/>
        <w:jc w:val="both"/>
        <w:rPr>
          <w:rFonts w:asciiTheme="minorHAnsi" w:hAnsiTheme="minorHAnsi" w:cstheme="minorHAnsi"/>
          <w:sz w:val="24"/>
          <w:szCs w:val="24"/>
          <w:highlight w:val="yellow"/>
        </w:rPr>
      </w:pPr>
      <w:r w:rsidRPr="00704614">
        <w:rPr>
          <w:rFonts w:asciiTheme="minorHAnsi" w:hAnsiTheme="minorHAnsi" w:cstheme="minorHAnsi"/>
          <w:noProof/>
          <w:sz w:val="24"/>
          <w:szCs w:val="24"/>
          <w:lang w:val="de-DE" w:eastAsia="de-DE"/>
        </w:rPr>
        <w:lastRenderedPageBreak/>
        <w:drawing>
          <wp:inline distT="0" distB="0" distL="0" distR="0">
            <wp:extent cx="5015392" cy="1660421"/>
            <wp:effectExtent l="19050" t="0" r="13808" b="0"/>
            <wp:docPr id="28" name="Graphique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43A54" w:rsidRDefault="009C6CEC">
      <w:pPr>
        <w:pStyle w:val="Retraitcorpsdetexte"/>
        <w:spacing w:after="60"/>
        <w:jc w:val="both"/>
        <w:rPr>
          <w:rFonts w:asciiTheme="minorHAnsi" w:hAnsiTheme="minorHAnsi"/>
          <w:sz w:val="24"/>
          <w:szCs w:val="24"/>
        </w:rPr>
      </w:pPr>
      <w:r w:rsidRPr="00704614">
        <w:rPr>
          <w:rFonts w:asciiTheme="minorHAnsi" w:hAnsiTheme="minorHAnsi" w:cstheme="minorHAnsi"/>
          <w:sz w:val="24"/>
          <w:szCs w:val="24"/>
          <w:highlight w:val="yellow"/>
        </w:rPr>
        <w:br w:type="page"/>
      </w:r>
      <w:r w:rsidR="003237B8" w:rsidRPr="00704614">
        <w:rPr>
          <w:rFonts w:asciiTheme="minorHAnsi" w:hAnsiTheme="minorHAnsi"/>
          <w:sz w:val="24"/>
          <w:szCs w:val="24"/>
        </w:rPr>
        <w:lastRenderedPageBreak/>
        <w:t>L’exercice de la surveillance multilatérale s’appuie également sur un ensemble d’indicateurs qui permettent de porter un diagnostic plus approfondi sur l’évolution économique et financière de la Communauté. Il s’agit du solde budgétaire primaire, du taux de couverture extérieure de la monnaie, du taux de pression fiscale, de la variation comparée de la masse salariale et des recettes de l’État et du déficit du compte courant.</w:t>
      </w:r>
    </w:p>
    <w:p w:rsidR="003237B8" w:rsidRPr="00704614" w:rsidRDefault="00AD7D99" w:rsidP="003237B8">
      <w:pPr>
        <w:pStyle w:val="Retraitcorpsdetexte"/>
        <w:spacing w:after="60"/>
        <w:jc w:val="both"/>
        <w:rPr>
          <w:rFonts w:asciiTheme="minorHAnsi" w:hAnsiTheme="minorHAnsi"/>
          <w:sz w:val="24"/>
          <w:szCs w:val="24"/>
        </w:rPr>
      </w:pPr>
      <w:r w:rsidRPr="00AD7D99">
        <w:rPr>
          <w:rFonts w:asciiTheme="minorHAnsi" w:hAnsiTheme="minorHAnsi"/>
          <w:sz w:val="24"/>
          <w:szCs w:val="24"/>
        </w:rPr>
        <w:t>L’excédent budgétaire primaire observé en 2014 est devenu déficitaire en 2015 à 0,2 % du PIB au niveau de la communauté. Pour cet indicateur, tous les États membres, à l’exception du Cameroun et du Gabon, ont enregistré un solde déficitaire avec les niveaux suivants : 2,6 % du PIB pour la Centrafrique, 8,7 % du PIB pour le Congo, 4,3 % pour la Guinée Équatoriale et 0,1 % pour le Tchad. Le Cameroun et le Gabon ont enregistré un excédent de 2,5 % du PIB respectivement</w:t>
      </w:r>
      <w:r w:rsidR="003237B8" w:rsidRPr="00704614">
        <w:rPr>
          <w:rFonts w:asciiTheme="minorHAnsi" w:hAnsiTheme="minorHAnsi"/>
          <w:sz w:val="24"/>
          <w:szCs w:val="24"/>
        </w:rPr>
        <w:t>.</w:t>
      </w:r>
    </w:p>
    <w:p w:rsidR="003237B8" w:rsidRPr="00704614" w:rsidRDefault="003237B8" w:rsidP="003237B8">
      <w:pPr>
        <w:pStyle w:val="Retraitcorpsdetexte"/>
        <w:spacing w:after="60"/>
        <w:jc w:val="both"/>
        <w:rPr>
          <w:rFonts w:asciiTheme="minorHAnsi" w:hAnsiTheme="minorHAnsi"/>
          <w:sz w:val="24"/>
          <w:szCs w:val="24"/>
        </w:rPr>
      </w:pPr>
      <w:r w:rsidRPr="00704614">
        <w:rPr>
          <w:rFonts w:asciiTheme="minorHAnsi" w:hAnsiTheme="minorHAnsi"/>
          <w:sz w:val="24"/>
          <w:szCs w:val="24"/>
        </w:rPr>
        <w:t xml:space="preserve">Le taux de couverture extérieure de la monnaie à fin décembre 2015 s’est établi à </w:t>
      </w:r>
      <w:r w:rsidR="005824C6" w:rsidRPr="00C33E0F">
        <w:rPr>
          <w:rFonts w:asciiTheme="minorHAnsi" w:hAnsiTheme="minorHAnsi"/>
          <w:sz w:val="24"/>
          <w:szCs w:val="24"/>
        </w:rPr>
        <w:t>77</w:t>
      </w:r>
      <w:r w:rsidR="00AD7D99" w:rsidRPr="00AD7D99">
        <w:rPr>
          <w:rFonts w:asciiTheme="minorHAnsi" w:hAnsiTheme="minorHAnsi"/>
          <w:sz w:val="24"/>
          <w:szCs w:val="24"/>
        </w:rPr>
        <w:t>,1 % pour la Communauté, bien au-delà de la norme communautaire de 20 %. Les pays affichent les niveaux suivants : 86,8 % pour le Cameroun, 76,8 % pour la Centrafrique, 71,2 % pour le Congo, 75,5 % pour le Gabon, 55,9 % pour la Guinée Équatoriale et 32,5 % pour le Tchad.</w:t>
      </w:r>
    </w:p>
    <w:p w:rsidR="003237B8" w:rsidRPr="00704614" w:rsidRDefault="00AD7D99" w:rsidP="003237B8">
      <w:pPr>
        <w:tabs>
          <w:tab w:val="left" w:pos="4613"/>
        </w:tabs>
        <w:spacing w:before="120" w:after="120"/>
        <w:jc w:val="both"/>
        <w:rPr>
          <w:rFonts w:asciiTheme="minorHAnsi" w:hAnsiTheme="minorHAnsi"/>
          <w:b/>
          <w:bCs/>
          <w:sz w:val="24"/>
          <w:szCs w:val="24"/>
        </w:rPr>
      </w:pPr>
      <w:r w:rsidRPr="00AD7D99">
        <w:rPr>
          <w:rFonts w:asciiTheme="minorHAnsi" w:hAnsiTheme="minorHAnsi"/>
          <w:sz w:val="24"/>
          <w:szCs w:val="24"/>
        </w:rPr>
        <w:t>Le taux de pression fiscale non pétrolière s’est légèrement replié à 14,9 % du PIB en 2015 contre 15 % en 2014 pour l’ensemble de la zone. Par pays, il a varié entre 5,9 % du PIB au Tchad à 28,9 % du PIB au Congo, mais demeure faible au regard de celui des autres communautés sous régionales</w:t>
      </w:r>
    </w:p>
    <w:p w:rsidR="005538AD" w:rsidRDefault="005538AD">
      <w:pPr>
        <w:rPr>
          <w:rFonts w:ascii="Calibri" w:hAnsi="Calibri"/>
          <w:b/>
          <w:bCs/>
          <w:sz w:val="24"/>
          <w:szCs w:val="24"/>
        </w:rPr>
      </w:pPr>
      <w:r>
        <w:rPr>
          <w:rFonts w:ascii="Calibri" w:hAnsi="Calibri"/>
          <w:b/>
          <w:bCs/>
          <w:sz w:val="24"/>
          <w:szCs w:val="24"/>
        </w:rPr>
        <w:br w:type="page"/>
      </w:r>
    </w:p>
    <w:p w:rsidR="002F4B3C" w:rsidRPr="00704614" w:rsidRDefault="00AD7D99" w:rsidP="002F4B3C">
      <w:pPr>
        <w:tabs>
          <w:tab w:val="left" w:pos="360"/>
        </w:tabs>
        <w:autoSpaceDE w:val="0"/>
        <w:autoSpaceDN w:val="0"/>
        <w:adjustRightInd w:val="0"/>
        <w:spacing w:before="240" w:after="120" w:line="288" w:lineRule="auto"/>
        <w:jc w:val="both"/>
        <w:rPr>
          <w:rFonts w:asciiTheme="minorHAnsi" w:hAnsiTheme="minorHAnsi"/>
          <w:b/>
          <w:color w:val="365F91" w:themeColor="accent1" w:themeShade="BF"/>
          <w:sz w:val="24"/>
          <w:szCs w:val="24"/>
        </w:rPr>
      </w:pPr>
      <w:bookmarkStart w:id="316" w:name="_Toc444335776"/>
      <w:r w:rsidRPr="00AD7D99">
        <w:rPr>
          <w:rFonts w:asciiTheme="minorHAnsi" w:hAnsiTheme="minorHAnsi"/>
          <w:b/>
          <w:color w:val="365F91" w:themeColor="accent1" w:themeShade="BF"/>
          <w:sz w:val="24"/>
          <w:szCs w:val="24"/>
        </w:rPr>
        <w:lastRenderedPageBreak/>
        <w:t>Tableau 6 : Évolution des critères de convergence 2010-2016</w:t>
      </w:r>
      <w:bookmarkEnd w:id="316"/>
    </w:p>
    <w:tbl>
      <w:tblPr>
        <w:tblStyle w:val="Tableauclassique1"/>
        <w:tblW w:w="8979" w:type="dxa"/>
        <w:tblLayout w:type="fixed"/>
        <w:tblLook w:val="04A0" w:firstRow="1" w:lastRow="0" w:firstColumn="1" w:lastColumn="0" w:noHBand="0" w:noVBand="1"/>
      </w:tblPr>
      <w:tblGrid>
        <w:gridCol w:w="3776"/>
        <w:gridCol w:w="844"/>
        <w:gridCol w:w="744"/>
        <w:gridCol w:w="733"/>
        <w:gridCol w:w="708"/>
        <w:gridCol w:w="733"/>
        <w:gridCol w:w="643"/>
        <w:gridCol w:w="704"/>
        <w:gridCol w:w="9"/>
        <w:gridCol w:w="85"/>
      </w:tblGrid>
      <w:tr w:rsidR="00AF21E1" w:rsidRPr="00704614" w:rsidTr="00AF21E1">
        <w:trPr>
          <w:gridAfter w:val="1"/>
          <w:cnfStyle w:val="100000000000" w:firstRow="1" w:lastRow="0" w:firstColumn="0" w:lastColumn="0" w:oddVBand="0" w:evenVBand="0" w:oddHBand="0" w:evenHBand="0" w:firstRowFirstColumn="0" w:firstRowLastColumn="0" w:lastRowFirstColumn="0" w:lastRowLastColumn="0"/>
          <w:wAfter w:w="85" w:type="dxa"/>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Libellés</w:t>
            </w:r>
          </w:p>
        </w:tc>
        <w:tc>
          <w:tcPr>
            <w:tcW w:w="844" w:type="dxa"/>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2010</w:t>
            </w:r>
          </w:p>
        </w:tc>
        <w:tc>
          <w:tcPr>
            <w:tcW w:w="744" w:type="dxa"/>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2011</w:t>
            </w:r>
          </w:p>
        </w:tc>
        <w:tc>
          <w:tcPr>
            <w:tcW w:w="733" w:type="dxa"/>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2012</w:t>
            </w:r>
          </w:p>
        </w:tc>
        <w:tc>
          <w:tcPr>
            <w:tcW w:w="708" w:type="dxa"/>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2013</w:t>
            </w:r>
          </w:p>
        </w:tc>
        <w:tc>
          <w:tcPr>
            <w:tcW w:w="733" w:type="dxa"/>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2014</w:t>
            </w:r>
          </w:p>
        </w:tc>
        <w:tc>
          <w:tcPr>
            <w:tcW w:w="643" w:type="dxa"/>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2015</w:t>
            </w:r>
          </w:p>
        </w:tc>
        <w:tc>
          <w:tcPr>
            <w:tcW w:w="713" w:type="dxa"/>
            <w:gridSpan w:val="2"/>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2016</w:t>
            </w:r>
          </w:p>
        </w:tc>
      </w:tr>
      <w:tr w:rsidR="00AF21E1" w:rsidRPr="00704614" w:rsidTr="00AF21E1">
        <w:trPr>
          <w:gridAfter w:val="1"/>
          <w:wAfter w:w="85" w:type="dxa"/>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F21E1" w:rsidP="00AF21E1">
            <w:pPr>
              <w:ind w:firstLine="0"/>
              <w:jc w:val="right"/>
              <w:rPr>
                <w:rFonts w:asciiTheme="minorHAnsi" w:hAnsiTheme="minorHAnsi"/>
                <w:sz w:val="20"/>
                <w:szCs w:val="20"/>
              </w:rPr>
            </w:pPr>
          </w:p>
        </w:tc>
        <w:tc>
          <w:tcPr>
            <w:tcW w:w="844"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44"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33"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08"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33"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643"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13" w:type="dxa"/>
            <w:gridSpan w:val="2"/>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AF21E1" w:rsidRPr="00704614" w:rsidTr="00AF21E1">
        <w:trPr>
          <w:gridAfter w:val="1"/>
          <w:wAfter w:w="85" w:type="dxa"/>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b/>
                <w:sz w:val="20"/>
                <w:szCs w:val="20"/>
              </w:rPr>
            </w:pPr>
            <w:r w:rsidRPr="00AD7D99">
              <w:rPr>
                <w:rFonts w:asciiTheme="minorHAnsi" w:hAnsiTheme="minorHAnsi"/>
                <w:b/>
                <w:sz w:val="20"/>
                <w:szCs w:val="20"/>
              </w:rPr>
              <w:t>Taux d'inflation (en  % ; critère : ≤ 3)</w:t>
            </w:r>
          </w:p>
        </w:tc>
        <w:tc>
          <w:tcPr>
            <w:tcW w:w="844"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b/>
                <w:sz w:val="20"/>
                <w:szCs w:val="20"/>
              </w:rPr>
            </w:pPr>
          </w:p>
        </w:tc>
        <w:tc>
          <w:tcPr>
            <w:tcW w:w="744"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b/>
                <w:sz w:val="20"/>
                <w:szCs w:val="20"/>
              </w:rPr>
            </w:pPr>
          </w:p>
        </w:tc>
        <w:tc>
          <w:tcPr>
            <w:tcW w:w="733"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b/>
                <w:sz w:val="20"/>
                <w:szCs w:val="20"/>
              </w:rPr>
            </w:pPr>
          </w:p>
        </w:tc>
        <w:tc>
          <w:tcPr>
            <w:tcW w:w="708"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b/>
                <w:sz w:val="20"/>
                <w:szCs w:val="20"/>
              </w:rPr>
            </w:pPr>
          </w:p>
        </w:tc>
        <w:tc>
          <w:tcPr>
            <w:tcW w:w="733"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b/>
                <w:sz w:val="20"/>
                <w:szCs w:val="20"/>
              </w:rPr>
            </w:pPr>
          </w:p>
        </w:tc>
        <w:tc>
          <w:tcPr>
            <w:tcW w:w="643"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b/>
                <w:sz w:val="20"/>
                <w:szCs w:val="20"/>
              </w:rPr>
            </w:pPr>
          </w:p>
        </w:tc>
        <w:tc>
          <w:tcPr>
            <w:tcW w:w="713" w:type="dxa"/>
            <w:gridSpan w:val="2"/>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b/>
                <w:sz w:val="20"/>
                <w:szCs w:val="20"/>
              </w:rPr>
            </w:pPr>
          </w:p>
        </w:tc>
      </w:tr>
      <w:tr w:rsidR="00AF21E1" w:rsidRPr="00704614" w:rsidTr="00704614">
        <w:trPr>
          <w:gridAfter w:val="1"/>
          <w:wAfter w:w="85" w:type="dxa"/>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CEMAC </w:t>
            </w:r>
          </w:p>
        </w:tc>
        <w:tc>
          <w:tcPr>
            <w:tcW w:w="844"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0,9</w:t>
            </w:r>
          </w:p>
        </w:tc>
        <w:tc>
          <w:tcPr>
            <w:tcW w:w="744"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2,5</w:t>
            </w:r>
          </w:p>
        </w:tc>
        <w:tc>
          <w:tcPr>
            <w:tcW w:w="73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3,8</w:t>
            </w:r>
          </w:p>
        </w:tc>
        <w:tc>
          <w:tcPr>
            <w:tcW w:w="708"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w:t>
            </w:r>
          </w:p>
        </w:tc>
        <w:tc>
          <w:tcPr>
            <w:tcW w:w="73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3,2</w:t>
            </w:r>
          </w:p>
        </w:tc>
        <w:tc>
          <w:tcPr>
            <w:tcW w:w="64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2,3</w:t>
            </w:r>
          </w:p>
        </w:tc>
        <w:tc>
          <w:tcPr>
            <w:tcW w:w="713" w:type="dxa"/>
            <w:gridSpan w:val="2"/>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2,7</w:t>
            </w:r>
          </w:p>
        </w:tc>
      </w:tr>
      <w:tr w:rsidR="00AF21E1" w:rsidRPr="00704614" w:rsidTr="00704614">
        <w:trPr>
          <w:gridAfter w:val="1"/>
          <w:wAfter w:w="85" w:type="dxa"/>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Cameroun</w:t>
            </w:r>
          </w:p>
        </w:tc>
        <w:tc>
          <w:tcPr>
            <w:tcW w:w="844"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w:t>
            </w:r>
          </w:p>
        </w:tc>
        <w:tc>
          <w:tcPr>
            <w:tcW w:w="744"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2,9</w:t>
            </w:r>
          </w:p>
        </w:tc>
        <w:tc>
          <w:tcPr>
            <w:tcW w:w="73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2,4</w:t>
            </w:r>
          </w:p>
        </w:tc>
        <w:tc>
          <w:tcPr>
            <w:tcW w:w="708"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2,1</w:t>
            </w:r>
          </w:p>
        </w:tc>
        <w:tc>
          <w:tcPr>
            <w:tcW w:w="73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1,8</w:t>
            </w:r>
          </w:p>
        </w:tc>
        <w:tc>
          <w:tcPr>
            <w:tcW w:w="64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2,7</w:t>
            </w:r>
          </w:p>
        </w:tc>
        <w:tc>
          <w:tcPr>
            <w:tcW w:w="713" w:type="dxa"/>
            <w:gridSpan w:val="2"/>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3,0</w:t>
            </w:r>
          </w:p>
        </w:tc>
      </w:tr>
      <w:tr w:rsidR="00AF21E1" w:rsidRPr="00704614" w:rsidTr="00704614">
        <w:trPr>
          <w:gridAfter w:val="1"/>
          <w:wAfter w:w="85" w:type="dxa"/>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République Centrafricaine</w:t>
            </w:r>
          </w:p>
        </w:tc>
        <w:tc>
          <w:tcPr>
            <w:tcW w:w="844"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1,5</w:t>
            </w:r>
          </w:p>
        </w:tc>
        <w:tc>
          <w:tcPr>
            <w:tcW w:w="744"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1,2</w:t>
            </w:r>
          </w:p>
        </w:tc>
        <w:tc>
          <w:tcPr>
            <w:tcW w:w="73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5,9</w:t>
            </w:r>
          </w:p>
        </w:tc>
        <w:tc>
          <w:tcPr>
            <w:tcW w:w="708"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4,0</w:t>
            </w:r>
          </w:p>
        </w:tc>
        <w:tc>
          <w:tcPr>
            <w:tcW w:w="73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17,8</w:t>
            </w:r>
          </w:p>
        </w:tc>
        <w:tc>
          <w:tcPr>
            <w:tcW w:w="64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w:t>
            </w:r>
          </w:p>
        </w:tc>
        <w:tc>
          <w:tcPr>
            <w:tcW w:w="713" w:type="dxa"/>
            <w:gridSpan w:val="2"/>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w:t>
            </w:r>
          </w:p>
        </w:tc>
      </w:tr>
      <w:tr w:rsidR="00AF21E1" w:rsidRPr="00704614" w:rsidTr="00704614">
        <w:trPr>
          <w:gridAfter w:val="1"/>
          <w:wAfter w:w="85" w:type="dxa"/>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Congo</w:t>
            </w:r>
          </w:p>
        </w:tc>
        <w:tc>
          <w:tcPr>
            <w:tcW w:w="844"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0,4</w:t>
            </w:r>
          </w:p>
        </w:tc>
        <w:tc>
          <w:tcPr>
            <w:tcW w:w="744"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2,2</w:t>
            </w:r>
          </w:p>
        </w:tc>
        <w:tc>
          <w:tcPr>
            <w:tcW w:w="73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5,0</w:t>
            </w:r>
          </w:p>
        </w:tc>
        <w:tc>
          <w:tcPr>
            <w:tcW w:w="708"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4,7</w:t>
            </w:r>
          </w:p>
        </w:tc>
        <w:tc>
          <w:tcPr>
            <w:tcW w:w="73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0,9</w:t>
            </w:r>
          </w:p>
        </w:tc>
        <w:tc>
          <w:tcPr>
            <w:tcW w:w="64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1,8</w:t>
            </w:r>
          </w:p>
        </w:tc>
        <w:tc>
          <w:tcPr>
            <w:tcW w:w="713" w:type="dxa"/>
            <w:gridSpan w:val="2"/>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1,7</w:t>
            </w:r>
          </w:p>
        </w:tc>
      </w:tr>
      <w:tr w:rsidR="00AF21E1" w:rsidRPr="00704614" w:rsidTr="00704614">
        <w:trPr>
          <w:gridAfter w:val="1"/>
          <w:wAfter w:w="85" w:type="dxa"/>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Gabon</w:t>
            </w:r>
          </w:p>
        </w:tc>
        <w:tc>
          <w:tcPr>
            <w:tcW w:w="844"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1,5</w:t>
            </w:r>
          </w:p>
        </w:tc>
        <w:tc>
          <w:tcPr>
            <w:tcW w:w="744"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w:t>
            </w:r>
          </w:p>
        </w:tc>
        <w:tc>
          <w:tcPr>
            <w:tcW w:w="73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2,7</w:t>
            </w:r>
          </w:p>
        </w:tc>
        <w:tc>
          <w:tcPr>
            <w:tcW w:w="708"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0,5</w:t>
            </w:r>
          </w:p>
        </w:tc>
        <w:tc>
          <w:tcPr>
            <w:tcW w:w="73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4,7</w:t>
            </w:r>
          </w:p>
        </w:tc>
        <w:tc>
          <w:tcPr>
            <w:tcW w:w="64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-0,3</w:t>
            </w:r>
          </w:p>
        </w:tc>
        <w:tc>
          <w:tcPr>
            <w:tcW w:w="713" w:type="dxa"/>
            <w:gridSpan w:val="2"/>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2,5</w:t>
            </w:r>
          </w:p>
        </w:tc>
      </w:tr>
      <w:tr w:rsidR="00AF21E1" w:rsidRPr="00704614" w:rsidTr="00704614">
        <w:trPr>
          <w:gridAfter w:val="1"/>
          <w:wAfter w:w="85" w:type="dxa"/>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Guinée Équatoriale</w:t>
            </w:r>
          </w:p>
        </w:tc>
        <w:tc>
          <w:tcPr>
            <w:tcW w:w="844"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5,6</w:t>
            </w:r>
          </w:p>
        </w:tc>
        <w:tc>
          <w:tcPr>
            <w:tcW w:w="744"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4,8</w:t>
            </w:r>
          </w:p>
        </w:tc>
        <w:tc>
          <w:tcPr>
            <w:tcW w:w="73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3,6</w:t>
            </w:r>
          </w:p>
        </w:tc>
        <w:tc>
          <w:tcPr>
            <w:tcW w:w="708"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3,0</w:t>
            </w:r>
          </w:p>
        </w:tc>
        <w:tc>
          <w:tcPr>
            <w:tcW w:w="73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4,3</w:t>
            </w:r>
          </w:p>
        </w:tc>
        <w:tc>
          <w:tcPr>
            <w:tcW w:w="64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1,7</w:t>
            </w:r>
          </w:p>
        </w:tc>
        <w:tc>
          <w:tcPr>
            <w:tcW w:w="713" w:type="dxa"/>
            <w:gridSpan w:val="2"/>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1,9</w:t>
            </w:r>
          </w:p>
        </w:tc>
      </w:tr>
      <w:tr w:rsidR="00AF21E1" w:rsidRPr="00704614" w:rsidTr="00704614">
        <w:trPr>
          <w:gridAfter w:val="1"/>
          <w:wAfter w:w="85" w:type="dxa"/>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Tchad</w:t>
            </w:r>
          </w:p>
        </w:tc>
        <w:tc>
          <w:tcPr>
            <w:tcW w:w="844"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-2,1</w:t>
            </w:r>
          </w:p>
        </w:tc>
        <w:tc>
          <w:tcPr>
            <w:tcW w:w="744"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w:t>
            </w:r>
          </w:p>
        </w:tc>
        <w:tc>
          <w:tcPr>
            <w:tcW w:w="73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7,5</w:t>
            </w:r>
          </w:p>
        </w:tc>
        <w:tc>
          <w:tcPr>
            <w:tcW w:w="708"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0,2</w:t>
            </w:r>
          </w:p>
        </w:tc>
        <w:tc>
          <w:tcPr>
            <w:tcW w:w="73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1,7</w:t>
            </w:r>
          </w:p>
        </w:tc>
        <w:tc>
          <w:tcPr>
            <w:tcW w:w="64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3,7</w:t>
            </w:r>
          </w:p>
        </w:tc>
        <w:tc>
          <w:tcPr>
            <w:tcW w:w="713" w:type="dxa"/>
            <w:gridSpan w:val="2"/>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2,9</w:t>
            </w:r>
          </w:p>
        </w:tc>
      </w:tr>
      <w:tr w:rsidR="00AF21E1" w:rsidRPr="00704614" w:rsidTr="00704614">
        <w:trPr>
          <w:gridAfter w:val="1"/>
          <w:wAfter w:w="85" w:type="dxa"/>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Nombre de pays ayant respecté le critère</w:t>
            </w:r>
          </w:p>
        </w:tc>
        <w:tc>
          <w:tcPr>
            <w:tcW w:w="844"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w:t>
            </w:r>
          </w:p>
        </w:tc>
        <w:tc>
          <w:tcPr>
            <w:tcW w:w="744"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w:t>
            </w:r>
          </w:p>
        </w:tc>
        <w:tc>
          <w:tcPr>
            <w:tcW w:w="73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w:t>
            </w:r>
          </w:p>
        </w:tc>
        <w:tc>
          <w:tcPr>
            <w:tcW w:w="708"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w:t>
            </w:r>
          </w:p>
        </w:tc>
        <w:tc>
          <w:tcPr>
            <w:tcW w:w="73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w:t>
            </w:r>
          </w:p>
        </w:tc>
        <w:tc>
          <w:tcPr>
            <w:tcW w:w="643" w:type="dxa"/>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w:t>
            </w:r>
          </w:p>
        </w:tc>
        <w:tc>
          <w:tcPr>
            <w:tcW w:w="713" w:type="dxa"/>
            <w:gridSpan w:val="2"/>
            <w:noWrap/>
            <w:hideMark/>
          </w:tcPr>
          <w:p w:rsidR="00343A54" w:rsidRDefault="00AD7D99">
            <w:pPr>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w:t>
            </w:r>
          </w:p>
        </w:tc>
      </w:tr>
      <w:tr w:rsidR="00AF21E1" w:rsidRPr="00704614" w:rsidTr="00AF21E1">
        <w:trPr>
          <w:gridAfter w:val="1"/>
          <w:wAfter w:w="85" w:type="dxa"/>
          <w:trHeight w:val="260"/>
        </w:trPr>
        <w:tc>
          <w:tcPr>
            <w:cnfStyle w:val="001000000000" w:firstRow="0" w:lastRow="0" w:firstColumn="1" w:lastColumn="0" w:oddVBand="0" w:evenVBand="0" w:oddHBand="0" w:evenHBand="0" w:firstRowFirstColumn="0" w:firstRowLastColumn="0" w:lastRowFirstColumn="0" w:lastRowLastColumn="0"/>
            <w:tcW w:w="3776" w:type="dxa"/>
            <w:tcBorders>
              <w:bottom w:val="nil"/>
            </w:tcBorders>
            <w:noWrap/>
            <w:hideMark/>
          </w:tcPr>
          <w:p w:rsidR="00AF21E1" w:rsidRPr="00704614" w:rsidRDefault="00AF21E1" w:rsidP="00AF21E1">
            <w:pPr>
              <w:ind w:firstLine="0"/>
              <w:jc w:val="right"/>
              <w:rPr>
                <w:rFonts w:asciiTheme="minorHAnsi" w:hAnsiTheme="minorHAnsi"/>
                <w:sz w:val="20"/>
                <w:szCs w:val="20"/>
              </w:rPr>
            </w:pPr>
          </w:p>
        </w:tc>
        <w:tc>
          <w:tcPr>
            <w:tcW w:w="844" w:type="dxa"/>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44" w:type="dxa"/>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33" w:type="dxa"/>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08" w:type="dxa"/>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33" w:type="dxa"/>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643" w:type="dxa"/>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13" w:type="dxa"/>
            <w:gridSpan w:val="2"/>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AF21E1" w:rsidRPr="00704614" w:rsidTr="00AF21E1">
        <w:trPr>
          <w:gridAfter w:val="2"/>
          <w:wAfter w:w="94" w:type="dxa"/>
          <w:trHeight w:val="260"/>
        </w:trPr>
        <w:tc>
          <w:tcPr>
            <w:cnfStyle w:val="001000000000" w:firstRow="0" w:lastRow="0" w:firstColumn="1" w:lastColumn="0" w:oddVBand="0" w:evenVBand="0" w:oddHBand="0" w:evenHBand="0" w:firstRowFirstColumn="0" w:firstRowLastColumn="0" w:lastRowFirstColumn="0" w:lastRowLastColumn="0"/>
            <w:tcW w:w="8885" w:type="dxa"/>
            <w:gridSpan w:val="8"/>
            <w:tcBorders>
              <w:top w:val="nil"/>
              <w:bottom w:val="nil"/>
              <w:right w:val="nil"/>
            </w:tcBorders>
          </w:tcPr>
          <w:p w:rsidR="00AF21E1" w:rsidRPr="00704614" w:rsidRDefault="00AD7D99" w:rsidP="00AF21E1">
            <w:pPr>
              <w:ind w:firstLine="0"/>
              <w:rPr>
                <w:rFonts w:asciiTheme="minorHAnsi" w:hAnsiTheme="minorHAnsi"/>
                <w:b/>
                <w:sz w:val="20"/>
                <w:szCs w:val="20"/>
              </w:rPr>
            </w:pPr>
            <w:r w:rsidRPr="00AD7D99">
              <w:rPr>
                <w:rFonts w:asciiTheme="minorHAnsi" w:hAnsiTheme="minorHAnsi"/>
                <w:b/>
                <w:sz w:val="20"/>
                <w:szCs w:val="20"/>
              </w:rPr>
              <w:t>Solde budgétaire de base (en  % du PIB ; critère : ≥ 0)</w:t>
            </w: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tcBorders>
              <w:top w:val="nil"/>
            </w:tcBorders>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CEMAC </w:t>
            </w:r>
          </w:p>
        </w:tc>
        <w:tc>
          <w:tcPr>
            <w:tcW w:w="844" w:type="dxa"/>
            <w:tcBorders>
              <w:top w:val="nil"/>
            </w:tcBorders>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3,1</w:t>
            </w:r>
          </w:p>
        </w:tc>
        <w:tc>
          <w:tcPr>
            <w:tcW w:w="744" w:type="dxa"/>
            <w:tcBorders>
              <w:top w:val="nil"/>
            </w:tcBorders>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4,3</w:t>
            </w:r>
          </w:p>
        </w:tc>
        <w:tc>
          <w:tcPr>
            <w:tcW w:w="733" w:type="dxa"/>
            <w:tcBorders>
              <w:top w:val="nil"/>
            </w:tcBorders>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0,7</w:t>
            </w:r>
          </w:p>
        </w:tc>
        <w:tc>
          <w:tcPr>
            <w:tcW w:w="708" w:type="dxa"/>
            <w:tcBorders>
              <w:top w:val="nil"/>
            </w:tcBorders>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0,9</w:t>
            </w:r>
          </w:p>
        </w:tc>
        <w:tc>
          <w:tcPr>
            <w:tcW w:w="733" w:type="dxa"/>
            <w:tcBorders>
              <w:top w:val="nil"/>
            </w:tcBorders>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0,9</w:t>
            </w:r>
          </w:p>
        </w:tc>
        <w:tc>
          <w:tcPr>
            <w:tcW w:w="643" w:type="dxa"/>
            <w:tcBorders>
              <w:top w:val="nil"/>
            </w:tcBorders>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-1,0</w:t>
            </w:r>
          </w:p>
        </w:tc>
        <w:tc>
          <w:tcPr>
            <w:tcW w:w="798" w:type="dxa"/>
            <w:gridSpan w:val="3"/>
            <w:tcBorders>
              <w:top w:val="nil"/>
            </w:tcBorders>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-3,0</w:t>
            </w: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Cameroun</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0,1</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-0,4</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0,6</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-0,5</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0,1</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sz w:val="20"/>
                <w:szCs w:val="20"/>
              </w:rPr>
              <w:t>1,8</w:t>
            </w:r>
          </w:p>
        </w:tc>
        <w:tc>
          <w:tcPr>
            <w:tcW w:w="798" w:type="dxa"/>
            <w:gridSpan w:val="3"/>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-1,6</w:t>
            </w: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République Centrafricaine</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-0,9</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-2,0</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0,3</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-7,5</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-5,6</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-3,5</w:t>
            </w:r>
          </w:p>
        </w:tc>
        <w:tc>
          <w:tcPr>
            <w:tcW w:w="798" w:type="dxa"/>
            <w:gridSpan w:val="3"/>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-3,8</w:t>
            </w: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Congo</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23,1</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18,4</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10,4</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13,4</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6,5</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-9,2</w:t>
            </w:r>
          </w:p>
        </w:tc>
        <w:tc>
          <w:tcPr>
            <w:tcW w:w="798" w:type="dxa"/>
            <w:gridSpan w:val="3"/>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-7,7</w:t>
            </w: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Gabon</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3,1</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4,3</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4,0</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4,6</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5,2</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1,0</w:t>
            </w:r>
          </w:p>
        </w:tc>
        <w:tc>
          <w:tcPr>
            <w:tcW w:w="798" w:type="dxa"/>
            <w:gridSpan w:val="3"/>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2,3</w:t>
            </w: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Guinée Équatoriale</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-5,4</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0,9</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-8,2</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-7,0</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-6,1</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-4,9</w:t>
            </w:r>
          </w:p>
        </w:tc>
        <w:tc>
          <w:tcPr>
            <w:tcW w:w="798" w:type="dxa"/>
            <w:gridSpan w:val="3"/>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-16,4</w:t>
            </w: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Tchad</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-1,8</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3,2</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-0,2</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-2,3</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0,4</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-0,7</w:t>
            </w:r>
          </w:p>
        </w:tc>
        <w:tc>
          <w:tcPr>
            <w:tcW w:w="798" w:type="dxa"/>
            <w:gridSpan w:val="3"/>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-1,2</w:t>
            </w: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Nombre de pays ayant respecté le critère</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w:t>
            </w:r>
          </w:p>
        </w:tc>
        <w:tc>
          <w:tcPr>
            <w:tcW w:w="798" w:type="dxa"/>
            <w:gridSpan w:val="3"/>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tcBorders>
              <w:bottom w:val="nil"/>
            </w:tcBorders>
            <w:noWrap/>
            <w:hideMark/>
          </w:tcPr>
          <w:p w:rsidR="00AF21E1" w:rsidRPr="00704614" w:rsidRDefault="00AF21E1" w:rsidP="00AF21E1">
            <w:pPr>
              <w:ind w:firstLine="0"/>
              <w:jc w:val="right"/>
              <w:rPr>
                <w:rFonts w:asciiTheme="minorHAnsi" w:hAnsiTheme="minorHAnsi"/>
                <w:sz w:val="20"/>
                <w:szCs w:val="20"/>
              </w:rPr>
            </w:pPr>
          </w:p>
        </w:tc>
        <w:tc>
          <w:tcPr>
            <w:tcW w:w="844" w:type="dxa"/>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44" w:type="dxa"/>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33" w:type="dxa"/>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08" w:type="dxa"/>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33" w:type="dxa"/>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643" w:type="dxa"/>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98" w:type="dxa"/>
            <w:gridSpan w:val="3"/>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AF21E1" w:rsidRPr="00704614" w:rsidTr="00AF21E1">
        <w:trPr>
          <w:gridAfter w:val="2"/>
          <w:wAfter w:w="94" w:type="dxa"/>
          <w:trHeight w:val="260"/>
        </w:trPr>
        <w:tc>
          <w:tcPr>
            <w:cnfStyle w:val="001000000000" w:firstRow="0" w:lastRow="0" w:firstColumn="1" w:lastColumn="0" w:oddVBand="0" w:evenVBand="0" w:oddHBand="0" w:evenHBand="0" w:firstRowFirstColumn="0" w:firstRowLastColumn="0" w:lastRowFirstColumn="0" w:lastRowLastColumn="0"/>
            <w:tcW w:w="8885" w:type="dxa"/>
            <w:gridSpan w:val="8"/>
            <w:tcBorders>
              <w:top w:val="nil"/>
              <w:bottom w:val="nil"/>
              <w:right w:val="nil"/>
            </w:tcBorders>
          </w:tcPr>
          <w:p w:rsidR="00AF21E1" w:rsidRPr="00704614" w:rsidRDefault="00AD7D99" w:rsidP="00AF21E1">
            <w:pPr>
              <w:ind w:firstLine="0"/>
              <w:rPr>
                <w:rFonts w:asciiTheme="minorHAnsi" w:hAnsiTheme="minorHAnsi"/>
                <w:b/>
                <w:sz w:val="20"/>
                <w:szCs w:val="20"/>
              </w:rPr>
            </w:pPr>
            <w:r w:rsidRPr="00AD7D99">
              <w:rPr>
                <w:rFonts w:asciiTheme="minorHAnsi" w:hAnsiTheme="minorHAnsi"/>
                <w:b/>
                <w:sz w:val="20"/>
                <w:szCs w:val="20"/>
              </w:rPr>
              <w:t>Taux d'endettement public (en  % du PIB ; critère : ≤ 70)</w:t>
            </w: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tcBorders>
              <w:top w:val="nil"/>
            </w:tcBorders>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CEMAC </w:t>
            </w:r>
          </w:p>
        </w:tc>
        <w:tc>
          <w:tcPr>
            <w:tcW w:w="844" w:type="dxa"/>
            <w:tcBorders>
              <w:top w:val="nil"/>
            </w:tcBorders>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16,1</w:t>
            </w:r>
          </w:p>
        </w:tc>
        <w:tc>
          <w:tcPr>
            <w:tcW w:w="744" w:type="dxa"/>
            <w:tcBorders>
              <w:top w:val="nil"/>
            </w:tcBorders>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17,5</w:t>
            </w:r>
          </w:p>
        </w:tc>
        <w:tc>
          <w:tcPr>
            <w:tcW w:w="733" w:type="dxa"/>
            <w:tcBorders>
              <w:top w:val="nil"/>
            </w:tcBorders>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18,3</w:t>
            </w:r>
          </w:p>
        </w:tc>
        <w:tc>
          <w:tcPr>
            <w:tcW w:w="708" w:type="dxa"/>
            <w:tcBorders>
              <w:top w:val="nil"/>
            </w:tcBorders>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22,5</w:t>
            </w:r>
          </w:p>
        </w:tc>
        <w:tc>
          <w:tcPr>
            <w:tcW w:w="733" w:type="dxa"/>
            <w:tcBorders>
              <w:top w:val="nil"/>
            </w:tcBorders>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26,3</w:t>
            </w:r>
          </w:p>
        </w:tc>
        <w:tc>
          <w:tcPr>
            <w:tcW w:w="643" w:type="dxa"/>
            <w:tcBorders>
              <w:top w:val="nil"/>
            </w:tcBorders>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30,8</w:t>
            </w:r>
          </w:p>
        </w:tc>
        <w:tc>
          <w:tcPr>
            <w:tcW w:w="798" w:type="dxa"/>
            <w:gridSpan w:val="3"/>
            <w:tcBorders>
              <w:top w:val="nil"/>
            </w:tcBorders>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34,4</w:t>
            </w: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Cameroun</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15,4</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17,8</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18,1</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22,8</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23,6</w:t>
            </w:r>
          </w:p>
        </w:tc>
        <w:tc>
          <w:tcPr>
            <w:tcW w:w="798" w:type="dxa"/>
            <w:gridSpan w:val="3"/>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23,6</w:t>
            </w: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République Centrafricaine</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41,1</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38,2</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35,1</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60,2</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52,8</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49,0</w:t>
            </w:r>
          </w:p>
        </w:tc>
        <w:tc>
          <w:tcPr>
            <w:tcW w:w="798" w:type="dxa"/>
            <w:gridSpan w:val="3"/>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48,3</w:t>
            </w: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Congo</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23,8</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23,5</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25,9</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38,1</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40,0</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52,5</w:t>
            </w:r>
          </w:p>
        </w:tc>
        <w:tc>
          <w:tcPr>
            <w:tcW w:w="798" w:type="dxa"/>
            <w:gridSpan w:val="3"/>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58,4</w:t>
            </w: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Gabon</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18,5</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16,6</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16,3</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24,6</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28,9</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35,9</w:t>
            </w:r>
          </w:p>
        </w:tc>
        <w:tc>
          <w:tcPr>
            <w:tcW w:w="798" w:type="dxa"/>
            <w:gridSpan w:val="3"/>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39,5</w:t>
            </w: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Guinée équatoriale</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5,0</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7,9</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8,2</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7,4</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11,5</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18,7</w:t>
            </w:r>
          </w:p>
        </w:tc>
        <w:tc>
          <w:tcPr>
            <w:tcW w:w="798" w:type="dxa"/>
            <w:gridSpan w:val="3"/>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38,2</w:t>
            </w: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Tchad</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15,1</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22,0</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20,6</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24,6</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31,3</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32,5</w:t>
            </w:r>
          </w:p>
        </w:tc>
        <w:tc>
          <w:tcPr>
            <w:tcW w:w="798" w:type="dxa"/>
            <w:gridSpan w:val="3"/>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34,8</w:t>
            </w: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Nombre de pays ayant respecté le critère</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w:t>
            </w:r>
          </w:p>
        </w:tc>
        <w:tc>
          <w:tcPr>
            <w:tcW w:w="798" w:type="dxa"/>
            <w:gridSpan w:val="3"/>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tcBorders>
              <w:bottom w:val="nil"/>
            </w:tcBorders>
            <w:noWrap/>
            <w:hideMark/>
          </w:tcPr>
          <w:p w:rsidR="00AF21E1" w:rsidRPr="00704614" w:rsidRDefault="00AF21E1" w:rsidP="00AF21E1">
            <w:pPr>
              <w:ind w:firstLine="0"/>
              <w:jc w:val="right"/>
              <w:rPr>
                <w:rFonts w:asciiTheme="minorHAnsi" w:hAnsiTheme="minorHAnsi"/>
                <w:sz w:val="20"/>
                <w:szCs w:val="20"/>
              </w:rPr>
            </w:pPr>
          </w:p>
        </w:tc>
        <w:tc>
          <w:tcPr>
            <w:tcW w:w="844" w:type="dxa"/>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44" w:type="dxa"/>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33" w:type="dxa"/>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08" w:type="dxa"/>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33" w:type="dxa"/>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643" w:type="dxa"/>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98" w:type="dxa"/>
            <w:gridSpan w:val="3"/>
            <w:tcBorders>
              <w:bottom w:val="nil"/>
            </w:tcBorders>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AF21E1" w:rsidRPr="00704614" w:rsidTr="00AF21E1">
        <w:trPr>
          <w:gridAfter w:val="2"/>
          <w:wAfter w:w="94" w:type="dxa"/>
          <w:trHeight w:val="260"/>
        </w:trPr>
        <w:tc>
          <w:tcPr>
            <w:cnfStyle w:val="001000000000" w:firstRow="0" w:lastRow="0" w:firstColumn="1" w:lastColumn="0" w:oddVBand="0" w:evenVBand="0" w:oddHBand="0" w:evenHBand="0" w:firstRowFirstColumn="0" w:firstRowLastColumn="0" w:lastRowFirstColumn="0" w:lastRowLastColumn="0"/>
            <w:tcW w:w="8885" w:type="dxa"/>
            <w:gridSpan w:val="8"/>
            <w:tcBorders>
              <w:top w:val="nil"/>
              <w:bottom w:val="nil"/>
              <w:right w:val="nil"/>
            </w:tcBorders>
          </w:tcPr>
          <w:p w:rsidR="00AF21E1" w:rsidRPr="00704614" w:rsidRDefault="00AD7D99" w:rsidP="00AF21E1">
            <w:pPr>
              <w:ind w:firstLine="0"/>
              <w:rPr>
                <w:rFonts w:asciiTheme="minorHAnsi" w:hAnsiTheme="minorHAnsi"/>
                <w:b/>
                <w:sz w:val="20"/>
                <w:szCs w:val="20"/>
              </w:rPr>
            </w:pPr>
            <w:r w:rsidRPr="00AD7D99">
              <w:rPr>
                <w:rFonts w:asciiTheme="minorHAnsi" w:hAnsiTheme="minorHAnsi"/>
                <w:b/>
                <w:sz w:val="20"/>
                <w:szCs w:val="20"/>
              </w:rPr>
              <w:t>Arriérés (int. et ext.) gestion courante (en milliards ; critère : retard de paiement ≥ 120 jours)</w:t>
            </w: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tcBorders>
              <w:top w:val="nil"/>
            </w:tcBorders>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CEMAC </w:t>
            </w:r>
          </w:p>
        </w:tc>
        <w:tc>
          <w:tcPr>
            <w:tcW w:w="844" w:type="dxa"/>
            <w:tcBorders>
              <w:top w:val="nil"/>
            </w:tcBorders>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8,0</w:t>
            </w:r>
          </w:p>
        </w:tc>
        <w:tc>
          <w:tcPr>
            <w:tcW w:w="744" w:type="dxa"/>
            <w:tcBorders>
              <w:top w:val="nil"/>
            </w:tcBorders>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6,3</w:t>
            </w:r>
          </w:p>
        </w:tc>
        <w:tc>
          <w:tcPr>
            <w:tcW w:w="733" w:type="dxa"/>
            <w:tcBorders>
              <w:top w:val="nil"/>
            </w:tcBorders>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8,1</w:t>
            </w:r>
          </w:p>
        </w:tc>
        <w:tc>
          <w:tcPr>
            <w:tcW w:w="708" w:type="dxa"/>
            <w:tcBorders>
              <w:top w:val="nil"/>
            </w:tcBorders>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6,5</w:t>
            </w:r>
          </w:p>
        </w:tc>
        <w:tc>
          <w:tcPr>
            <w:tcW w:w="733" w:type="dxa"/>
            <w:tcBorders>
              <w:top w:val="nil"/>
            </w:tcBorders>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17,8</w:t>
            </w:r>
          </w:p>
        </w:tc>
        <w:tc>
          <w:tcPr>
            <w:tcW w:w="643" w:type="dxa"/>
            <w:tcBorders>
              <w:top w:val="nil"/>
            </w:tcBorders>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&gt;0</w:t>
            </w:r>
          </w:p>
        </w:tc>
        <w:tc>
          <w:tcPr>
            <w:tcW w:w="798" w:type="dxa"/>
            <w:gridSpan w:val="3"/>
            <w:tcBorders>
              <w:top w:val="nil"/>
            </w:tcBorders>
            <w:noWrap/>
          </w:tcPr>
          <w:p w:rsidR="00AF21E1" w:rsidRPr="00704614" w:rsidRDefault="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Cameroun</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98" w:type="dxa"/>
            <w:gridSpan w:val="3"/>
            <w:noWrap/>
          </w:tcPr>
          <w:p w:rsidR="00AF21E1" w:rsidRPr="00704614" w:rsidRDefault="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République Centrafricaine</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8,0</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6,3</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8,1</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6,5</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-1,8</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&gt;0</w:t>
            </w:r>
          </w:p>
        </w:tc>
        <w:tc>
          <w:tcPr>
            <w:tcW w:w="798" w:type="dxa"/>
            <w:gridSpan w:val="3"/>
            <w:noWrap/>
          </w:tcPr>
          <w:p w:rsidR="00AF21E1" w:rsidRPr="00704614" w:rsidRDefault="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Congo</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&gt;0</w:t>
            </w:r>
          </w:p>
        </w:tc>
        <w:tc>
          <w:tcPr>
            <w:tcW w:w="798" w:type="dxa"/>
            <w:gridSpan w:val="3"/>
            <w:noWrap/>
          </w:tcPr>
          <w:p w:rsidR="00AF21E1" w:rsidRPr="00704614" w:rsidRDefault="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Gabon</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19,6</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&gt;0</w:t>
            </w:r>
          </w:p>
        </w:tc>
        <w:tc>
          <w:tcPr>
            <w:tcW w:w="798" w:type="dxa"/>
            <w:gridSpan w:val="3"/>
            <w:noWrap/>
          </w:tcPr>
          <w:p w:rsidR="00AF21E1" w:rsidRPr="00704614" w:rsidRDefault="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Guinée Équatoriale</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&gt;0</w:t>
            </w:r>
          </w:p>
        </w:tc>
        <w:tc>
          <w:tcPr>
            <w:tcW w:w="798" w:type="dxa"/>
            <w:gridSpan w:val="3"/>
            <w:noWrap/>
          </w:tcPr>
          <w:p w:rsidR="00AF21E1" w:rsidRPr="00704614" w:rsidRDefault="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Tchad</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98" w:type="dxa"/>
            <w:gridSpan w:val="3"/>
            <w:noWrap/>
          </w:tcPr>
          <w:p w:rsidR="00AF21E1" w:rsidRPr="00704614" w:rsidRDefault="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AF21E1" w:rsidRPr="00704614" w:rsidTr="00704614">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Nombre de pays ayant respecté le critère</w:t>
            </w:r>
          </w:p>
        </w:tc>
        <w:tc>
          <w:tcPr>
            <w:tcW w:w="844" w:type="dxa"/>
            <w:noWrap/>
            <w:hideMark/>
          </w:tcPr>
          <w:p w:rsidR="00AF21E1" w:rsidRPr="00704614" w:rsidRDefault="00AD7D99" w:rsidP="00704614">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w:t>
            </w:r>
          </w:p>
        </w:tc>
        <w:tc>
          <w:tcPr>
            <w:tcW w:w="744" w:type="dxa"/>
            <w:noWrap/>
            <w:hideMark/>
          </w:tcPr>
          <w:p w:rsidR="00AF21E1" w:rsidRPr="00704614" w:rsidRDefault="00AD7D99" w:rsidP="00C33E0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w:t>
            </w:r>
          </w:p>
        </w:tc>
        <w:tc>
          <w:tcPr>
            <w:tcW w:w="733" w:type="dxa"/>
            <w:noWrap/>
            <w:hideMark/>
          </w:tcPr>
          <w:p w:rsidR="00AF21E1" w:rsidRPr="00704614" w:rsidRDefault="00AD7D99" w:rsidP="001C509F">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w:t>
            </w:r>
          </w:p>
        </w:tc>
        <w:tc>
          <w:tcPr>
            <w:tcW w:w="708"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w:t>
            </w:r>
          </w:p>
        </w:tc>
        <w:tc>
          <w:tcPr>
            <w:tcW w:w="73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w:t>
            </w:r>
          </w:p>
        </w:tc>
        <w:tc>
          <w:tcPr>
            <w:tcW w:w="643" w:type="dxa"/>
            <w:noWrap/>
            <w:hideMark/>
          </w:tcPr>
          <w:p w:rsidR="00AF21E1" w:rsidRPr="00704614"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w:t>
            </w:r>
          </w:p>
        </w:tc>
        <w:tc>
          <w:tcPr>
            <w:tcW w:w="798" w:type="dxa"/>
            <w:gridSpan w:val="3"/>
            <w:noWrap/>
          </w:tcPr>
          <w:p w:rsidR="00AF21E1" w:rsidRPr="00704614" w:rsidRDefault="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bl>
    <w:p w:rsidR="002F4B3C" w:rsidRPr="00704614" w:rsidRDefault="002F4B3C" w:rsidP="002F4B3C">
      <w:pPr>
        <w:tabs>
          <w:tab w:val="left" w:pos="709"/>
        </w:tabs>
        <w:rPr>
          <w:rFonts w:asciiTheme="minorHAnsi" w:hAnsiTheme="minorHAnsi"/>
          <w:sz w:val="20"/>
          <w:szCs w:val="20"/>
        </w:rPr>
      </w:pPr>
      <w:r w:rsidRPr="00704614">
        <w:rPr>
          <w:rFonts w:asciiTheme="minorHAnsi" w:hAnsiTheme="minorHAnsi"/>
          <w:sz w:val="20"/>
          <w:szCs w:val="20"/>
        </w:rPr>
        <w:tab/>
        <w:t>Source : BEAC et Administrations nationales</w:t>
      </w:r>
    </w:p>
    <w:p w:rsidR="002F4B3C" w:rsidRPr="001C509F" w:rsidRDefault="002F4B3C" w:rsidP="002F4B3C">
      <w:pPr>
        <w:tabs>
          <w:tab w:val="left" w:pos="709"/>
        </w:tabs>
        <w:rPr>
          <w:rFonts w:asciiTheme="minorHAnsi" w:hAnsiTheme="minorHAnsi"/>
          <w:sz w:val="20"/>
          <w:szCs w:val="20"/>
        </w:rPr>
      </w:pPr>
      <w:r w:rsidRPr="00C33E0F">
        <w:rPr>
          <w:rFonts w:asciiTheme="minorHAnsi" w:hAnsiTheme="minorHAnsi"/>
          <w:sz w:val="20"/>
          <w:szCs w:val="20"/>
        </w:rPr>
        <w:tab/>
        <w:t>1. mesuré par l'indice des prix à la consommation</w:t>
      </w:r>
    </w:p>
    <w:p w:rsidR="002F4B3C" w:rsidRPr="00704614" w:rsidRDefault="002F4B3C" w:rsidP="002F4B3C">
      <w:pPr>
        <w:tabs>
          <w:tab w:val="left" w:pos="709"/>
        </w:tabs>
        <w:rPr>
          <w:rFonts w:asciiTheme="minorHAnsi" w:hAnsiTheme="minorHAnsi"/>
          <w:sz w:val="20"/>
          <w:szCs w:val="20"/>
        </w:rPr>
      </w:pPr>
      <w:r w:rsidRPr="00704614">
        <w:rPr>
          <w:rFonts w:asciiTheme="minorHAnsi" w:hAnsiTheme="minorHAnsi"/>
          <w:sz w:val="20"/>
          <w:szCs w:val="20"/>
        </w:rPr>
        <w:tab/>
        <w:t>2. recettes totales (hors dons) - dépenses totales + investissements financés sur ressources extérieures</w:t>
      </w:r>
    </w:p>
    <w:p w:rsidR="002F4B3C" w:rsidRPr="00704614" w:rsidRDefault="002F4B3C" w:rsidP="002F4B3C">
      <w:pPr>
        <w:tabs>
          <w:tab w:val="left" w:pos="709"/>
        </w:tabs>
        <w:rPr>
          <w:rFonts w:asciiTheme="minorHAnsi" w:hAnsiTheme="minorHAnsi"/>
          <w:sz w:val="20"/>
          <w:szCs w:val="20"/>
        </w:rPr>
      </w:pPr>
      <w:r w:rsidRPr="00704614">
        <w:rPr>
          <w:rFonts w:asciiTheme="minorHAnsi" w:hAnsiTheme="minorHAnsi"/>
          <w:sz w:val="20"/>
          <w:szCs w:val="20"/>
        </w:rPr>
        <w:tab/>
        <w:t>3. dette publique extérieure et intérieure à partir de 2002 pour tous les pays sauf la Guinée Équatoriale</w:t>
      </w:r>
    </w:p>
    <w:p w:rsidR="002F4B3C" w:rsidRPr="00704614" w:rsidRDefault="002F4B3C" w:rsidP="002F4B3C">
      <w:pPr>
        <w:spacing w:after="120"/>
        <w:jc w:val="both"/>
        <w:rPr>
          <w:rFonts w:asciiTheme="minorHAnsi" w:hAnsiTheme="minorHAnsi"/>
          <w:sz w:val="18"/>
          <w:szCs w:val="18"/>
        </w:rPr>
      </w:pPr>
    </w:p>
    <w:p w:rsidR="002F4B3C" w:rsidRPr="00704614" w:rsidRDefault="00AD7D99" w:rsidP="005538AD">
      <w:pPr>
        <w:tabs>
          <w:tab w:val="left" w:pos="360"/>
        </w:tabs>
        <w:autoSpaceDE w:val="0"/>
        <w:autoSpaceDN w:val="0"/>
        <w:adjustRightInd w:val="0"/>
        <w:spacing w:before="240" w:after="120" w:line="288" w:lineRule="auto"/>
        <w:jc w:val="both"/>
        <w:rPr>
          <w:rFonts w:asciiTheme="minorHAnsi" w:hAnsiTheme="minorHAnsi"/>
          <w:b/>
          <w:color w:val="365F91" w:themeColor="accent1" w:themeShade="BF"/>
          <w:sz w:val="24"/>
          <w:szCs w:val="24"/>
        </w:rPr>
      </w:pPr>
      <w:r w:rsidRPr="00AD7D99">
        <w:rPr>
          <w:rFonts w:asciiTheme="minorHAnsi" w:hAnsiTheme="minorHAnsi"/>
          <w:b/>
          <w:bCs/>
          <w:sz w:val="18"/>
          <w:szCs w:val="18"/>
        </w:rPr>
        <w:br w:type="page"/>
      </w:r>
      <w:bookmarkStart w:id="317" w:name="_Toc444335777"/>
      <w:r w:rsidRPr="00AD7D99">
        <w:rPr>
          <w:rFonts w:asciiTheme="minorHAnsi" w:hAnsiTheme="minorHAnsi"/>
          <w:b/>
          <w:color w:val="365F91" w:themeColor="accent1" w:themeShade="BF"/>
          <w:sz w:val="24"/>
          <w:szCs w:val="24"/>
        </w:rPr>
        <w:lastRenderedPageBreak/>
        <w:t>Tableau 7 : Évolution de quelques indicateurs de surveillance 2010-2016</w:t>
      </w:r>
      <w:bookmarkEnd w:id="317"/>
    </w:p>
    <w:tbl>
      <w:tblPr>
        <w:tblStyle w:val="Tableauclassique1"/>
        <w:tblW w:w="9777" w:type="dxa"/>
        <w:tblLook w:val="04A0" w:firstRow="1" w:lastRow="0" w:firstColumn="1" w:lastColumn="0" w:noHBand="0" w:noVBand="1"/>
      </w:tblPr>
      <w:tblGrid>
        <w:gridCol w:w="3369"/>
        <w:gridCol w:w="850"/>
        <w:gridCol w:w="709"/>
        <w:gridCol w:w="850"/>
        <w:gridCol w:w="851"/>
        <w:gridCol w:w="1116"/>
        <w:gridCol w:w="1016"/>
        <w:gridCol w:w="1016"/>
      </w:tblGrid>
      <w:tr w:rsidR="00AF21E1" w:rsidRPr="00704614" w:rsidTr="00AF21E1">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369" w:type="dxa"/>
            <w:tcBorders>
              <w:top w:val="single" w:sz="12" w:space="0" w:color="000000"/>
              <w:bottom w:val="single" w:sz="4" w:space="0" w:color="auto"/>
            </w:tcBorders>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Libellés</w:t>
            </w:r>
          </w:p>
        </w:tc>
        <w:tc>
          <w:tcPr>
            <w:tcW w:w="850" w:type="dxa"/>
            <w:tcBorders>
              <w:top w:val="single" w:sz="12" w:space="0" w:color="000000"/>
              <w:bottom w:val="single" w:sz="4" w:space="0" w:color="auto"/>
            </w:tcBorders>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2010</w:t>
            </w:r>
          </w:p>
        </w:tc>
        <w:tc>
          <w:tcPr>
            <w:tcW w:w="709" w:type="dxa"/>
            <w:tcBorders>
              <w:top w:val="single" w:sz="12" w:space="0" w:color="000000"/>
              <w:bottom w:val="single" w:sz="4" w:space="0" w:color="auto"/>
            </w:tcBorders>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2011</w:t>
            </w:r>
          </w:p>
        </w:tc>
        <w:tc>
          <w:tcPr>
            <w:tcW w:w="850" w:type="dxa"/>
            <w:tcBorders>
              <w:top w:val="single" w:sz="12" w:space="0" w:color="000000"/>
              <w:bottom w:val="single" w:sz="4" w:space="0" w:color="auto"/>
            </w:tcBorders>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2012</w:t>
            </w:r>
          </w:p>
        </w:tc>
        <w:tc>
          <w:tcPr>
            <w:tcW w:w="851" w:type="dxa"/>
            <w:tcBorders>
              <w:top w:val="single" w:sz="12" w:space="0" w:color="000000"/>
              <w:bottom w:val="single" w:sz="4" w:space="0" w:color="auto"/>
            </w:tcBorders>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2013</w:t>
            </w:r>
          </w:p>
        </w:tc>
        <w:tc>
          <w:tcPr>
            <w:tcW w:w="1116" w:type="dxa"/>
            <w:tcBorders>
              <w:top w:val="single" w:sz="12" w:space="0" w:color="000000"/>
              <w:bottom w:val="single" w:sz="4" w:space="0" w:color="auto"/>
            </w:tcBorders>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2014</w:t>
            </w:r>
          </w:p>
        </w:tc>
        <w:tc>
          <w:tcPr>
            <w:tcW w:w="1016" w:type="dxa"/>
            <w:tcBorders>
              <w:top w:val="single" w:sz="12" w:space="0" w:color="000000"/>
              <w:bottom w:val="single" w:sz="4" w:space="0" w:color="auto"/>
            </w:tcBorders>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2015</w:t>
            </w:r>
          </w:p>
        </w:tc>
        <w:tc>
          <w:tcPr>
            <w:tcW w:w="1016" w:type="dxa"/>
            <w:tcBorders>
              <w:top w:val="single" w:sz="12" w:space="0" w:color="000000"/>
              <w:bottom w:val="single" w:sz="4" w:space="0" w:color="auto"/>
            </w:tcBorders>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2016</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9777" w:type="dxa"/>
            <w:gridSpan w:val="8"/>
            <w:tcBorders>
              <w:top w:val="single" w:sz="4" w:space="0" w:color="auto"/>
              <w:bottom w:val="nil"/>
              <w:right w:val="nil"/>
            </w:tcBorders>
          </w:tcPr>
          <w:p w:rsidR="00AF21E1" w:rsidRPr="00704614" w:rsidRDefault="00AD7D99" w:rsidP="00AF21E1">
            <w:pPr>
              <w:ind w:firstLine="0"/>
              <w:rPr>
                <w:rFonts w:asciiTheme="minorHAnsi" w:hAnsiTheme="minorHAnsi"/>
                <w:b/>
                <w:sz w:val="20"/>
                <w:szCs w:val="20"/>
              </w:rPr>
            </w:pPr>
            <w:r w:rsidRPr="00AD7D99">
              <w:rPr>
                <w:rFonts w:asciiTheme="minorHAnsi" w:hAnsiTheme="minorHAnsi"/>
                <w:b/>
                <w:sz w:val="20"/>
                <w:szCs w:val="20"/>
              </w:rPr>
              <w:t>Taux de couverture extérieure de la monnaie, en %  (avoirs extérieurs sur engagements à vue ≥ 20)</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tcBorders>
              <w:top w:val="nil"/>
            </w:tcBorders>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CEMAC </w:t>
            </w:r>
          </w:p>
        </w:tc>
        <w:tc>
          <w:tcPr>
            <w:tcW w:w="850"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100,3</w:t>
            </w:r>
          </w:p>
        </w:tc>
        <w:tc>
          <w:tcPr>
            <w:tcW w:w="709"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99,8</w:t>
            </w:r>
          </w:p>
        </w:tc>
        <w:tc>
          <w:tcPr>
            <w:tcW w:w="850"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98,4</w:t>
            </w:r>
          </w:p>
        </w:tc>
        <w:tc>
          <w:tcPr>
            <w:tcW w:w="851"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97,5</w:t>
            </w:r>
          </w:p>
        </w:tc>
        <w:tc>
          <w:tcPr>
            <w:tcW w:w="1116" w:type="dxa"/>
            <w:tcBorders>
              <w:top w:val="nil"/>
            </w:tcBorders>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89,8</w:t>
            </w:r>
          </w:p>
        </w:tc>
        <w:tc>
          <w:tcPr>
            <w:tcW w:w="1016" w:type="dxa"/>
            <w:tcBorders>
              <w:top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77,1</w:t>
            </w:r>
          </w:p>
        </w:tc>
        <w:tc>
          <w:tcPr>
            <w:tcW w:w="1016" w:type="dxa"/>
            <w:tcBorders>
              <w:top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60,5</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Cameroun</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95,3</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94,1</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94,0</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93,9</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93,1</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86,8</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71,4</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République Centrafricaine</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71,1</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70,1</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70,2</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72,2</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78,72</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76,8</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60,3</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Congo</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100,6</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101,2</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101,2</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101,1</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88,9</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71,2</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57,5</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Gabon</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85,4</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89,0</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89,5</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90,0</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89,1</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75,5</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73,3</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Guinée Équatoriale</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122,4</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101,8</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100,9</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100,7</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80,6</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55,9</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31,0</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tcBorders>
              <w:bottom w:val="nil"/>
            </w:tcBorders>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Tchad</w:t>
            </w:r>
          </w:p>
        </w:tc>
        <w:tc>
          <w:tcPr>
            <w:tcW w:w="850" w:type="dxa"/>
            <w:tcBorders>
              <w:bottom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58,0</w:t>
            </w:r>
          </w:p>
        </w:tc>
        <w:tc>
          <w:tcPr>
            <w:tcW w:w="709" w:type="dxa"/>
            <w:tcBorders>
              <w:bottom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69,6</w:t>
            </w:r>
          </w:p>
        </w:tc>
        <w:tc>
          <w:tcPr>
            <w:tcW w:w="850" w:type="dxa"/>
            <w:tcBorders>
              <w:bottom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72,2</w:t>
            </w:r>
          </w:p>
        </w:tc>
        <w:tc>
          <w:tcPr>
            <w:tcW w:w="851" w:type="dxa"/>
            <w:tcBorders>
              <w:bottom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73,0</w:t>
            </w:r>
          </w:p>
        </w:tc>
        <w:tc>
          <w:tcPr>
            <w:tcW w:w="1116" w:type="dxa"/>
            <w:tcBorders>
              <w:bottom w:val="nil"/>
            </w:tcBorders>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73,2</w:t>
            </w:r>
          </w:p>
        </w:tc>
        <w:tc>
          <w:tcPr>
            <w:tcW w:w="1016" w:type="dxa"/>
            <w:tcBorders>
              <w:bottom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32,5</w:t>
            </w:r>
          </w:p>
        </w:tc>
        <w:tc>
          <w:tcPr>
            <w:tcW w:w="1016" w:type="dxa"/>
            <w:tcBorders>
              <w:bottom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color w:val="9C0006"/>
                <w:sz w:val="20"/>
                <w:szCs w:val="20"/>
              </w:rPr>
              <w:t>15,9</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9777" w:type="dxa"/>
            <w:gridSpan w:val="8"/>
            <w:tcBorders>
              <w:top w:val="nil"/>
              <w:bottom w:val="nil"/>
              <w:right w:val="nil"/>
            </w:tcBorders>
          </w:tcPr>
          <w:p w:rsidR="00AF21E1" w:rsidRPr="00704614" w:rsidRDefault="00AD7D99" w:rsidP="00AF21E1">
            <w:pPr>
              <w:ind w:firstLine="0"/>
              <w:rPr>
                <w:rFonts w:asciiTheme="minorHAnsi" w:hAnsiTheme="minorHAnsi"/>
                <w:b/>
                <w:sz w:val="20"/>
                <w:szCs w:val="20"/>
              </w:rPr>
            </w:pPr>
            <w:r w:rsidRPr="00AD7D99">
              <w:rPr>
                <w:rFonts w:asciiTheme="minorHAnsi" w:hAnsiTheme="minorHAnsi"/>
                <w:b/>
                <w:sz w:val="20"/>
                <w:szCs w:val="20"/>
              </w:rPr>
              <w:t>Solde budgétaire primaire positif (en  % du PIB)</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tcBorders>
              <w:top w:val="nil"/>
            </w:tcBorders>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CEMAC </w:t>
            </w:r>
          </w:p>
        </w:tc>
        <w:tc>
          <w:tcPr>
            <w:tcW w:w="850"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3,7</w:t>
            </w:r>
          </w:p>
        </w:tc>
        <w:tc>
          <w:tcPr>
            <w:tcW w:w="709"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4,7</w:t>
            </w:r>
          </w:p>
        </w:tc>
        <w:tc>
          <w:tcPr>
            <w:tcW w:w="850"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1,2</w:t>
            </w:r>
          </w:p>
        </w:tc>
        <w:tc>
          <w:tcPr>
            <w:tcW w:w="851"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1,6</w:t>
            </w:r>
          </w:p>
        </w:tc>
        <w:tc>
          <w:tcPr>
            <w:tcW w:w="1116" w:type="dxa"/>
            <w:tcBorders>
              <w:top w:val="nil"/>
            </w:tcBorders>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1,5</w:t>
            </w:r>
          </w:p>
        </w:tc>
        <w:tc>
          <w:tcPr>
            <w:tcW w:w="1016" w:type="dxa"/>
            <w:tcBorders>
              <w:top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-0,2</w:t>
            </w:r>
          </w:p>
        </w:tc>
        <w:tc>
          <w:tcPr>
            <w:tcW w:w="1016" w:type="dxa"/>
            <w:tcBorders>
              <w:top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-1,6</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Cameroun</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0,4</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-0,1</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0,9</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-0,1</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0,5</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sz w:val="20"/>
                <w:szCs w:val="20"/>
              </w:rPr>
              <w:t>2,5</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-0,3</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République Centrafricaine</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-0,3</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-1,2</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0,8</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-6,9</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-5,0</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-2,6</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-3,1</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Congo</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24,1</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18,6</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10,6</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13,6</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6,7</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-8,7</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-6,9</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Gabon</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4,4</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5,2</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5,0</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6,2</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6,4</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2,5</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4,5</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Guinée Équatoriale</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-5,1</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-7,9</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-6,6</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-5,5</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-4,3</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-14,8</w:t>
            </w:r>
          </w:p>
        </w:tc>
      </w:tr>
      <w:tr w:rsidR="00AF21E1" w:rsidRPr="00704614" w:rsidTr="00AF21E1">
        <w:trPr>
          <w:trHeight w:val="289"/>
        </w:trPr>
        <w:tc>
          <w:tcPr>
            <w:cnfStyle w:val="001000000000" w:firstRow="0" w:lastRow="0" w:firstColumn="1" w:lastColumn="0" w:oddVBand="0" w:evenVBand="0" w:oddHBand="0" w:evenHBand="0" w:firstRowFirstColumn="0" w:firstRowLastColumn="0" w:lastRowFirstColumn="0" w:lastRowLastColumn="0"/>
            <w:tcW w:w="3369" w:type="dxa"/>
            <w:tcBorders>
              <w:bottom w:val="nil"/>
            </w:tcBorders>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Tchad</w:t>
            </w:r>
          </w:p>
        </w:tc>
        <w:tc>
          <w:tcPr>
            <w:tcW w:w="850" w:type="dxa"/>
            <w:tcBorders>
              <w:bottom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-1,5</w:t>
            </w:r>
          </w:p>
        </w:tc>
        <w:tc>
          <w:tcPr>
            <w:tcW w:w="709" w:type="dxa"/>
            <w:tcBorders>
              <w:bottom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3,8</w:t>
            </w:r>
          </w:p>
        </w:tc>
        <w:tc>
          <w:tcPr>
            <w:tcW w:w="850" w:type="dxa"/>
            <w:tcBorders>
              <w:bottom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0,2</w:t>
            </w:r>
          </w:p>
        </w:tc>
        <w:tc>
          <w:tcPr>
            <w:tcW w:w="851" w:type="dxa"/>
            <w:tcBorders>
              <w:bottom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-1,7</w:t>
            </w:r>
          </w:p>
        </w:tc>
        <w:tc>
          <w:tcPr>
            <w:tcW w:w="1116" w:type="dxa"/>
            <w:tcBorders>
              <w:bottom w:val="nil"/>
            </w:tcBorders>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1,1</w:t>
            </w:r>
          </w:p>
        </w:tc>
        <w:tc>
          <w:tcPr>
            <w:tcW w:w="1016" w:type="dxa"/>
            <w:tcBorders>
              <w:bottom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-0,1</w:t>
            </w:r>
          </w:p>
        </w:tc>
        <w:tc>
          <w:tcPr>
            <w:tcW w:w="1016" w:type="dxa"/>
            <w:tcBorders>
              <w:bottom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-0,4</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9777" w:type="dxa"/>
            <w:gridSpan w:val="8"/>
            <w:tcBorders>
              <w:top w:val="nil"/>
              <w:bottom w:val="nil"/>
              <w:right w:val="nil"/>
            </w:tcBorders>
            <w:noWrap/>
            <w:hideMark/>
          </w:tcPr>
          <w:p w:rsidR="00AF21E1" w:rsidRPr="00704614" w:rsidRDefault="00AD7D99" w:rsidP="00AF21E1">
            <w:pPr>
              <w:ind w:firstLine="0"/>
              <w:rPr>
                <w:rFonts w:asciiTheme="minorHAnsi" w:hAnsiTheme="minorHAnsi"/>
                <w:b/>
                <w:sz w:val="20"/>
                <w:szCs w:val="20"/>
              </w:rPr>
            </w:pPr>
            <w:r w:rsidRPr="00AD7D99">
              <w:rPr>
                <w:rFonts w:asciiTheme="minorHAnsi" w:hAnsiTheme="minorHAnsi"/>
                <w:b/>
                <w:sz w:val="20"/>
                <w:szCs w:val="20"/>
              </w:rPr>
              <w:t>Taux de pression fiscale (en  % du PIB)</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tcBorders>
              <w:top w:val="nil"/>
            </w:tcBorders>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CEMAC </w:t>
            </w:r>
          </w:p>
        </w:tc>
        <w:tc>
          <w:tcPr>
            <w:tcW w:w="850"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14,0</w:t>
            </w:r>
          </w:p>
        </w:tc>
        <w:tc>
          <w:tcPr>
            <w:tcW w:w="709"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14,7</w:t>
            </w:r>
          </w:p>
        </w:tc>
        <w:tc>
          <w:tcPr>
            <w:tcW w:w="850"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14,6</w:t>
            </w:r>
          </w:p>
        </w:tc>
        <w:tc>
          <w:tcPr>
            <w:tcW w:w="851"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15,2</w:t>
            </w:r>
          </w:p>
        </w:tc>
        <w:tc>
          <w:tcPr>
            <w:tcW w:w="1116" w:type="dxa"/>
            <w:tcBorders>
              <w:top w:val="nil"/>
            </w:tcBorders>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15,0</w:t>
            </w:r>
          </w:p>
        </w:tc>
        <w:tc>
          <w:tcPr>
            <w:tcW w:w="1016" w:type="dxa"/>
            <w:tcBorders>
              <w:top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14,9</w:t>
            </w:r>
          </w:p>
        </w:tc>
        <w:tc>
          <w:tcPr>
            <w:tcW w:w="1016" w:type="dxa"/>
            <w:tcBorders>
              <w:top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16,1</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Cameroun</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13,6</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13,2</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13,3</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13,5</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13,8</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14,1</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13,4</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République Centrafricaine</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8,7</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7,8</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9,2</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5,3</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4,4</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5,9</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7,0</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Congo</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22,4</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26,8</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27,5</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28,2</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28,1</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28,9</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31,8</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Gabon</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19,7</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23,2</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21,9</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22,7</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21,2</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19,5</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21,9</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Guinée Équatoriale</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13,3</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13,6</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12,6</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11,7</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13,5</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15,7</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13,6</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tcBorders>
              <w:bottom w:val="nil"/>
            </w:tcBorders>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Tchad</w:t>
            </w:r>
          </w:p>
        </w:tc>
        <w:tc>
          <w:tcPr>
            <w:tcW w:w="850" w:type="dxa"/>
            <w:tcBorders>
              <w:bottom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7,3</w:t>
            </w:r>
          </w:p>
        </w:tc>
        <w:tc>
          <w:tcPr>
            <w:tcW w:w="709" w:type="dxa"/>
            <w:tcBorders>
              <w:bottom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6,6</w:t>
            </w:r>
          </w:p>
        </w:tc>
        <w:tc>
          <w:tcPr>
            <w:tcW w:w="850" w:type="dxa"/>
            <w:tcBorders>
              <w:bottom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6,4</w:t>
            </w:r>
          </w:p>
        </w:tc>
        <w:tc>
          <w:tcPr>
            <w:tcW w:w="851" w:type="dxa"/>
            <w:tcBorders>
              <w:bottom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7,9</w:t>
            </w:r>
          </w:p>
        </w:tc>
        <w:tc>
          <w:tcPr>
            <w:tcW w:w="1116" w:type="dxa"/>
            <w:tcBorders>
              <w:bottom w:val="nil"/>
            </w:tcBorders>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7,3</w:t>
            </w:r>
          </w:p>
        </w:tc>
        <w:tc>
          <w:tcPr>
            <w:tcW w:w="1016" w:type="dxa"/>
            <w:tcBorders>
              <w:bottom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6,0</w:t>
            </w:r>
          </w:p>
        </w:tc>
        <w:tc>
          <w:tcPr>
            <w:tcW w:w="1016" w:type="dxa"/>
            <w:tcBorders>
              <w:bottom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6,8</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9777" w:type="dxa"/>
            <w:gridSpan w:val="8"/>
            <w:tcBorders>
              <w:top w:val="nil"/>
              <w:bottom w:val="nil"/>
              <w:right w:val="nil"/>
            </w:tcBorders>
          </w:tcPr>
          <w:p w:rsidR="00AF21E1" w:rsidRPr="00704614" w:rsidRDefault="00AD7D99" w:rsidP="00AF21E1">
            <w:pPr>
              <w:ind w:firstLine="0"/>
              <w:rPr>
                <w:rFonts w:asciiTheme="minorHAnsi" w:hAnsiTheme="minorHAnsi"/>
                <w:b/>
                <w:sz w:val="20"/>
                <w:szCs w:val="20"/>
              </w:rPr>
            </w:pPr>
            <w:r w:rsidRPr="00AD7D99">
              <w:rPr>
                <w:rFonts w:asciiTheme="minorHAnsi" w:hAnsiTheme="minorHAnsi"/>
                <w:b/>
                <w:sz w:val="20"/>
                <w:szCs w:val="20"/>
              </w:rPr>
              <w:t>Masse salariale/recettes budgétaires</w:t>
            </w:r>
          </w:p>
        </w:tc>
      </w:tr>
      <w:tr w:rsidR="00AF21E1" w:rsidRPr="00704614" w:rsidTr="00AF21E1">
        <w:trPr>
          <w:trHeight w:val="303"/>
        </w:trPr>
        <w:tc>
          <w:tcPr>
            <w:cnfStyle w:val="001000000000" w:firstRow="0" w:lastRow="0" w:firstColumn="1" w:lastColumn="0" w:oddVBand="0" w:evenVBand="0" w:oddHBand="0" w:evenHBand="0" w:firstRowFirstColumn="0" w:firstRowLastColumn="0" w:lastRowFirstColumn="0" w:lastRowLastColumn="0"/>
            <w:tcW w:w="3369" w:type="dxa"/>
            <w:tcBorders>
              <w:top w:val="nil"/>
            </w:tcBorders>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CEMAC </w:t>
            </w:r>
          </w:p>
        </w:tc>
        <w:tc>
          <w:tcPr>
            <w:tcW w:w="850" w:type="dxa"/>
            <w:tcBorders>
              <w:top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15,2</w:t>
            </w:r>
          </w:p>
        </w:tc>
        <w:tc>
          <w:tcPr>
            <w:tcW w:w="709" w:type="dxa"/>
            <w:tcBorders>
              <w:top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13,8</w:t>
            </w:r>
          </w:p>
        </w:tc>
        <w:tc>
          <w:tcPr>
            <w:tcW w:w="850" w:type="dxa"/>
            <w:tcBorders>
              <w:top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14,5</w:t>
            </w:r>
          </w:p>
        </w:tc>
        <w:tc>
          <w:tcPr>
            <w:tcW w:w="851" w:type="dxa"/>
            <w:tcBorders>
              <w:top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16,7</w:t>
            </w:r>
          </w:p>
        </w:tc>
        <w:tc>
          <w:tcPr>
            <w:tcW w:w="1116" w:type="dxa"/>
            <w:tcBorders>
              <w:top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20,0</w:t>
            </w:r>
          </w:p>
        </w:tc>
        <w:tc>
          <w:tcPr>
            <w:tcW w:w="1016" w:type="dxa"/>
            <w:tcBorders>
              <w:top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26,3</w:t>
            </w:r>
          </w:p>
        </w:tc>
        <w:tc>
          <w:tcPr>
            <w:tcW w:w="1016" w:type="dxa"/>
            <w:tcBorders>
              <w:top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28,1</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Cameroun</w:t>
            </w:r>
          </w:p>
        </w:tc>
        <w:tc>
          <w:tcPr>
            <w:tcW w:w="850"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30,7</w:t>
            </w:r>
          </w:p>
        </w:tc>
        <w:tc>
          <w:tcPr>
            <w:tcW w:w="709"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30,6</w:t>
            </w:r>
          </w:p>
        </w:tc>
        <w:tc>
          <w:tcPr>
            <w:tcW w:w="850"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29,0</w:t>
            </w:r>
          </w:p>
        </w:tc>
        <w:tc>
          <w:tcPr>
            <w:tcW w:w="851"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29,9</w:t>
            </w:r>
          </w:p>
        </w:tc>
        <w:tc>
          <w:tcPr>
            <w:tcW w:w="11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30,6</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29,7</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32,6</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République Centrafricaine</w:t>
            </w:r>
          </w:p>
        </w:tc>
        <w:tc>
          <w:tcPr>
            <w:tcW w:w="850"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37,5</w:t>
            </w:r>
          </w:p>
        </w:tc>
        <w:tc>
          <w:tcPr>
            <w:tcW w:w="709"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41,1</w:t>
            </w:r>
          </w:p>
        </w:tc>
        <w:tc>
          <w:tcPr>
            <w:tcW w:w="850"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38,3</w:t>
            </w:r>
          </w:p>
        </w:tc>
        <w:tc>
          <w:tcPr>
            <w:tcW w:w="851"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124,3</w:t>
            </w:r>
          </w:p>
        </w:tc>
        <w:tc>
          <w:tcPr>
            <w:tcW w:w="11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131,4</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83,5</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61,3</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Congo</w:t>
            </w:r>
          </w:p>
        </w:tc>
        <w:tc>
          <w:tcPr>
            <w:tcW w:w="850"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6,8</w:t>
            </w:r>
          </w:p>
        </w:tc>
        <w:tc>
          <w:tcPr>
            <w:tcW w:w="709"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7,2</w:t>
            </w:r>
          </w:p>
        </w:tc>
        <w:tc>
          <w:tcPr>
            <w:tcW w:w="850"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8,4</w:t>
            </w:r>
          </w:p>
        </w:tc>
        <w:tc>
          <w:tcPr>
            <w:tcW w:w="851"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8,9</w:t>
            </w:r>
          </w:p>
        </w:tc>
        <w:tc>
          <w:tcPr>
            <w:tcW w:w="11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11,2</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24,5</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23,6</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Gabon</w:t>
            </w:r>
          </w:p>
        </w:tc>
        <w:tc>
          <w:tcPr>
            <w:tcW w:w="850"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22,4</w:t>
            </w:r>
          </w:p>
        </w:tc>
        <w:tc>
          <w:tcPr>
            <w:tcW w:w="709"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18,0</w:t>
            </w:r>
          </w:p>
        </w:tc>
        <w:tc>
          <w:tcPr>
            <w:tcW w:w="850"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19,5</w:t>
            </w:r>
          </w:p>
        </w:tc>
        <w:tc>
          <w:tcPr>
            <w:tcW w:w="851"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21,1</w:t>
            </w:r>
          </w:p>
        </w:tc>
        <w:tc>
          <w:tcPr>
            <w:tcW w:w="11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29,4</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38,6</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37,6</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Guinée Équatoriale</w:t>
            </w:r>
          </w:p>
        </w:tc>
        <w:tc>
          <w:tcPr>
            <w:tcW w:w="850"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3,6</w:t>
            </w:r>
          </w:p>
        </w:tc>
        <w:tc>
          <w:tcPr>
            <w:tcW w:w="709"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2,8</w:t>
            </w:r>
          </w:p>
        </w:tc>
        <w:tc>
          <w:tcPr>
            <w:tcW w:w="850"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3,2</w:t>
            </w:r>
          </w:p>
        </w:tc>
        <w:tc>
          <w:tcPr>
            <w:tcW w:w="851"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4,1</w:t>
            </w:r>
          </w:p>
        </w:tc>
        <w:tc>
          <w:tcPr>
            <w:tcW w:w="11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4,9</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6,5</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9,6</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tcBorders>
              <w:bottom w:val="nil"/>
            </w:tcBorders>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Tchad</w:t>
            </w:r>
          </w:p>
        </w:tc>
        <w:tc>
          <w:tcPr>
            <w:tcW w:w="850" w:type="dxa"/>
            <w:tcBorders>
              <w:bottom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13,8</w:t>
            </w:r>
          </w:p>
        </w:tc>
        <w:tc>
          <w:tcPr>
            <w:tcW w:w="709" w:type="dxa"/>
            <w:tcBorders>
              <w:bottom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13,2</w:t>
            </w:r>
          </w:p>
        </w:tc>
        <w:tc>
          <w:tcPr>
            <w:tcW w:w="850" w:type="dxa"/>
            <w:tcBorders>
              <w:bottom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16,4</w:t>
            </w:r>
          </w:p>
        </w:tc>
        <w:tc>
          <w:tcPr>
            <w:tcW w:w="851" w:type="dxa"/>
            <w:tcBorders>
              <w:bottom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22,8</w:t>
            </w:r>
          </w:p>
        </w:tc>
        <w:tc>
          <w:tcPr>
            <w:tcW w:w="1116" w:type="dxa"/>
            <w:tcBorders>
              <w:bottom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25,5</w:t>
            </w:r>
          </w:p>
        </w:tc>
        <w:tc>
          <w:tcPr>
            <w:tcW w:w="1016" w:type="dxa"/>
            <w:tcBorders>
              <w:bottom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33,5</w:t>
            </w:r>
          </w:p>
        </w:tc>
        <w:tc>
          <w:tcPr>
            <w:tcW w:w="1016" w:type="dxa"/>
            <w:tcBorders>
              <w:bottom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29,8</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9777" w:type="dxa"/>
            <w:gridSpan w:val="8"/>
            <w:tcBorders>
              <w:top w:val="nil"/>
              <w:bottom w:val="nil"/>
              <w:right w:val="nil"/>
            </w:tcBorders>
          </w:tcPr>
          <w:p w:rsidR="00AF21E1" w:rsidRPr="00704614" w:rsidRDefault="00AD7D99" w:rsidP="00AF21E1">
            <w:pPr>
              <w:ind w:firstLine="0"/>
              <w:rPr>
                <w:rFonts w:asciiTheme="minorHAnsi" w:hAnsiTheme="minorHAnsi"/>
                <w:b/>
                <w:sz w:val="20"/>
                <w:szCs w:val="20"/>
              </w:rPr>
            </w:pPr>
            <w:r w:rsidRPr="00AD7D99">
              <w:rPr>
                <w:rFonts w:asciiTheme="minorHAnsi" w:hAnsiTheme="minorHAnsi"/>
                <w:b/>
                <w:sz w:val="20"/>
                <w:szCs w:val="20"/>
              </w:rPr>
              <w:t>Déficit extérieur courant de la BDP (en  % du PIB)</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tcBorders>
              <w:top w:val="nil"/>
            </w:tcBorders>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CEMAC </w:t>
            </w:r>
          </w:p>
        </w:tc>
        <w:tc>
          <w:tcPr>
            <w:tcW w:w="850"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-3,2</w:t>
            </w:r>
          </w:p>
        </w:tc>
        <w:tc>
          <w:tcPr>
            <w:tcW w:w="709"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2,7</w:t>
            </w:r>
          </w:p>
        </w:tc>
        <w:tc>
          <w:tcPr>
            <w:tcW w:w="850"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2,7</w:t>
            </w:r>
          </w:p>
        </w:tc>
        <w:tc>
          <w:tcPr>
            <w:tcW w:w="851"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0,6</w:t>
            </w:r>
          </w:p>
        </w:tc>
        <w:tc>
          <w:tcPr>
            <w:tcW w:w="1116" w:type="dxa"/>
            <w:tcBorders>
              <w:top w:val="nil"/>
            </w:tcBorders>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-4,5</w:t>
            </w:r>
          </w:p>
        </w:tc>
        <w:tc>
          <w:tcPr>
            <w:tcW w:w="1016" w:type="dxa"/>
            <w:tcBorders>
              <w:top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-12,2</w:t>
            </w:r>
          </w:p>
        </w:tc>
        <w:tc>
          <w:tcPr>
            <w:tcW w:w="1016" w:type="dxa"/>
            <w:tcBorders>
              <w:top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-14,6</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Cameroun</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-3,8</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-3,3</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-3,9</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-4,1</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-4,7</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-4,5</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-5,6</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République Centrafricaine</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-10,8</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-8,0</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-9,1</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-8,6</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-16,6</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-13,3</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-9,5</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Congo</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6,9</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7,6</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3,2</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12,4</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-7,0</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-42,1</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-39,2</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Gabon</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14,2</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15,0</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13,0</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6,3</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3,7</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-2,7</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-9,7</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Guinée Équatoriale</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-22,0</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7,7</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4,2</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3,9</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-3,2</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-17,4</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-25,4</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tcBorders>
              <w:bottom w:val="nil"/>
            </w:tcBorders>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Tchad</w:t>
            </w:r>
          </w:p>
        </w:tc>
        <w:tc>
          <w:tcPr>
            <w:tcW w:w="850" w:type="dxa"/>
            <w:tcBorders>
              <w:bottom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-11,6</w:t>
            </w:r>
          </w:p>
        </w:tc>
        <w:tc>
          <w:tcPr>
            <w:tcW w:w="709" w:type="dxa"/>
            <w:tcBorders>
              <w:bottom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-14,9</w:t>
            </w:r>
          </w:p>
        </w:tc>
        <w:tc>
          <w:tcPr>
            <w:tcW w:w="850" w:type="dxa"/>
            <w:tcBorders>
              <w:bottom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1,8</w:t>
            </w:r>
          </w:p>
        </w:tc>
        <w:tc>
          <w:tcPr>
            <w:tcW w:w="851" w:type="dxa"/>
            <w:tcBorders>
              <w:bottom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-11,7</w:t>
            </w:r>
          </w:p>
        </w:tc>
        <w:tc>
          <w:tcPr>
            <w:tcW w:w="1116" w:type="dxa"/>
            <w:tcBorders>
              <w:bottom w:val="nil"/>
            </w:tcBorders>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-12,0</w:t>
            </w:r>
          </w:p>
        </w:tc>
        <w:tc>
          <w:tcPr>
            <w:tcW w:w="1016" w:type="dxa"/>
            <w:tcBorders>
              <w:bottom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-15,9</w:t>
            </w:r>
          </w:p>
        </w:tc>
        <w:tc>
          <w:tcPr>
            <w:tcW w:w="1016" w:type="dxa"/>
            <w:tcBorders>
              <w:bottom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-21,0</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9777" w:type="dxa"/>
            <w:gridSpan w:val="8"/>
            <w:tcBorders>
              <w:top w:val="nil"/>
              <w:bottom w:val="nil"/>
              <w:right w:val="nil"/>
            </w:tcBorders>
          </w:tcPr>
          <w:p w:rsidR="00AF21E1" w:rsidRPr="00704614" w:rsidRDefault="00AD7D99" w:rsidP="00AF21E1">
            <w:pPr>
              <w:ind w:firstLine="0"/>
              <w:rPr>
                <w:rFonts w:asciiTheme="minorHAnsi" w:hAnsiTheme="minorHAnsi"/>
                <w:b/>
                <w:sz w:val="20"/>
                <w:szCs w:val="20"/>
              </w:rPr>
            </w:pPr>
            <w:r w:rsidRPr="00AD7D99">
              <w:rPr>
                <w:rFonts w:asciiTheme="minorHAnsi" w:hAnsiTheme="minorHAnsi"/>
                <w:b/>
                <w:sz w:val="20"/>
                <w:szCs w:val="20"/>
              </w:rPr>
              <w:t>Service de la dette extérieure/Exportations (en  %)</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tcBorders>
              <w:top w:val="nil"/>
            </w:tcBorders>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CEMAC</w:t>
            </w:r>
          </w:p>
        </w:tc>
        <w:tc>
          <w:tcPr>
            <w:tcW w:w="850"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9,6</w:t>
            </w:r>
          </w:p>
        </w:tc>
        <w:tc>
          <w:tcPr>
            <w:tcW w:w="709"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2,1</w:t>
            </w:r>
          </w:p>
        </w:tc>
        <w:tc>
          <w:tcPr>
            <w:tcW w:w="850"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2,3</w:t>
            </w:r>
          </w:p>
        </w:tc>
        <w:tc>
          <w:tcPr>
            <w:tcW w:w="851" w:type="dxa"/>
            <w:tcBorders>
              <w:top w:val="nil"/>
            </w:tcBorders>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5,2</w:t>
            </w:r>
          </w:p>
        </w:tc>
        <w:tc>
          <w:tcPr>
            <w:tcW w:w="1116" w:type="dxa"/>
            <w:tcBorders>
              <w:top w:val="nil"/>
            </w:tcBorders>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4,4</w:t>
            </w:r>
          </w:p>
        </w:tc>
        <w:tc>
          <w:tcPr>
            <w:tcW w:w="1016" w:type="dxa"/>
            <w:tcBorders>
              <w:top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-12,2</w:t>
            </w:r>
          </w:p>
        </w:tc>
        <w:tc>
          <w:tcPr>
            <w:tcW w:w="1016" w:type="dxa"/>
            <w:tcBorders>
              <w:top w:val="nil"/>
            </w:tcBorders>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-14,6</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Cameroun</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5,2</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2,5</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2,7</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2,8</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3,0</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-4,5</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-5,6</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République Centrafricaine</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16,0</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11,2</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7,3</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6,5</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8,2</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-13,3</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-9,5</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Congo</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31,6</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1,7</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1,5</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2,6</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4,0</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-42,1</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-39,2</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Gabon</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5,8</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4,2</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5,1</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13,1</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6,3</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-2,7</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-9,7</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Guinée Équatoriale</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0,4</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0,4</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0,9</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2,5</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2,1</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-17,4</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-25,4</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369"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Tchad</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2,6</w:t>
            </w:r>
          </w:p>
        </w:tc>
        <w:tc>
          <w:tcPr>
            <w:tcW w:w="850"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1,7</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7,7</w:t>
            </w:r>
          </w:p>
        </w:tc>
        <w:tc>
          <w:tcPr>
            <w:tcW w:w="1116"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11,2</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-15,9</w:t>
            </w:r>
          </w:p>
        </w:tc>
        <w:tc>
          <w:tcPr>
            <w:tcW w:w="10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-21,0</w:t>
            </w:r>
          </w:p>
        </w:tc>
      </w:tr>
    </w:tbl>
    <w:p w:rsidR="002F4B3C" w:rsidRPr="001C509F" w:rsidRDefault="002F4B3C" w:rsidP="002F4B3C">
      <w:pPr>
        <w:tabs>
          <w:tab w:val="left" w:pos="4339"/>
          <w:tab w:val="left" w:pos="5508"/>
          <w:tab w:val="left" w:pos="6679"/>
          <w:tab w:val="left" w:pos="7837"/>
        </w:tabs>
        <w:ind w:firstLine="357"/>
        <w:jc w:val="both"/>
        <w:rPr>
          <w:rFonts w:asciiTheme="minorHAnsi" w:hAnsiTheme="minorHAnsi"/>
          <w:i/>
          <w:sz w:val="18"/>
          <w:szCs w:val="18"/>
        </w:rPr>
      </w:pPr>
      <w:r w:rsidRPr="00704614">
        <w:rPr>
          <w:rFonts w:asciiTheme="minorHAnsi" w:hAnsiTheme="minorHAnsi"/>
          <w:i/>
          <w:sz w:val="18"/>
          <w:szCs w:val="18"/>
          <w:u w:val="single"/>
        </w:rPr>
        <w:t>Sources :</w:t>
      </w:r>
      <w:r w:rsidRPr="00C33E0F">
        <w:rPr>
          <w:rFonts w:asciiTheme="minorHAnsi" w:hAnsiTheme="minorHAnsi"/>
          <w:i/>
          <w:sz w:val="18"/>
          <w:szCs w:val="18"/>
        </w:rPr>
        <w:t xml:space="preserve"> BEAC, Administrations nationales et Commission de la CEMAC</w:t>
      </w:r>
    </w:p>
    <w:p w:rsidR="002F4B3C" w:rsidRPr="00704614" w:rsidRDefault="002F4B3C" w:rsidP="002F4B3C">
      <w:pPr>
        <w:rPr>
          <w:rFonts w:asciiTheme="minorHAnsi" w:hAnsiTheme="minorHAnsi"/>
          <w:sz w:val="18"/>
          <w:szCs w:val="18"/>
        </w:rPr>
      </w:pPr>
      <w:r w:rsidRPr="00704614">
        <w:rPr>
          <w:rFonts w:asciiTheme="minorHAnsi" w:hAnsiTheme="minorHAnsi"/>
          <w:sz w:val="18"/>
          <w:szCs w:val="18"/>
        </w:rPr>
        <w:br w:type="page"/>
      </w:r>
    </w:p>
    <w:p w:rsidR="002F4B3C" w:rsidRPr="00704614" w:rsidRDefault="00AD7D99" w:rsidP="005538AD">
      <w:pPr>
        <w:tabs>
          <w:tab w:val="left" w:pos="360"/>
        </w:tabs>
        <w:autoSpaceDE w:val="0"/>
        <w:autoSpaceDN w:val="0"/>
        <w:adjustRightInd w:val="0"/>
        <w:spacing w:before="240" w:after="120" w:line="288" w:lineRule="auto"/>
        <w:jc w:val="both"/>
        <w:rPr>
          <w:rFonts w:asciiTheme="minorHAnsi" w:hAnsiTheme="minorHAnsi"/>
          <w:b/>
          <w:color w:val="365F91" w:themeColor="accent1" w:themeShade="BF"/>
          <w:sz w:val="24"/>
          <w:szCs w:val="24"/>
        </w:rPr>
      </w:pPr>
      <w:bookmarkStart w:id="318" w:name="_Toc444335778"/>
      <w:r w:rsidRPr="00AD7D99">
        <w:rPr>
          <w:rFonts w:asciiTheme="minorHAnsi" w:hAnsiTheme="minorHAnsi"/>
          <w:b/>
          <w:color w:val="365F91" w:themeColor="accent1" w:themeShade="BF"/>
          <w:sz w:val="24"/>
          <w:szCs w:val="24"/>
        </w:rPr>
        <w:lastRenderedPageBreak/>
        <w:t>Tableau 8 : Évolution des critères complémentaires 2010-2015</w:t>
      </w:r>
      <w:bookmarkEnd w:id="318"/>
    </w:p>
    <w:tbl>
      <w:tblPr>
        <w:tblStyle w:val="Tableauclassique1"/>
        <w:tblW w:w="9595" w:type="dxa"/>
        <w:tblLook w:val="04A0" w:firstRow="1" w:lastRow="0" w:firstColumn="1" w:lastColumn="0" w:noHBand="0" w:noVBand="1"/>
      </w:tblPr>
      <w:tblGrid>
        <w:gridCol w:w="3776"/>
        <w:gridCol w:w="868"/>
        <w:gridCol w:w="851"/>
        <w:gridCol w:w="709"/>
        <w:gridCol w:w="708"/>
        <w:gridCol w:w="851"/>
        <w:gridCol w:w="916"/>
        <w:gridCol w:w="908"/>
        <w:gridCol w:w="8"/>
      </w:tblGrid>
      <w:tr w:rsidR="00AF21E1" w:rsidRPr="00704614" w:rsidTr="00AF21E1">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Libellés</w:t>
            </w:r>
          </w:p>
        </w:tc>
        <w:tc>
          <w:tcPr>
            <w:tcW w:w="868" w:type="dxa"/>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2010</w:t>
            </w:r>
          </w:p>
        </w:tc>
        <w:tc>
          <w:tcPr>
            <w:tcW w:w="851" w:type="dxa"/>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2011</w:t>
            </w:r>
          </w:p>
        </w:tc>
        <w:tc>
          <w:tcPr>
            <w:tcW w:w="709" w:type="dxa"/>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2012</w:t>
            </w:r>
          </w:p>
        </w:tc>
        <w:tc>
          <w:tcPr>
            <w:tcW w:w="708" w:type="dxa"/>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2013</w:t>
            </w:r>
          </w:p>
        </w:tc>
        <w:tc>
          <w:tcPr>
            <w:tcW w:w="851" w:type="dxa"/>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2014</w:t>
            </w:r>
          </w:p>
        </w:tc>
        <w:tc>
          <w:tcPr>
            <w:tcW w:w="916" w:type="dxa"/>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2015</w:t>
            </w:r>
          </w:p>
        </w:tc>
        <w:tc>
          <w:tcPr>
            <w:tcW w:w="916" w:type="dxa"/>
            <w:gridSpan w:val="2"/>
            <w:noWrap/>
            <w:hideMark/>
          </w:tcPr>
          <w:p w:rsidR="00AF21E1" w:rsidRPr="00704614" w:rsidRDefault="00AD7D99" w:rsidP="00AF21E1">
            <w:pPr>
              <w:ind w:firstLine="0"/>
              <w:jc w:val="right"/>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2016</w:t>
            </w:r>
          </w:p>
        </w:tc>
      </w:tr>
      <w:tr w:rsidR="00AF21E1" w:rsidRPr="00704614" w:rsidTr="00AF21E1">
        <w:trPr>
          <w:gridAfter w:val="1"/>
          <w:wAfter w:w="8" w:type="dxa"/>
          <w:trHeight w:val="260"/>
        </w:trPr>
        <w:tc>
          <w:tcPr>
            <w:cnfStyle w:val="001000000000" w:firstRow="0" w:lastRow="0" w:firstColumn="1" w:lastColumn="0" w:oddVBand="0" w:evenVBand="0" w:oddHBand="0" w:evenHBand="0" w:firstRowFirstColumn="0" w:firstRowLastColumn="0" w:lastRowFirstColumn="0" w:lastRowLastColumn="0"/>
            <w:tcW w:w="9587" w:type="dxa"/>
            <w:gridSpan w:val="8"/>
            <w:tcBorders>
              <w:top w:val="single" w:sz="4" w:space="0" w:color="auto"/>
              <w:bottom w:val="nil"/>
              <w:right w:val="nil"/>
            </w:tcBorders>
          </w:tcPr>
          <w:p w:rsidR="00AF21E1" w:rsidRPr="00704614" w:rsidRDefault="00AD7D99" w:rsidP="00AF21E1">
            <w:pPr>
              <w:ind w:firstLine="0"/>
              <w:rPr>
                <w:rFonts w:asciiTheme="minorHAnsi" w:hAnsiTheme="minorHAnsi"/>
                <w:b/>
                <w:sz w:val="20"/>
                <w:szCs w:val="20"/>
              </w:rPr>
            </w:pPr>
            <w:r w:rsidRPr="00AD7D99">
              <w:rPr>
                <w:rFonts w:asciiTheme="minorHAnsi" w:hAnsiTheme="minorHAnsi"/>
                <w:b/>
                <w:sz w:val="20"/>
                <w:szCs w:val="20"/>
              </w:rPr>
              <w:t>Solde budgétaire de base structurel (en pourcentage du PIB; critère &gt;=0)</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CEMAC</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-1,3</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-3,8</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-3,2</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-1,9</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1,0</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6,0</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5,5</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Cameroun</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1,1</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-0,4</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0,0</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-1,1</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0,3</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2,5</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-0,4</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République Centrafricaine</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-0,9</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-2,0</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0,3</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-7,5</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-5,6</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-3,5</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-3,8</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Congo</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13,7</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11,0</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5,8</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8,7</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9,5</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15,8</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10,6</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Gabon</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3,7</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1,1</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0,6</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3,2</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7,6</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7,1</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8,8</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Guinée Équatoriale</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-1,3</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-2,4</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-11,7</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-7,4</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-4,5</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7,5</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5,6</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Tchad</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-4,3</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-3,1</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-4,1</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-2,3</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3,0</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4,0</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4,3</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w:t>
            </w:r>
          </w:p>
        </w:tc>
        <w:tc>
          <w:tcPr>
            <w:tcW w:w="868"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851"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09"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08"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851"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916"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916" w:type="dxa"/>
            <w:gridSpan w:val="2"/>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AF21E1" w:rsidRPr="00704614" w:rsidTr="00AF21E1">
        <w:trPr>
          <w:gridAfter w:val="1"/>
          <w:wAfter w:w="8" w:type="dxa"/>
          <w:trHeight w:val="260"/>
        </w:trPr>
        <w:tc>
          <w:tcPr>
            <w:cnfStyle w:val="001000000000" w:firstRow="0" w:lastRow="0" w:firstColumn="1" w:lastColumn="0" w:oddVBand="0" w:evenVBand="0" w:oddHBand="0" w:evenHBand="0" w:firstRowFirstColumn="0" w:firstRowLastColumn="0" w:lastRowFirstColumn="0" w:lastRowLastColumn="0"/>
            <w:tcW w:w="9587" w:type="dxa"/>
            <w:gridSpan w:val="8"/>
            <w:tcBorders>
              <w:top w:val="nil"/>
              <w:bottom w:val="nil"/>
              <w:right w:val="nil"/>
            </w:tcBorders>
          </w:tcPr>
          <w:p w:rsidR="00AF21E1" w:rsidRPr="00704614" w:rsidRDefault="00AD7D99" w:rsidP="00AF21E1">
            <w:pPr>
              <w:ind w:firstLine="0"/>
              <w:rPr>
                <w:rFonts w:asciiTheme="minorHAnsi" w:hAnsiTheme="minorHAnsi"/>
                <w:b/>
                <w:sz w:val="20"/>
                <w:szCs w:val="20"/>
              </w:rPr>
            </w:pPr>
            <w:r w:rsidRPr="00AD7D99">
              <w:rPr>
                <w:rFonts w:asciiTheme="minorHAnsi" w:hAnsiTheme="minorHAnsi"/>
                <w:b/>
                <w:sz w:val="20"/>
                <w:szCs w:val="20"/>
              </w:rPr>
              <w:t>Solde budgétaire de base hors pétrole (en pourcentage du PIB hors pétrole; critère &gt;=0)</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CEMAC</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-13,3</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-13,8</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-16,8</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-15,0</w:t>
            </w:r>
          </w:p>
        </w:tc>
        <w:tc>
          <w:tcPr>
            <w:tcW w:w="851"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-12,6</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-10,0</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-9,8</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Cameroun</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-3,5</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-5,0</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-4,1</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-4,8</w:t>
            </w:r>
          </w:p>
        </w:tc>
        <w:tc>
          <w:tcPr>
            <w:tcW w:w="851"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-3,3</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-0,7</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-3,3</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République Centrafricaine</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-0,9</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-2,0</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0,3</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-7,5</w:t>
            </w:r>
          </w:p>
        </w:tc>
        <w:tc>
          <w:tcPr>
            <w:tcW w:w="851"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-5,6</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-3,5</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-3,8</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Congo</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-12,6</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-13,9</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-22,0</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-20,4</w:t>
            </w:r>
          </w:p>
        </w:tc>
        <w:tc>
          <w:tcPr>
            <w:tcW w:w="851"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-22,0</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-19,4</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-20,9</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Gabon</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-10,3</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-11,3</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-13,7</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-11,0</w:t>
            </w:r>
          </w:p>
        </w:tc>
        <w:tc>
          <w:tcPr>
            <w:tcW w:w="851"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-5,8</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-7,6</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-4,1</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Guinée Équatoriale</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-33,8</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-29,4</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-36,4</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-34,2</w:t>
            </w:r>
          </w:p>
        </w:tc>
        <w:tc>
          <w:tcPr>
            <w:tcW w:w="851"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-33,1</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-37,2</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-44,8</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Tchad</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-14,3</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-14,9</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-15,2</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-13,1</w:t>
            </w:r>
          </w:p>
        </w:tc>
        <w:tc>
          <w:tcPr>
            <w:tcW w:w="851" w:type="dxa"/>
            <w:noWrap/>
            <w:vAlign w:val="center"/>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-8,3</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-6,8</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-4,4</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w:t>
            </w:r>
          </w:p>
        </w:tc>
        <w:tc>
          <w:tcPr>
            <w:tcW w:w="868"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851"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09"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08"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851"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916"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916" w:type="dxa"/>
            <w:gridSpan w:val="2"/>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AF21E1" w:rsidRPr="00704614" w:rsidTr="00AF21E1">
        <w:trPr>
          <w:gridAfter w:val="1"/>
          <w:wAfter w:w="8" w:type="dxa"/>
          <w:trHeight w:val="260"/>
        </w:trPr>
        <w:tc>
          <w:tcPr>
            <w:cnfStyle w:val="001000000000" w:firstRow="0" w:lastRow="0" w:firstColumn="1" w:lastColumn="0" w:oddVBand="0" w:evenVBand="0" w:oddHBand="0" w:evenHBand="0" w:firstRowFirstColumn="0" w:firstRowLastColumn="0" w:lastRowFirstColumn="0" w:lastRowLastColumn="0"/>
            <w:tcW w:w="9587" w:type="dxa"/>
            <w:gridSpan w:val="8"/>
            <w:tcBorders>
              <w:top w:val="nil"/>
              <w:bottom w:val="nil"/>
              <w:right w:val="nil"/>
            </w:tcBorders>
          </w:tcPr>
          <w:p w:rsidR="00AF21E1" w:rsidRPr="00704614" w:rsidRDefault="00AD7D99" w:rsidP="00AF21E1">
            <w:pPr>
              <w:ind w:firstLine="0"/>
              <w:rPr>
                <w:rFonts w:asciiTheme="minorHAnsi" w:hAnsiTheme="minorHAnsi"/>
                <w:b/>
                <w:sz w:val="20"/>
                <w:szCs w:val="20"/>
              </w:rPr>
            </w:pPr>
            <w:r w:rsidRPr="00AD7D99">
              <w:rPr>
                <w:rFonts w:asciiTheme="minorHAnsi" w:hAnsiTheme="minorHAnsi"/>
                <w:b/>
                <w:sz w:val="20"/>
                <w:szCs w:val="20"/>
              </w:rPr>
              <w:t>Solde budgétaire primaire hors pétrole (en pourcentage du PIB hors pétrole; critère &gt;=0)</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CEMAC</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-16,3</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-18,1</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-17,5</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-15,9</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-13,4</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-8,9</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-6,8</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Cameroun</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-3,9</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-5,0</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-4,2</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-4,9</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-3,1</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-0,5</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-2,2</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République Centrafricaine</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-0,3</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-1,2</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AD7D99">
              <w:rPr>
                <w:rFonts w:asciiTheme="minorHAnsi" w:hAnsiTheme="minorHAnsi"/>
                <w:sz w:val="20"/>
                <w:szCs w:val="20"/>
              </w:rPr>
              <w:t>0,8</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-6,9</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-5,0</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-2,6</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-3,1</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Congo</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-11,5</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-13,8</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-21,8</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-20,2</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-21,7</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-18,9</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-20,2</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Gabon</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-9,1</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-10,4</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-11,9</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-8,3</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-4,7</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-6,0</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-1,9</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Guinée Équatoriale</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-33,5</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-29,1</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-36,1</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-33,7</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-32,5</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-36,7</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-43,3</w:t>
            </w:r>
          </w:p>
        </w:tc>
      </w:tr>
      <w:tr w:rsidR="00AF21E1" w:rsidRPr="00704614" w:rsidTr="00AF21E1">
        <w:trPr>
          <w:trHeight w:val="26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D7D99" w:rsidP="00AF21E1">
            <w:pPr>
              <w:ind w:firstLine="0"/>
              <w:rPr>
                <w:rFonts w:asciiTheme="minorHAnsi" w:hAnsiTheme="minorHAnsi"/>
                <w:sz w:val="20"/>
                <w:szCs w:val="20"/>
              </w:rPr>
            </w:pPr>
            <w:r w:rsidRPr="00AD7D99">
              <w:rPr>
                <w:rFonts w:asciiTheme="minorHAnsi" w:hAnsiTheme="minorHAnsi"/>
                <w:sz w:val="20"/>
                <w:szCs w:val="20"/>
              </w:rPr>
              <w:t xml:space="preserve">   Tchad</w:t>
            </w:r>
          </w:p>
        </w:tc>
        <w:tc>
          <w:tcPr>
            <w:tcW w:w="86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-14,0</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-14,3</w:t>
            </w:r>
          </w:p>
        </w:tc>
        <w:tc>
          <w:tcPr>
            <w:tcW w:w="709"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-14,7</w:t>
            </w:r>
          </w:p>
        </w:tc>
        <w:tc>
          <w:tcPr>
            <w:tcW w:w="708"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-12,5</w:t>
            </w:r>
          </w:p>
        </w:tc>
        <w:tc>
          <w:tcPr>
            <w:tcW w:w="851" w:type="dxa"/>
            <w:noWrap/>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-7,6</w:t>
            </w:r>
          </w:p>
        </w:tc>
        <w:tc>
          <w:tcPr>
            <w:tcW w:w="916" w:type="dxa"/>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-6,1</w:t>
            </w:r>
          </w:p>
        </w:tc>
        <w:tc>
          <w:tcPr>
            <w:tcW w:w="916" w:type="dxa"/>
            <w:gridSpan w:val="2"/>
            <w:noWrap/>
            <w:vAlign w:val="bottom"/>
            <w:hideMark/>
          </w:tcPr>
          <w:p w:rsidR="00AF21E1" w:rsidRPr="00704614" w:rsidRDefault="00AD7D99" w:rsidP="00AF21E1">
            <w:pPr>
              <w:ind w:firstLine="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9C0006"/>
                <w:sz w:val="20"/>
                <w:szCs w:val="20"/>
              </w:rPr>
            </w:pPr>
            <w:r w:rsidRPr="00AD7D99">
              <w:rPr>
                <w:rFonts w:asciiTheme="minorHAnsi" w:hAnsiTheme="minorHAnsi"/>
                <w:color w:val="9C0006"/>
                <w:sz w:val="20"/>
                <w:szCs w:val="20"/>
              </w:rPr>
              <w:t>-3,6</w:t>
            </w:r>
          </w:p>
        </w:tc>
      </w:tr>
      <w:tr w:rsidR="00AF21E1" w:rsidRPr="00704614" w:rsidTr="00BD3B9B">
        <w:trPr>
          <w:trHeight w:val="250"/>
        </w:trPr>
        <w:tc>
          <w:tcPr>
            <w:cnfStyle w:val="001000000000" w:firstRow="0" w:lastRow="0" w:firstColumn="1" w:lastColumn="0" w:oddVBand="0" w:evenVBand="0" w:oddHBand="0" w:evenHBand="0" w:firstRowFirstColumn="0" w:firstRowLastColumn="0" w:lastRowFirstColumn="0" w:lastRowLastColumn="0"/>
            <w:tcW w:w="3776" w:type="dxa"/>
            <w:noWrap/>
            <w:hideMark/>
          </w:tcPr>
          <w:p w:rsidR="00AF21E1" w:rsidRPr="00704614" w:rsidRDefault="00AF21E1" w:rsidP="00AF21E1">
            <w:pPr>
              <w:ind w:firstLine="0"/>
              <w:rPr>
                <w:rFonts w:asciiTheme="minorHAnsi" w:hAnsiTheme="minorHAnsi"/>
                <w:sz w:val="20"/>
                <w:szCs w:val="20"/>
              </w:rPr>
            </w:pPr>
          </w:p>
        </w:tc>
        <w:tc>
          <w:tcPr>
            <w:tcW w:w="868"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851"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09"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708"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851"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916" w:type="dxa"/>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916" w:type="dxa"/>
            <w:gridSpan w:val="2"/>
            <w:noWrap/>
            <w:hideMark/>
          </w:tcPr>
          <w:p w:rsidR="00AF21E1" w:rsidRPr="00704614" w:rsidRDefault="00AF21E1" w:rsidP="00AF21E1">
            <w:pPr>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bl>
    <w:p w:rsidR="002F4B3C" w:rsidRPr="00C33E0F" w:rsidRDefault="002F4B3C" w:rsidP="002F4B3C">
      <w:pPr>
        <w:pStyle w:val="Lgende"/>
        <w:jc w:val="both"/>
        <w:rPr>
          <w:rFonts w:asciiTheme="minorHAnsi" w:hAnsiTheme="minorHAnsi"/>
          <w:b w:val="0"/>
          <w:i/>
        </w:rPr>
      </w:pPr>
      <w:r w:rsidRPr="00704614">
        <w:rPr>
          <w:rFonts w:asciiTheme="minorHAnsi" w:hAnsiTheme="minorHAnsi"/>
          <w:b w:val="0"/>
          <w:i/>
          <w:u w:val="single"/>
        </w:rPr>
        <w:t>Sources :</w:t>
      </w:r>
      <w:r w:rsidRPr="00704614">
        <w:rPr>
          <w:rFonts w:asciiTheme="minorHAnsi" w:hAnsiTheme="minorHAnsi"/>
          <w:b w:val="0"/>
          <w:i/>
        </w:rPr>
        <w:t xml:space="preserve"> BEAC, Administrations nationales et Commission de la CEMAC</w:t>
      </w:r>
    </w:p>
    <w:p w:rsidR="002F4B3C" w:rsidRPr="00704614" w:rsidRDefault="002F4B3C" w:rsidP="00220E46">
      <w:pPr>
        <w:tabs>
          <w:tab w:val="left" w:pos="4613"/>
        </w:tabs>
        <w:spacing w:before="120" w:after="120"/>
        <w:rPr>
          <w:rFonts w:asciiTheme="minorHAnsi" w:hAnsiTheme="minorHAnsi"/>
          <w:b/>
          <w:bCs/>
          <w:sz w:val="24"/>
          <w:szCs w:val="24"/>
        </w:rPr>
      </w:pPr>
    </w:p>
    <w:p w:rsidR="002F4B3C" w:rsidRDefault="002F4B3C" w:rsidP="00220E46">
      <w:pPr>
        <w:tabs>
          <w:tab w:val="left" w:pos="4613"/>
        </w:tabs>
        <w:spacing w:before="120" w:after="120"/>
        <w:rPr>
          <w:rFonts w:ascii="Calibri" w:hAnsi="Calibri"/>
          <w:b/>
          <w:bCs/>
          <w:sz w:val="24"/>
          <w:szCs w:val="24"/>
        </w:rPr>
      </w:pPr>
    </w:p>
    <w:p w:rsidR="003237B8" w:rsidRDefault="003237B8">
      <w:pPr>
        <w:rPr>
          <w:rFonts w:ascii="Calibri" w:hAnsi="Calibri"/>
          <w:b/>
          <w:bCs/>
          <w:sz w:val="24"/>
          <w:szCs w:val="24"/>
        </w:rPr>
      </w:pPr>
      <w:r>
        <w:rPr>
          <w:rFonts w:ascii="Calibri" w:hAnsi="Calibri"/>
          <w:b/>
          <w:bCs/>
          <w:sz w:val="24"/>
          <w:szCs w:val="24"/>
        </w:rPr>
        <w:br w:type="page"/>
      </w:r>
    </w:p>
    <w:p w:rsidR="003237B8" w:rsidRDefault="003237B8" w:rsidP="00220E46">
      <w:pPr>
        <w:tabs>
          <w:tab w:val="left" w:pos="4613"/>
        </w:tabs>
        <w:spacing w:before="120" w:after="120"/>
        <w:rPr>
          <w:rFonts w:ascii="Calibri" w:hAnsi="Calibri"/>
          <w:b/>
          <w:bCs/>
          <w:sz w:val="24"/>
          <w:szCs w:val="24"/>
        </w:rPr>
      </w:pPr>
    </w:p>
    <w:p w:rsidR="00870020" w:rsidRPr="00415EB9" w:rsidRDefault="00870020" w:rsidP="00220E46">
      <w:pPr>
        <w:tabs>
          <w:tab w:val="left" w:pos="4613"/>
        </w:tabs>
        <w:spacing w:before="120" w:after="120"/>
        <w:rPr>
          <w:rFonts w:ascii="Calibri" w:hAnsi="Calibri"/>
          <w:b/>
          <w:bCs/>
          <w:i/>
          <w:sz w:val="24"/>
          <w:szCs w:val="24"/>
          <w:u w:val="single"/>
        </w:rPr>
      </w:pPr>
      <w:r w:rsidRPr="00415EB9">
        <w:rPr>
          <w:rFonts w:ascii="Calibri" w:hAnsi="Calibri"/>
          <w:b/>
          <w:bCs/>
          <w:sz w:val="24"/>
          <w:szCs w:val="24"/>
        </w:rPr>
        <w:t>Résultats de la surveillance multilatérale aux Comores au 31 décembre 201</w:t>
      </w:r>
      <w:r w:rsidR="00415EB9">
        <w:rPr>
          <w:rFonts w:ascii="Calibri" w:hAnsi="Calibri"/>
          <w:b/>
          <w:bCs/>
          <w:sz w:val="24"/>
          <w:szCs w:val="24"/>
        </w:rPr>
        <w:t>5</w:t>
      </w:r>
    </w:p>
    <w:tbl>
      <w:tblPr>
        <w:tblpPr w:leftFromText="141" w:rightFromText="141" w:vertAnchor="text" w:horzAnchor="margin" w:tblpY="183"/>
        <w:tblOverlap w:val="never"/>
        <w:tblW w:w="7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82"/>
        <w:gridCol w:w="1382"/>
        <w:gridCol w:w="1275"/>
        <w:gridCol w:w="1418"/>
        <w:gridCol w:w="992"/>
        <w:gridCol w:w="1002"/>
      </w:tblGrid>
      <w:tr w:rsidR="00870020" w:rsidRPr="00415EB9" w:rsidTr="00D021ED">
        <w:trPr>
          <w:cantSplit/>
          <w:trHeight w:val="20"/>
        </w:trPr>
        <w:tc>
          <w:tcPr>
            <w:tcW w:w="1382" w:type="dxa"/>
            <w:vMerge w:val="restart"/>
            <w:tcBorders>
              <w:top w:val="triple" w:sz="4" w:space="0" w:color="auto"/>
              <w:left w:val="triple" w:sz="4" w:space="0" w:color="auto"/>
            </w:tcBorders>
            <w:shd w:val="clear" w:color="auto" w:fill="FFFFFF"/>
            <w:vAlign w:val="center"/>
          </w:tcPr>
          <w:p w:rsidR="00870020" w:rsidRPr="00415EB9" w:rsidRDefault="00870020" w:rsidP="00D021ED">
            <w:pPr>
              <w:spacing w:before="120" w:after="120"/>
              <w:ind w:left="-41" w:right="-72"/>
              <w:jc w:val="center"/>
              <w:rPr>
                <w:rFonts w:ascii="Calibri" w:eastAsia="Arial Unicode MS" w:hAnsi="Calibri" w:cs="Arial"/>
                <w:b/>
                <w:bCs/>
                <w:i/>
                <w:iCs/>
                <w:sz w:val="20"/>
                <w:szCs w:val="20"/>
              </w:rPr>
            </w:pPr>
          </w:p>
        </w:tc>
        <w:tc>
          <w:tcPr>
            <w:tcW w:w="1382" w:type="dxa"/>
            <w:vMerge w:val="restart"/>
            <w:tcBorders>
              <w:top w:val="triple" w:sz="4" w:space="0" w:color="auto"/>
              <w:left w:val="triple" w:sz="4" w:space="0" w:color="auto"/>
            </w:tcBorders>
            <w:shd w:val="clear" w:color="auto" w:fill="FFFFFF"/>
            <w:vAlign w:val="center"/>
          </w:tcPr>
          <w:p w:rsidR="00870020" w:rsidRPr="00415EB9" w:rsidRDefault="00870020" w:rsidP="00D021ED">
            <w:pPr>
              <w:spacing w:before="120" w:after="120"/>
              <w:ind w:left="-41" w:right="-72"/>
              <w:jc w:val="center"/>
              <w:rPr>
                <w:rFonts w:ascii="Calibri" w:hAnsi="Calibri"/>
                <w:sz w:val="20"/>
                <w:szCs w:val="20"/>
              </w:rPr>
            </w:pPr>
            <w:r w:rsidRPr="00415EB9">
              <w:rPr>
                <w:rFonts w:ascii="Calibri" w:hAnsi="Calibri"/>
                <w:sz w:val="20"/>
                <w:szCs w:val="20"/>
              </w:rPr>
              <w:t>Solde budgétaire de base</w:t>
            </w:r>
            <w:r w:rsidR="009A564C" w:rsidRPr="00415EB9">
              <w:rPr>
                <w:rStyle w:val="Appelnotedebasdep"/>
                <w:szCs w:val="20"/>
              </w:rPr>
              <w:footnoteReference w:id="5"/>
            </w:r>
            <w:r w:rsidRPr="00415EB9">
              <w:rPr>
                <w:rFonts w:ascii="Calibri" w:hAnsi="Calibri"/>
                <w:sz w:val="20"/>
                <w:szCs w:val="20"/>
              </w:rPr>
              <w:t xml:space="preserve"> </w:t>
            </w:r>
          </w:p>
          <w:p w:rsidR="00870020" w:rsidRPr="00415EB9" w:rsidRDefault="00870020" w:rsidP="00D021ED">
            <w:pPr>
              <w:spacing w:before="120" w:after="120"/>
              <w:ind w:left="-41" w:right="-72"/>
              <w:jc w:val="center"/>
              <w:rPr>
                <w:rFonts w:ascii="Calibri" w:eastAsia="Arial Unicode MS" w:hAnsi="Calibri" w:cs="Arial"/>
                <w:b/>
                <w:bCs/>
                <w:i/>
                <w:iCs/>
                <w:sz w:val="20"/>
                <w:szCs w:val="20"/>
              </w:rPr>
            </w:pPr>
            <w:r w:rsidRPr="00415EB9">
              <w:rPr>
                <w:rFonts w:ascii="Calibri" w:hAnsi="Calibri"/>
                <w:sz w:val="20"/>
                <w:szCs w:val="20"/>
              </w:rPr>
              <w:t>(en % du PIB)</w:t>
            </w:r>
          </w:p>
        </w:tc>
        <w:tc>
          <w:tcPr>
            <w:tcW w:w="1275" w:type="dxa"/>
            <w:vMerge w:val="restart"/>
            <w:tcBorders>
              <w:top w:val="triple" w:sz="4" w:space="0" w:color="auto"/>
            </w:tcBorders>
            <w:shd w:val="clear" w:color="auto" w:fill="FFFFFF"/>
            <w:vAlign w:val="center"/>
          </w:tcPr>
          <w:p w:rsidR="00870020" w:rsidRPr="00415EB9" w:rsidRDefault="00870020" w:rsidP="00D021ED">
            <w:pPr>
              <w:spacing w:before="120" w:after="120"/>
              <w:jc w:val="center"/>
              <w:rPr>
                <w:rFonts w:ascii="Calibri" w:eastAsia="Arial Unicode MS" w:hAnsi="Calibri" w:cs="Arial"/>
                <w:b/>
                <w:bCs/>
                <w:i/>
                <w:iCs/>
                <w:sz w:val="20"/>
                <w:szCs w:val="20"/>
              </w:rPr>
            </w:pPr>
            <w:r w:rsidRPr="00415EB9">
              <w:rPr>
                <w:rFonts w:ascii="Calibri" w:hAnsi="Calibri"/>
                <w:sz w:val="20"/>
                <w:szCs w:val="20"/>
              </w:rPr>
              <w:t>Taux d’inflation annuel</w:t>
            </w:r>
          </w:p>
          <w:p w:rsidR="00870020" w:rsidRPr="00415EB9" w:rsidRDefault="00870020" w:rsidP="00D021ED">
            <w:pPr>
              <w:spacing w:before="120" w:after="120"/>
              <w:jc w:val="center"/>
              <w:rPr>
                <w:rFonts w:ascii="Calibri" w:eastAsia="Arial Unicode MS" w:hAnsi="Calibri" w:cs="Arial"/>
                <w:b/>
                <w:bCs/>
                <w:i/>
                <w:iCs/>
                <w:sz w:val="20"/>
                <w:szCs w:val="20"/>
              </w:rPr>
            </w:pPr>
            <w:r w:rsidRPr="00415EB9">
              <w:rPr>
                <w:rFonts w:ascii="Calibri" w:hAnsi="Calibri"/>
                <w:sz w:val="20"/>
                <w:szCs w:val="20"/>
              </w:rPr>
              <w:t>(en %)</w:t>
            </w:r>
          </w:p>
        </w:tc>
        <w:tc>
          <w:tcPr>
            <w:tcW w:w="1418" w:type="dxa"/>
            <w:vMerge w:val="restart"/>
            <w:tcBorders>
              <w:top w:val="triple" w:sz="4" w:space="0" w:color="auto"/>
            </w:tcBorders>
            <w:shd w:val="clear" w:color="auto" w:fill="FFFFFF"/>
            <w:vAlign w:val="center"/>
          </w:tcPr>
          <w:p w:rsidR="00870020" w:rsidRPr="00415EB9" w:rsidRDefault="00870020" w:rsidP="00D021ED">
            <w:pPr>
              <w:spacing w:before="120" w:after="120"/>
              <w:jc w:val="center"/>
              <w:rPr>
                <w:rFonts w:ascii="Calibri" w:eastAsia="Arial Unicode MS" w:hAnsi="Calibri" w:cs="Arial"/>
                <w:b/>
                <w:bCs/>
                <w:i/>
                <w:iCs/>
                <w:sz w:val="20"/>
                <w:szCs w:val="20"/>
              </w:rPr>
            </w:pPr>
            <w:r w:rsidRPr="00415EB9">
              <w:rPr>
                <w:rFonts w:ascii="Calibri" w:hAnsi="Calibri"/>
                <w:sz w:val="20"/>
                <w:szCs w:val="20"/>
              </w:rPr>
              <w:t>Encours de la dette publique intérieure</w:t>
            </w:r>
          </w:p>
          <w:p w:rsidR="00870020" w:rsidRPr="00415EB9" w:rsidRDefault="00870020" w:rsidP="00D021ED">
            <w:pPr>
              <w:spacing w:before="120" w:after="120"/>
              <w:jc w:val="center"/>
              <w:rPr>
                <w:rFonts w:ascii="Calibri" w:eastAsia="Arial Unicode MS" w:hAnsi="Calibri" w:cs="Arial"/>
                <w:b/>
                <w:bCs/>
                <w:i/>
                <w:iCs/>
                <w:sz w:val="20"/>
                <w:szCs w:val="20"/>
              </w:rPr>
            </w:pPr>
            <w:r w:rsidRPr="00415EB9">
              <w:rPr>
                <w:rFonts w:ascii="Calibri" w:hAnsi="Calibri"/>
                <w:sz w:val="20"/>
                <w:szCs w:val="20"/>
              </w:rPr>
              <w:t>et extérieure (en % du PIB)</w:t>
            </w:r>
          </w:p>
        </w:tc>
        <w:tc>
          <w:tcPr>
            <w:tcW w:w="1994" w:type="dxa"/>
            <w:gridSpan w:val="2"/>
            <w:tcBorders>
              <w:top w:val="triple" w:sz="4" w:space="0" w:color="auto"/>
              <w:right w:val="triple" w:sz="4" w:space="0" w:color="auto"/>
            </w:tcBorders>
            <w:shd w:val="clear" w:color="auto" w:fill="FFFFFF"/>
            <w:vAlign w:val="center"/>
          </w:tcPr>
          <w:p w:rsidR="00870020" w:rsidRPr="00415EB9" w:rsidRDefault="00870020" w:rsidP="00D021ED">
            <w:pPr>
              <w:spacing w:before="120" w:after="120"/>
              <w:jc w:val="center"/>
              <w:rPr>
                <w:rFonts w:ascii="Calibri" w:eastAsia="Arial Unicode MS" w:hAnsi="Calibri" w:cs="Arial"/>
                <w:b/>
                <w:bCs/>
                <w:i/>
                <w:iCs/>
                <w:sz w:val="20"/>
                <w:szCs w:val="20"/>
              </w:rPr>
            </w:pPr>
            <w:r w:rsidRPr="00415EB9">
              <w:rPr>
                <w:rFonts w:ascii="Calibri" w:hAnsi="Calibri"/>
                <w:sz w:val="20"/>
                <w:szCs w:val="20"/>
              </w:rPr>
              <w:t>Accumulation des arriérés</w:t>
            </w:r>
          </w:p>
          <w:p w:rsidR="00870020" w:rsidRPr="00415EB9" w:rsidRDefault="00870020" w:rsidP="00D021ED">
            <w:pPr>
              <w:spacing w:before="120" w:after="120"/>
              <w:jc w:val="center"/>
              <w:rPr>
                <w:rFonts w:ascii="Calibri" w:eastAsia="Arial Unicode MS" w:hAnsi="Calibri" w:cs="Arial"/>
                <w:b/>
                <w:bCs/>
                <w:i/>
                <w:iCs/>
                <w:sz w:val="20"/>
                <w:szCs w:val="20"/>
              </w:rPr>
            </w:pPr>
            <w:r w:rsidRPr="00415EB9">
              <w:rPr>
                <w:rFonts w:ascii="Calibri" w:hAnsi="Calibri"/>
                <w:sz w:val="20"/>
                <w:szCs w:val="20"/>
              </w:rPr>
              <w:t>(Mds de FC)</w:t>
            </w:r>
          </w:p>
        </w:tc>
      </w:tr>
      <w:tr w:rsidR="00870020" w:rsidRPr="00415EB9" w:rsidTr="00D021ED">
        <w:trPr>
          <w:cantSplit/>
          <w:trHeight w:val="269"/>
        </w:trPr>
        <w:tc>
          <w:tcPr>
            <w:tcW w:w="1382" w:type="dxa"/>
            <w:vMerge/>
            <w:tcBorders>
              <w:left w:val="triple" w:sz="4" w:space="0" w:color="auto"/>
            </w:tcBorders>
            <w:shd w:val="clear" w:color="auto" w:fill="FFFFFF"/>
            <w:vAlign w:val="center"/>
          </w:tcPr>
          <w:p w:rsidR="00870020" w:rsidRPr="00415EB9" w:rsidRDefault="00870020" w:rsidP="00D021ED">
            <w:pPr>
              <w:spacing w:before="120" w:after="120"/>
              <w:jc w:val="center"/>
              <w:rPr>
                <w:rFonts w:ascii="Calibri" w:hAnsi="Calibri"/>
                <w:sz w:val="20"/>
                <w:szCs w:val="20"/>
              </w:rPr>
            </w:pPr>
          </w:p>
        </w:tc>
        <w:tc>
          <w:tcPr>
            <w:tcW w:w="1382" w:type="dxa"/>
            <w:vMerge/>
            <w:tcBorders>
              <w:left w:val="triple" w:sz="4" w:space="0" w:color="auto"/>
            </w:tcBorders>
            <w:shd w:val="clear" w:color="auto" w:fill="FFFFFF"/>
            <w:vAlign w:val="center"/>
          </w:tcPr>
          <w:p w:rsidR="00870020" w:rsidRPr="00415EB9" w:rsidRDefault="00870020" w:rsidP="00D021ED">
            <w:pPr>
              <w:spacing w:before="120" w:after="120"/>
              <w:jc w:val="center"/>
              <w:rPr>
                <w:rFonts w:ascii="Calibri" w:hAnsi="Calibri"/>
                <w:sz w:val="20"/>
                <w:szCs w:val="20"/>
              </w:rPr>
            </w:pPr>
          </w:p>
        </w:tc>
        <w:tc>
          <w:tcPr>
            <w:tcW w:w="1275" w:type="dxa"/>
            <w:vMerge/>
            <w:shd w:val="clear" w:color="auto" w:fill="FFFFFF"/>
            <w:vAlign w:val="center"/>
          </w:tcPr>
          <w:p w:rsidR="00870020" w:rsidRPr="00415EB9" w:rsidRDefault="00870020" w:rsidP="00D021ED">
            <w:pPr>
              <w:spacing w:before="120" w:after="120"/>
              <w:jc w:val="center"/>
              <w:rPr>
                <w:rFonts w:ascii="Calibri" w:hAnsi="Calibri"/>
                <w:sz w:val="20"/>
                <w:szCs w:val="20"/>
              </w:rPr>
            </w:pPr>
          </w:p>
        </w:tc>
        <w:tc>
          <w:tcPr>
            <w:tcW w:w="1418" w:type="dxa"/>
            <w:vMerge/>
            <w:shd w:val="clear" w:color="auto" w:fill="FFFFFF"/>
            <w:vAlign w:val="center"/>
          </w:tcPr>
          <w:p w:rsidR="00870020" w:rsidRPr="00415EB9" w:rsidRDefault="00870020" w:rsidP="00D021ED">
            <w:pPr>
              <w:spacing w:before="120" w:after="120"/>
              <w:jc w:val="center"/>
              <w:rPr>
                <w:rFonts w:ascii="Calibri" w:hAnsi="Calibri"/>
                <w:sz w:val="20"/>
                <w:szCs w:val="20"/>
              </w:rPr>
            </w:pPr>
          </w:p>
        </w:tc>
        <w:tc>
          <w:tcPr>
            <w:tcW w:w="992" w:type="dxa"/>
            <w:shd w:val="clear" w:color="auto" w:fill="FFFFFF"/>
            <w:vAlign w:val="center"/>
          </w:tcPr>
          <w:p w:rsidR="00870020" w:rsidRPr="00415EB9" w:rsidRDefault="00870020" w:rsidP="00D021ED">
            <w:pPr>
              <w:spacing w:before="120" w:after="120"/>
              <w:ind w:left="-180" w:right="-50"/>
              <w:jc w:val="center"/>
              <w:rPr>
                <w:rFonts w:ascii="Calibri" w:eastAsia="Arial Unicode MS" w:hAnsi="Calibri" w:cs="Arial"/>
                <w:b/>
                <w:bCs/>
                <w:i/>
                <w:iCs/>
                <w:sz w:val="20"/>
                <w:szCs w:val="20"/>
              </w:rPr>
            </w:pPr>
            <w:r w:rsidRPr="00415EB9">
              <w:rPr>
                <w:rFonts w:ascii="Calibri" w:hAnsi="Calibri"/>
                <w:sz w:val="20"/>
                <w:szCs w:val="20"/>
              </w:rPr>
              <w:t>Extérieurs</w:t>
            </w:r>
          </w:p>
        </w:tc>
        <w:tc>
          <w:tcPr>
            <w:tcW w:w="1002" w:type="dxa"/>
            <w:tcBorders>
              <w:right w:val="triple" w:sz="4" w:space="0" w:color="auto"/>
            </w:tcBorders>
            <w:shd w:val="clear" w:color="auto" w:fill="FFFFFF"/>
            <w:vAlign w:val="center"/>
          </w:tcPr>
          <w:p w:rsidR="00870020" w:rsidRPr="00415EB9" w:rsidRDefault="00870020" w:rsidP="00D021ED">
            <w:pPr>
              <w:spacing w:before="120" w:after="120"/>
              <w:ind w:left="-90"/>
              <w:jc w:val="center"/>
              <w:rPr>
                <w:rFonts w:ascii="Calibri" w:eastAsia="Arial Unicode MS" w:hAnsi="Calibri" w:cs="Arial"/>
                <w:b/>
                <w:bCs/>
                <w:i/>
                <w:iCs/>
                <w:sz w:val="20"/>
                <w:szCs w:val="20"/>
              </w:rPr>
            </w:pPr>
            <w:r w:rsidRPr="00415EB9">
              <w:rPr>
                <w:rFonts w:ascii="Calibri" w:hAnsi="Calibri"/>
                <w:sz w:val="20"/>
                <w:szCs w:val="20"/>
              </w:rPr>
              <w:t>Intérieurs</w:t>
            </w:r>
          </w:p>
        </w:tc>
      </w:tr>
      <w:tr w:rsidR="00870020" w:rsidRPr="00415EB9" w:rsidTr="00415EB9">
        <w:trPr>
          <w:cantSplit/>
          <w:trHeight w:val="269"/>
        </w:trPr>
        <w:tc>
          <w:tcPr>
            <w:tcW w:w="1382" w:type="dxa"/>
            <w:tcBorders>
              <w:left w:val="triple" w:sz="4" w:space="0" w:color="auto"/>
              <w:bottom w:val="triple" w:sz="4" w:space="0" w:color="auto"/>
            </w:tcBorders>
            <w:shd w:val="clear" w:color="auto" w:fill="FFFFFF"/>
            <w:vAlign w:val="center"/>
          </w:tcPr>
          <w:p w:rsidR="00870020" w:rsidRPr="00415EB9" w:rsidRDefault="00870020" w:rsidP="00D021ED">
            <w:pPr>
              <w:spacing w:before="120" w:after="120"/>
              <w:jc w:val="center"/>
              <w:rPr>
                <w:rFonts w:ascii="Calibri" w:hAnsi="Calibri"/>
                <w:sz w:val="20"/>
                <w:szCs w:val="20"/>
              </w:rPr>
            </w:pPr>
          </w:p>
        </w:tc>
        <w:tc>
          <w:tcPr>
            <w:tcW w:w="1382" w:type="dxa"/>
            <w:tcBorders>
              <w:left w:val="triple" w:sz="4" w:space="0" w:color="auto"/>
              <w:bottom w:val="triple" w:sz="4" w:space="0" w:color="auto"/>
            </w:tcBorders>
            <w:shd w:val="clear" w:color="auto" w:fill="FFFFFF" w:themeFill="background1"/>
            <w:vAlign w:val="center"/>
          </w:tcPr>
          <w:p w:rsidR="00870020" w:rsidRPr="00415EB9" w:rsidRDefault="00870020" w:rsidP="00415EB9">
            <w:pPr>
              <w:spacing w:before="120" w:after="120"/>
              <w:jc w:val="center"/>
              <w:rPr>
                <w:rFonts w:ascii="Calibri" w:hAnsi="Calibri"/>
                <w:sz w:val="20"/>
                <w:szCs w:val="20"/>
              </w:rPr>
            </w:pPr>
            <w:r w:rsidRPr="00415EB9">
              <w:rPr>
                <w:rFonts w:ascii="Calibri" w:hAnsi="Calibri"/>
                <w:sz w:val="20"/>
                <w:szCs w:val="20"/>
              </w:rPr>
              <w:t>-</w:t>
            </w:r>
            <w:r w:rsidR="00415EB9">
              <w:rPr>
                <w:rFonts w:ascii="Calibri" w:hAnsi="Calibri"/>
                <w:sz w:val="20"/>
                <w:szCs w:val="20"/>
              </w:rPr>
              <w:t>1</w:t>
            </w:r>
            <w:r w:rsidRPr="00415EB9">
              <w:rPr>
                <w:rFonts w:ascii="Calibri" w:hAnsi="Calibri"/>
                <w:sz w:val="20"/>
                <w:szCs w:val="20"/>
              </w:rPr>
              <w:t>,</w:t>
            </w:r>
            <w:r w:rsidR="00415EB9">
              <w:rPr>
                <w:rFonts w:ascii="Calibri" w:hAnsi="Calibri"/>
                <w:sz w:val="20"/>
                <w:szCs w:val="20"/>
              </w:rPr>
              <w:t>5</w:t>
            </w:r>
          </w:p>
        </w:tc>
        <w:tc>
          <w:tcPr>
            <w:tcW w:w="1275" w:type="dxa"/>
            <w:tcBorders>
              <w:bottom w:val="triple" w:sz="4" w:space="0" w:color="auto"/>
            </w:tcBorders>
            <w:shd w:val="clear" w:color="auto" w:fill="D6E3BC" w:themeFill="accent3" w:themeFillTint="66"/>
            <w:vAlign w:val="center"/>
          </w:tcPr>
          <w:p w:rsidR="00870020" w:rsidRPr="00415EB9" w:rsidRDefault="00870020" w:rsidP="00415EB9">
            <w:pPr>
              <w:spacing w:before="120" w:after="120"/>
              <w:jc w:val="center"/>
              <w:rPr>
                <w:rFonts w:ascii="Calibri" w:hAnsi="Calibri"/>
                <w:sz w:val="20"/>
                <w:szCs w:val="20"/>
              </w:rPr>
            </w:pPr>
            <w:r w:rsidRPr="00415EB9">
              <w:rPr>
                <w:rFonts w:ascii="Calibri" w:hAnsi="Calibri"/>
                <w:sz w:val="20"/>
                <w:szCs w:val="20"/>
              </w:rPr>
              <w:t>1,</w:t>
            </w:r>
            <w:r w:rsidR="00415EB9">
              <w:rPr>
                <w:rFonts w:ascii="Calibri" w:hAnsi="Calibri"/>
                <w:sz w:val="20"/>
                <w:szCs w:val="20"/>
              </w:rPr>
              <w:t>3</w:t>
            </w:r>
          </w:p>
        </w:tc>
        <w:tc>
          <w:tcPr>
            <w:tcW w:w="1418" w:type="dxa"/>
            <w:tcBorders>
              <w:bottom w:val="triple" w:sz="4" w:space="0" w:color="auto"/>
            </w:tcBorders>
            <w:shd w:val="clear" w:color="auto" w:fill="D6E3BC" w:themeFill="accent3" w:themeFillTint="66"/>
            <w:vAlign w:val="center"/>
          </w:tcPr>
          <w:p w:rsidR="00870020" w:rsidRPr="00415EB9" w:rsidRDefault="00870020" w:rsidP="00415EB9">
            <w:pPr>
              <w:spacing w:before="120" w:after="120"/>
              <w:jc w:val="center"/>
              <w:rPr>
                <w:rFonts w:ascii="Calibri" w:hAnsi="Calibri"/>
                <w:sz w:val="20"/>
                <w:szCs w:val="20"/>
              </w:rPr>
            </w:pPr>
            <w:r w:rsidRPr="00415EB9">
              <w:rPr>
                <w:rFonts w:ascii="Calibri" w:hAnsi="Calibri"/>
                <w:sz w:val="20"/>
                <w:szCs w:val="20"/>
              </w:rPr>
              <w:t>2</w:t>
            </w:r>
            <w:r w:rsidR="00415EB9">
              <w:rPr>
                <w:rFonts w:ascii="Calibri" w:hAnsi="Calibri"/>
                <w:sz w:val="20"/>
                <w:szCs w:val="20"/>
              </w:rPr>
              <w:t>1</w:t>
            </w:r>
            <w:r w:rsidRPr="00415EB9">
              <w:rPr>
                <w:rFonts w:ascii="Calibri" w:hAnsi="Calibri"/>
                <w:sz w:val="20"/>
                <w:szCs w:val="20"/>
              </w:rPr>
              <w:t>,3</w:t>
            </w:r>
          </w:p>
        </w:tc>
        <w:tc>
          <w:tcPr>
            <w:tcW w:w="992" w:type="dxa"/>
            <w:tcBorders>
              <w:bottom w:val="triple" w:sz="4" w:space="0" w:color="auto"/>
            </w:tcBorders>
            <w:shd w:val="clear" w:color="auto" w:fill="D6E3BC" w:themeFill="accent3" w:themeFillTint="66"/>
            <w:vAlign w:val="center"/>
          </w:tcPr>
          <w:p w:rsidR="00870020" w:rsidRPr="00415EB9" w:rsidRDefault="00415EB9" w:rsidP="00D021ED">
            <w:pPr>
              <w:spacing w:before="120" w:after="120"/>
              <w:ind w:left="-180" w:right="-50"/>
              <w:jc w:val="center"/>
              <w:rPr>
                <w:rFonts w:ascii="Calibri" w:hAnsi="Calibri"/>
                <w:sz w:val="20"/>
                <w:szCs w:val="20"/>
              </w:rPr>
            </w:pPr>
            <w:r>
              <w:rPr>
                <w:rFonts w:ascii="Calibri" w:hAnsi="Calibri"/>
                <w:sz w:val="20"/>
                <w:szCs w:val="20"/>
              </w:rPr>
              <w:t>0</w:t>
            </w:r>
          </w:p>
        </w:tc>
        <w:tc>
          <w:tcPr>
            <w:tcW w:w="1002" w:type="dxa"/>
            <w:tcBorders>
              <w:bottom w:val="triple" w:sz="4" w:space="0" w:color="auto"/>
              <w:right w:val="triple" w:sz="4" w:space="0" w:color="auto"/>
            </w:tcBorders>
            <w:shd w:val="clear" w:color="auto" w:fill="D6E3BC" w:themeFill="accent3" w:themeFillTint="66"/>
            <w:vAlign w:val="center"/>
          </w:tcPr>
          <w:p w:rsidR="00870020" w:rsidRPr="00415EB9" w:rsidRDefault="00415EB9" w:rsidP="00870020">
            <w:pPr>
              <w:spacing w:before="120" w:after="120"/>
              <w:ind w:left="-90"/>
              <w:jc w:val="center"/>
              <w:rPr>
                <w:rFonts w:ascii="Calibri" w:hAnsi="Calibri"/>
                <w:sz w:val="20"/>
                <w:szCs w:val="20"/>
              </w:rPr>
            </w:pPr>
            <w:r>
              <w:rPr>
                <w:rFonts w:ascii="Calibri" w:hAnsi="Calibri"/>
                <w:sz w:val="20"/>
                <w:szCs w:val="20"/>
              </w:rPr>
              <w:t>0</w:t>
            </w:r>
          </w:p>
        </w:tc>
      </w:tr>
    </w:tbl>
    <w:p w:rsidR="00870020" w:rsidRPr="00415EB9" w:rsidRDefault="00870020" w:rsidP="00870020">
      <w:pPr>
        <w:pStyle w:val="Paragraphedeliste"/>
        <w:spacing w:before="120" w:after="120"/>
        <w:ind w:left="720"/>
        <w:jc w:val="both"/>
        <w:rPr>
          <w:rFonts w:asciiTheme="minorHAnsi" w:hAnsiTheme="minorHAnsi"/>
          <w:sz w:val="20"/>
          <w:szCs w:val="20"/>
        </w:rPr>
      </w:pPr>
      <w:r w:rsidRPr="00415EB9">
        <w:rPr>
          <w:rFonts w:ascii="Calibri" w:hAnsi="Calibri"/>
          <w:sz w:val="20"/>
          <w:szCs w:val="20"/>
        </w:rPr>
        <w:t xml:space="preserve"> </w:t>
      </w:r>
    </w:p>
    <w:p w:rsidR="00870020" w:rsidRPr="00415EB9" w:rsidRDefault="00870020" w:rsidP="00870020">
      <w:pPr>
        <w:spacing w:before="120" w:after="120"/>
        <w:jc w:val="both"/>
        <w:rPr>
          <w:rFonts w:ascii="Calibri" w:hAnsi="Calibri" w:cs="Arial"/>
          <w:sz w:val="24"/>
          <w:szCs w:val="24"/>
        </w:rPr>
      </w:pPr>
    </w:p>
    <w:p w:rsidR="00870020" w:rsidRPr="00415EB9" w:rsidRDefault="00870020" w:rsidP="00870020">
      <w:pPr>
        <w:spacing w:before="120" w:after="120"/>
        <w:jc w:val="both"/>
        <w:rPr>
          <w:rFonts w:ascii="Calibri" w:hAnsi="Calibri" w:cs="Arial"/>
          <w:sz w:val="24"/>
          <w:szCs w:val="24"/>
        </w:rPr>
      </w:pPr>
    </w:p>
    <w:p w:rsidR="00870020" w:rsidRPr="00415EB9" w:rsidRDefault="00870020" w:rsidP="00870020">
      <w:pPr>
        <w:spacing w:before="120" w:after="120"/>
        <w:jc w:val="both"/>
        <w:rPr>
          <w:rFonts w:ascii="Calibri" w:hAnsi="Calibri" w:cs="Arial"/>
          <w:sz w:val="24"/>
          <w:szCs w:val="24"/>
        </w:rPr>
      </w:pPr>
    </w:p>
    <w:p w:rsidR="00870020" w:rsidRPr="00415EB9" w:rsidRDefault="00870020" w:rsidP="00870020">
      <w:pPr>
        <w:spacing w:before="120" w:after="120"/>
        <w:jc w:val="both"/>
        <w:rPr>
          <w:rFonts w:ascii="Calibri" w:hAnsi="Calibri" w:cs="Arial"/>
          <w:sz w:val="24"/>
          <w:szCs w:val="24"/>
        </w:rPr>
      </w:pPr>
    </w:p>
    <w:p w:rsidR="00870020" w:rsidRPr="00415EB9" w:rsidRDefault="00870020" w:rsidP="00870020">
      <w:pPr>
        <w:spacing w:before="120" w:after="120"/>
        <w:jc w:val="both"/>
        <w:rPr>
          <w:rFonts w:ascii="Calibri" w:hAnsi="Calibri" w:cs="Arial"/>
          <w:sz w:val="24"/>
          <w:szCs w:val="24"/>
        </w:rPr>
      </w:pPr>
    </w:p>
    <w:p w:rsidR="00870020" w:rsidRPr="00415EB9" w:rsidRDefault="00870020" w:rsidP="00870020">
      <w:pPr>
        <w:spacing w:before="120" w:after="120"/>
        <w:jc w:val="both"/>
        <w:rPr>
          <w:rFonts w:ascii="Calibri" w:hAnsi="Calibri" w:cs="Arial"/>
          <w:sz w:val="24"/>
          <w:szCs w:val="24"/>
        </w:rPr>
      </w:pPr>
    </w:p>
    <w:p w:rsidR="00415EB9" w:rsidRPr="00415EB9" w:rsidRDefault="00415EB9" w:rsidP="00415EB9">
      <w:pPr>
        <w:jc w:val="both"/>
        <w:rPr>
          <w:rFonts w:asciiTheme="minorHAnsi" w:hAnsiTheme="minorHAnsi" w:cstheme="minorHAnsi"/>
          <w:sz w:val="24"/>
          <w:szCs w:val="24"/>
        </w:rPr>
      </w:pPr>
      <w:r w:rsidRPr="00415EB9">
        <w:rPr>
          <w:rFonts w:asciiTheme="minorHAnsi" w:hAnsiTheme="minorHAnsi" w:cstheme="minorHAnsi"/>
          <w:sz w:val="24"/>
          <w:szCs w:val="24"/>
        </w:rPr>
        <w:t xml:space="preserve">À fin 2015, les 4 </w:t>
      </w:r>
      <w:r w:rsidRPr="00415EB9">
        <w:rPr>
          <w:rFonts w:asciiTheme="minorHAnsi" w:hAnsiTheme="minorHAnsi" w:cstheme="minorHAnsi"/>
          <w:b/>
          <w:bCs/>
          <w:sz w:val="24"/>
          <w:szCs w:val="24"/>
        </w:rPr>
        <w:t>critères de 1</w:t>
      </w:r>
      <w:r w:rsidRPr="00415EB9">
        <w:rPr>
          <w:rFonts w:asciiTheme="minorHAnsi" w:hAnsiTheme="minorHAnsi" w:cstheme="minorHAnsi"/>
          <w:b/>
          <w:bCs/>
          <w:sz w:val="24"/>
          <w:szCs w:val="24"/>
          <w:vertAlign w:val="superscript"/>
        </w:rPr>
        <w:t>er</w:t>
      </w:r>
      <w:r w:rsidRPr="00415EB9">
        <w:rPr>
          <w:rFonts w:asciiTheme="minorHAnsi" w:hAnsiTheme="minorHAnsi" w:cstheme="minorHAnsi"/>
          <w:b/>
          <w:bCs/>
          <w:sz w:val="24"/>
          <w:szCs w:val="24"/>
        </w:rPr>
        <w:t xml:space="preserve"> rang</w:t>
      </w:r>
      <w:r w:rsidRPr="00415EB9">
        <w:rPr>
          <w:rFonts w:asciiTheme="minorHAnsi" w:hAnsiTheme="minorHAnsi" w:cstheme="minorHAnsi"/>
          <w:sz w:val="24"/>
          <w:szCs w:val="24"/>
        </w:rPr>
        <w:t xml:space="preserve"> ont évolué comme suit : </w:t>
      </w:r>
    </w:p>
    <w:p w:rsidR="00415EB9" w:rsidRPr="00415EB9" w:rsidRDefault="00415EB9" w:rsidP="00C45F9E">
      <w:pPr>
        <w:widowControl w:val="0"/>
        <w:numPr>
          <w:ilvl w:val="0"/>
          <w:numId w:val="11"/>
        </w:numPr>
        <w:autoSpaceDE w:val="0"/>
        <w:autoSpaceDN w:val="0"/>
        <w:adjustRightInd w:val="0"/>
        <w:spacing w:before="60"/>
        <w:ind w:left="357" w:hanging="357"/>
        <w:jc w:val="both"/>
        <w:rPr>
          <w:rFonts w:asciiTheme="minorHAnsi" w:hAnsiTheme="minorHAnsi" w:cstheme="minorHAnsi"/>
          <w:sz w:val="24"/>
          <w:szCs w:val="24"/>
        </w:rPr>
      </w:pPr>
      <w:r w:rsidRPr="00415EB9">
        <w:rPr>
          <w:rFonts w:asciiTheme="minorHAnsi" w:hAnsiTheme="minorHAnsi" w:cstheme="minorHAnsi"/>
          <w:b/>
          <w:bCs/>
          <w:sz w:val="24"/>
          <w:szCs w:val="24"/>
        </w:rPr>
        <w:t>le solde budgétaire de base</w:t>
      </w:r>
      <w:r w:rsidRPr="00415EB9">
        <w:rPr>
          <w:rFonts w:asciiTheme="minorHAnsi" w:hAnsiTheme="minorHAnsi" w:cstheme="minorHAnsi"/>
          <w:sz w:val="24"/>
          <w:szCs w:val="24"/>
        </w:rPr>
        <w:t xml:space="preserve"> rapporté au PIB s’est amélioré, le déficit s’établissant à 1,5% du PIB après des déficits de 2,2% en 2014 et de 1,9% en 2013 (norme &gt;=0%) ;</w:t>
      </w:r>
    </w:p>
    <w:p w:rsidR="00415EB9" w:rsidRPr="00415EB9" w:rsidRDefault="00415EB9" w:rsidP="00C45F9E">
      <w:pPr>
        <w:widowControl w:val="0"/>
        <w:numPr>
          <w:ilvl w:val="0"/>
          <w:numId w:val="11"/>
        </w:numPr>
        <w:autoSpaceDE w:val="0"/>
        <w:autoSpaceDN w:val="0"/>
        <w:adjustRightInd w:val="0"/>
        <w:spacing w:before="60"/>
        <w:ind w:left="357" w:hanging="357"/>
        <w:jc w:val="both"/>
        <w:outlineLvl w:val="1"/>
        <w:rPr>
          <w:rFonts w:asciiTheme="minorHAnsi" w:hAnsiTheme="minorHAnsi" w:cstheme="minorHAnsi"/>
          <w:b/>
          <w:bCs/>
          <w:sz w:val="24"/>
          <w:szCs w:val="24"/>
        </w:rPr>
      </w:pPr>
      <w:bookmarkStart w:id="319" w:name="_Toc444614019"/>
      <w:r w:rsidRPr="00415EB9">
        <w:rPr>
          <w:rFonts w:asciiTheme="minorHAnsi" w:hAnsiTheme="minorHAnsi" w:cstheme="minorHAnsi"/>
          <w:b/>
          <w:bCs/>
          <w:sz w:val="24"/>
          <w:szCs w:val="24"/>
        </w:rPr>
        <w:t xml:space="preserve">le taux d’inflation moyen </w:t>
      </w:r>
      <w:r w:rsidRPr="00415EB9">
        <w:rPr>
          <w:rFonts w:asciiTheme="minorHAnsi" w:hAnsiTheme="minorHAnsi" w:cstheme="minorHAnsi"/>
          <w:sz w:val="24"/>
          <w:szCs w:val="24"/>
        </w:rPr>
        <w:t>est estimé à 1,3% contre des taux de 1,5% en 2014 et de 1,6% en 2013 (norme &lt;= 3%) ;</w:t>
      </w:r>
      <w:bookmarkEnd w:id="319"/>
    </w:p>
    <w:p w:rsidR="00415EB9" w:rsidRPr="00415EB9" w:rsidRDefault="00415EB9" w:rsidP="00C45F9E">
      <w:pPr>
        <w:widowControl w:val="0"/>
        <w:numPr>
          <w:ilvl w:val="0"/>
          <w:numId w:val="11"/>
        </w:numPr>
        <w:autoSpaceDE w:val="0"/>
        <w:autoSpaceDN w:val="0"/>
        <w:adjustRightInd w:val="0"/>
        <w:spacing w:before="60"/>
        <w:ind w:left="357" w:hanging="357"/>
        <w:jc w:val="both"/>
        <w:outlineLvl w:val="1"/>
        <w:rPr>
          <w:rFonts w:asciiTheme="minorHAnsi" w:hAnsiTheme="minorHAnsi" w:cstheme="minorHAnsi"/>
          <w:b/>
          <w:bCs/>
          <w:sz w:val="24"/>
          <w:szCs w:val="24"/>
        </w:rPr>
      </w:pPr>
      <w:bookmarkStart w:id="320" w:name="_Toc444614020"/>
      <w:r w:rsidRPr="00415EB9">
        <w:rPr>
          <w:rFonts w:asciiTheme="minorHAnsi" w:hAnsiTheme="minorHAnsi" w:cstheme="minorHAnsi"/>
          <w:b/>
          <w:bCs/>
          <w:sz w:val="24"/>
          <w:szCs w:val="24"/>
        </w:rPr>
        <w:t>l’encours de la dette publique</w:t>
      </w:r>
      <w:r w:rsidRPr="00415EB9">
        <w:rPr>
          <w:rFonts w:asciiTheme="minorHAnsi" w:hAnsiTheme="minorHAnsi" w:cstheme="minorHAnsi"/>
          <w:sz w:val="24"/>
          <w:szCs w:val="24"/>
        </w:rPr>
        <w:t xml:space="preserve"> représente 21,3% du PIB après 25,9% en 2014 et 26,3% en 2013 (norme&lt;=70%) ;</w:t>
      </w:r>
      <w:bookmarkEnd w:id="320"/>
      <w:r w:rsidRPr="00415EB9">
        <w:rPr>
          <w:rFonts w:asciiTheme="minorHAnsi" w:hAnsiTheme="minorHAnsi" w:cstheme="minorHAnsi"/>
          <w:sz w:val="24"/>
          <w:szCs w:val="24"/>
        </w:rPr>
        <w:t xml:space="preserve"> </w:t>
      </w:r>
    </w:p>
    <w:p w:rsidR="00415EB9" w:rsidRPr="00415EB9" w:rsidRDefault="00415EB9" w:rsidP="00C45F9E">
      <w:pPr>
        <w:widowControl w:val="0"/>
        <w:numPr>
          <w:ilvl w:val="0"/>
          <w:numId w:val="11"/>
        </w:numPr>
        <w:autoSpaceDE w:val="0"/>
        <w:autoSpaceDN w:val="0"/>
        <w:adjustRightInd w:val="0"/>
        <w:spacing w:before="60"/>
        <w:ind w:left="357" w:hanging="357"/>
        <w:jc w:val="both"/>
        <w:outlineLvl w:val="1"/>
        <w:rPr>
          <w:rFonts w:asciiTheme="minorHAnsi" w:hAnsiTheme="minorHAnsi" w:cstheme="minorHAnsi"/>
          <w:b/>
          <w:bCs/>
          <w:sz w:val="24"/>
          <w:szCs w:val="24"/>
        </w:rPr>
      </w:pPr>
      <w:bookmarkStart w:id="321" w:name="_Toc444614021"/>
      <w:r w:rsidRPr="00415EB9">
        <w:rPr>
          <w:rFonts w:asciiTheme="minorHAnsi" w:hAnsiTheme="minorHAnsi" w:cstheme="minorHAnsi"/>
          <w:b/>
          <w:bCs/>
          <w:sz w:val="24"/>
          <w:szCs w:val="24"/>
        </w:rPr>
        <w:t>aucune accumulation d’arriérés n’a été enregistrée en fin d’année</w:t>
      </w:r>
      <w:r w:rsidRPr="00415EB9">
        <w:rPr>
          <w:rFonts w:asciiTheme="minorHAnsi" w:hAnsiTheme="minorHAnsi" w:cstheme="minorHAnsi"/>
          <w:bCs/>
          <w:sz w:val="24"/>
          <w:szCs w:val="24"/>
        </w:rPr>
        <w:t>.</w:t>
      </w:r>
      <w:bookmarkEnd w:id="321"/>
    </w:p>
    <w:p w:rsidR="00415EB9" w:rsidRPr="00415EB9" w:rsidRDefault="00415EB9" w:rsidP="00415EB9">
      <w:pPr>
        <w:keepNext/>
        <w:widowControl w:val="0"/>
        <w:autoSpaceDE w:val="0"/>
        <w:autoSpaceDN w:val="0"/>
        <w:adjustRightInd w:val="0"/>
        <w:spacing w:before="240"/>
        <w:jc w:val="both"/>
        <w:outlineLvl w:val="1"/>
        <w:rPr>
          <w:rFonts w:asciiTheme="minorHAnsi" w:hAnsiTheme="minorHAnsi" w:cstheme="minorHAnsi"/>
          <w:b/>
          <w:bCs/>
          <w:i/>
          <w:sz w:val="24"/>
          <w:szCs w:val="24"/>
          <w:u w:val="single"/>
        </w:rPr>
      </w:pPr>
      <w:bookmarkStart w:id="322" w:name="_Toc444614022"/>
      <w:r w:rsidRPr="00415EB9">
        <w:rPr>
          <w:rFonts w:asciiTheme="minorHAnsi" w:hAnsiTheme="minorHAnsi" w:cstheme="minorHAnsi"/>
          <w:b/>
          <w:bCs/>
          <w:i/>
          <w:sz w:val="24"/>
          <w:szCs w:val="24"/>
          <w:u w:val="single"/>
        </w:rPr>
        <w:t>Les autres critères</w:t>
      </w:r>
      <w:bookmarkEnd w:id="322"/>
    </w:p>
    <w:p w:rsidR="00415EB9" w:rsidRPr="00415EB9" w:rsidRDefault="00415EB9" w:rsidP="00415EB9">
      <w:pPr>
        <w:widowControl w:val="0"/>
        <w:autoSpaceDE w:val="0"/>
        <w:autoSpaceDN w:val="0"/>
        <w:adjustRightInd w:val="0"/>
        <w:spacing w:before="60"/>
        <w:ind w:left="360"/>
        <w:jc w:val="both"/>
        <w:rPr>
          <w:rFonts w:asciiTheme="minorHAnsi" w:hAnsiTheme="minorHAnsi" w:cstheme="minorHAnsi"/>
          <w:sz w:val="24"/>
          <w:szCs w:val="24"/>
        </w:rPr>
      </w:pPr>
      <w:r w:rsidRPr="00415EB9">
        <w:rPr>
          <w:rFonts w:asciiTheme="minorHAnsi" w:hAnsiTheme="minorHAnsi" w:cstheme="minorHAnsi"/>
          <w:b/>
          <w:bCs/>
          <w:sz w:val="24"/>
          <w:szCs w:val="24"/>
        </w:rPr>
        <w:t>Le taux de couverture extérieure de la monnaie</w:t>
      </w:r>
      <w:r w:rsidRPr="00415EB9">
        <w:rPr>
          <w:rFonts w:asciiTheme="minorHAnsi" w:hAnsiTheme="minorHAnsi" w:cstheme="minorHAnsi"/>
          <w:bCs/>
          <w:sz w:val="24"/>
          <w:szCs w:val="24"/>
        </w:rPr>
        <w:t xml:space="preserve"> s’est amélioré, s’établissant à 69,8% contre 59,3% en 2014 et 62,9% en 2013</w:t>
      </w:r>
      <w:r w:rsidRPr="00415EB9">
        <w:rPr>
          <w:rFonts w:asciiTheme="minorHAnsi" w:hAnsiTheme="minorHAnsi" w:cstheme="minorHAnsi"/>
          <w:sz w:val="24"/>
          <w:szCs w:val="24"/>
        </w:rPr>
        <w:t xml:space="preserve">. </w:t>
      </w:r>
    </w:p>
    <w:p w:rsidR="00415EB9" w:rsidRPr="00415EB9" w:rsidRDefault="00415EB9" w:rsidP="00415EB9">
      <w:pPr>
        <w:widowControl w:val="0"/>
        <w:autoSpaceDE w:val="0"/>
        <w:autoSpaceDN w:val="0"/>
        <w:adjustRightInd w:val="0"/>
        <w:spacing w:before="60"/>
        <w:ind w:left="360"/>
        <w:jc w:val="both"/>
        <w:rPr>
          <w:rFonts w:asciiTheme="minorHAnsi" w:hAnsiTheme="minorHAnsi" w:cstheme="minorHAnsi"/>
          <w:sz w:val="24"/>
          <w:szCs w:val="24"/>
        </w:rPr>
      </w:pPr>
      <w:r w:rsidRPr="00415EB9">
        <w:rPr>
          <w:rFonts w:asciiTheme="minorHAnsi" w:hAnsiTheme="minorHAnsi" w:cstheme="minorHAnsi"/>
          <w:b/>
          <w:bCs/>
          <w:sz w:val="24"/>
          <w:szCs w:val="24"/>
        </w:rPr>
        <w:t>La masse salariale</w:t>
      </w:r>
      <w:r w:rsidRPr="00415EB9">
        <w:rPr>
          <w:rFonts w:asciiTheme="minorHAnsi" w:hAnsiTheme="minorHAnsi" w:cstheme="minorHAnsi"/>
          <w:sz w:val="24"/>
          <w:szCs w:val="24"/>
        </w:rPr>
        <w:t xml:space="preserve"> représente 79% des recettes fiscales, contre 72% en 2014 et 64% en 2013 (norme &lt;=35%). </w:t>
      </w:r>
    </w:p>
    <w:p w:rsidR="00415EB9" w:rsidRPr="00415EB9" w:rsidRDefault="00415EB9" w:rsidP="00415EB9">
      <w:pPr>
        <w:widowControl w:val="0"/>
        <w:autoSpaceDE w:val="0"/>
        <w:autoSpaceDN w:val="0"/>
        <w:adjustRightInd w:val="0"/>
        <w:spacing w:before="60"/>
        <w:ind w:left="360"/>
        <w:jc w:val="both"/>
        <w:rPr>
          <w:rFonts w:asciiTheme="minorHAnsi" w:hAnsiTheme="minorHAnsi" w:cstheme="minorHAnsi"/>
          <w:b/>
          <w:bCs/>
          <w:sz w:val="24"/>
          <w:szCs w:val="24"/>
        </w:rPr>
      </w:pPr>
      <w:r w:rsidRPr="00415EB9">
        <w:rPr>
          <w:rFonts w:asciiTheme="minorHAnsi" w:hAnsiTheme="minorHAnsi" w:cstheme="minorHAnsi"/>
          <w:b/>
          <w:bCs/>
          <w:sz w:val="24"/>
          <w:szCs w:val="24"/>
        </w:rPr>
        <w:t xml:space="preserve">Le taux de pression fiscale </w:t>
      </w:r>
      <w:r w:rsidRPr="00415EB9">
        <w:rPr>
          <w:rFonts w:asciiTheme="minorHAnsi" w:hAnsiTheme="minorHAnsi" w:cstheme="minorHAnsi"/>
          <w:bCs/>
          <w:sz w:val="24"/>
          <w:szCs w:val="24"/>
        </w:rPr>
        <w:t xml:space="preserve">s’élève à 12,1% contre 12,5% en 2014 et 12,8% en 2013              </w:t>
      </w:r>
      <w:r w:rsidRPr="00415EB9">
        <w:rPr>
          <w:rFonts w:asciiTheme="minorHAnsi" w:hAnsiTheme="minorHAnsi" w:cstheme="minorHAnsi"/>
          <w:sz w:val="24"/>
          <w:szCs w:val="24"/>
        </w:rPr>
        <w:t>(norme &gt;=17%)</w:t>
      </w:r>
      <w:r w:rsidRPr="00415EB9">
        <w:rPr>
          <w:rFonts w:asciiTheme="minorHAnsi" w:hAnsiTheme="minorHAnsi" w:cstheme="minorHAnsi"/>
          <w:b/>
          <w:bCs/>
          <w:sz w:val="24"/>
          <w:szCs w:val="24"/>
        </w:rPr>
        <w:t>.</w:t>
      </w:r>
    </w:p>
    <w:p w:rsidR="00415EB9" w:rsidRPr="00415EB9" w:rsidRDefault="00415EB9" w:rsidP="00415EB9">
      <w:pPr>
        <w:widowControl w:val="0"/>
        <w:autoSpaceDE w:val="0"/>
        <w:autoSpaceDN w:val="0"/>
        <w:adjustRightInd w:val="0"/>
        <w:spacing w:before="60"/>
        <w:ind w:left="360"/>
        <w:jc w:val="both"/>
        <w:rPr>
          <w:rFonts w:asciiTheme="minorHAnsi" w:hAnsiTheme="minorHAnsi" w:cstheme="minorHAnsi"/>
          <w:bCs/>
          <w:sz w:val="24"/>
          <w:szCs w:val="24"/>
        </w:rPr>
      </w:pPr>
      <w:r w:rsidRPr="00415EB9">
        <w:rPr>
          <w:rFonts w:asciiTheme="minorHAnsi" w:hAnsiTheme="minorHAnsi" w:cstheme="minorHAnsi"/>
          <w:b/>
          <w:bCs/>
          <w:sz w:val="24"/>
          <w:szCs w:val="24"/>
        </w:rPr>
        <w:t xml:space="preserve">Le déficit du solde extérieur courant </w:t>
      </w:r>
      <w:r w:rsidRPr="00415EB9">
        <w:rPr>
          <w:rFonts w:asciiTheme="minorHAnsi" w:hAnsiTheme="minorHAnsi" w:cstheme="minorHAnsi"/>
          <w:bCs/>
          <w:sz w:val="24"/>
          <w:szCs w:val="24"/>
        </w:rPr>
        <w:t>s’est fortement amélioré, pour représenter 1,8% du PIB contre 8,2% en 2014 et de 9,6% en 2013.</w:t>
      </w:r>
    </w:p>
    <w:p w:rsidR="00870020" w:rsidRPr="00870020" w:rsidRDefault="00870020" w:rsidP="00870020">
      <w:pPr>
        <w:spacing w:before="120" w:after="120"/>
        <w:jc w:val="both"/>
        <w:rPr>
          <w:rFonts w:asciiTheme="minorHAnsi" w:hAnsiTheme="minorHAnsi" w:cstheme="minorHAnsi"/>
          <w:bCs/>
          <w:sz w:val="24"/>
          <w:szCs w:val="24"/>
        </w:rPr>
      </w:pPr>
    </w:p>
    <w:p w:rsidR="00912C4A" w:rsidRPr="00912C4A" w:rsidRDefault="00912C4A" w:rsidP="00912C4A">
      <w:pPr>
        <w:spacing w:before="120" w:after="120"/>
        <w:jc w:val="both"/>
        <w:rPr>
          <w:rFonts w:ascii="Calibri" w:hAnsi="Calibri" w:cs="Arial"/>
          <w:bCs/>
          <w:sz w:val="24"/>
          <w:szCs w:val="24"/>
        </w:rPr>
      </w:pPr>
    </w:p>
    <w:p w:rsidR="001F14F6" w:rsidRDefault="001F14F6">
      <w:pPr>
        <w:rPr>
          <w:rFonts w:ascii="Calibri" w:hAnsi="Calibri" w:cs="Arial"/>
          <w:b/>
          <w:sz w:val="20"/>
          <w:szCs w:val="20"/>
        </w:rPr>
      </w:pPr>
      <w:r>
        <w:rPr>
          <w:rFonts w:ascii="Calibri" w:hAnsi="Calibri" w:cs="Arial"/>
          <w:b/>
          <w:sz w:val="20"/>
          <w:szCs w:val="20"/>
        </w:rPr>
        <w:br w:type="page"/>
      </w:r>
    </w:p>
    <w:p w:rsidR="00E25029" w:rsidRPr="00155205" w:rsidRDefault="00155205" w:rsidP="007B1D8C">
      <w:pPr>
        <w:pStyle w:val="RAPPORTCONVNOMT1"/>
        <w:rPr>
          <w:lang w:eastAsia="en-US" w:bidi="en-US"/>
        </w:rPr>
      </w:pPr>
      <w:bookmarkStart w:id="323" w:name="_Toc288813957"/>
      <w:bookmarkStart w:id="324" w:name="_Toc444614023"/>
      <w:r>
        <w:rPr>
          <w:lang w:eastAsia="en-US" w:bidi="en-US"/>
        </w:rPr>
        <w:lastRenderedPageBreak/>
        <w:t xml:space="preserve">CONCLUSIONS ET </w:t>
      </w:r>
      <w:r w:rsidR="00E25029" w:rsidRPr="00155205">
        <w:rPr>
          <w:lang w:eastAsia="en-US" w:bidi="en-US"/>
        </w:rPr>
        <w:t>RECOMMANDATIONS DE POLITIQUE ECONOMIQUE</w:t>
      </w:r>
      <w:bookmarkEnd w:id="323"/>
      <w:bookmarkEnd w:id="324"/>
    </w:p>
    <w:p w:rsidR="00843A4F" w:rsidRPr="00843A4F" w:rsidRDefault="00843A4F" w:rsidP="00843A4F">
      <w:pPr>
        <w:spacing w:after="120" w:line="288" w:lineRule="auto"/>
        <w:jc w:val="both"/>
        <w:rPr>
          <w:rFonts w:asciiTheme="minorHAnsi" w:hAnsiTheme="minorHAnsi" w:cstheme="minorHAnsi"/>
          <w:sz w:val="24"/>
          <w:szCs w:val="24"/>
        </w:rPr>
      </w:pPr>
    </w:p>
    <w:p w:rsidR="00843A4F" w:rsidRPr="00843A4F" w:rsidRDefault="00843A4F" w:rsidP="0021053D">
      <w:pPr>
        <w:spacing w:after="120"/>
        <w:jc w:val="both"/>
        <w:rPr>
          <w:rFonts w:asciiTheme="minorHAnsi" w:hAnsiTheme="minorHAnsi" w:cstheme="minorHAnsi"/>
          <w:sz w:val="24"/>
          <w:szCs w:val="24"/>
        </w:rPr>
      </w:pPr>
      <w:r w:rsidRPr="0021053D">
        <w:rPr>
          <w:rFonts w:asciiTheme="minorHAnsi" w:hAnsiTheme="minorHAnsi" w:cstheme="minorHAnsi"/>
          <w:b/>
          <w:sz w:val="24"/>
          <w:szCs w:val="24"/>
        </w:rPr>
        <w:t>En UEMOA</w:t>
      </w:r>
      <w:r w:rsidRPr="00843A4F">
        <w:rPr>
          <w:rFonts w:asciiTheme="minorHAnsi" w:hAnsiTheme="minorHAnsi" w:cstheme="minorHAnsi"/>
          <w:sz w:val="24"/>
          <w:szCs w:val="24"/>
        </w:rPr>
        <w:t xml:space="preserve">, dans l’ensemble, les résultats macroéconomiques ont été satisfaisants en 2015. Les taux de croissance élevés n’ont cependant pas permis une amélioration des résultats en matière de convergence. Trois États membres, le Burkina Faso, la Guinée Bissau et le Mali ont respecté les trois critères de premier rang en 2015, comme en 2014. En 2016, le Burkina Faso et le Togo respecteraient les trois critères de premier rang. Ces mauvaises performances sont liées à la faible progression des recettes fiscales. Cette tendance pourrait se poursuivre. En effet, les projections contenues dans les programmes pluriannuels 216-2020 des États membres montrent qu’en 2020, quatre États membres réaliseraient des taux de pression fiscale en-deçà de 17%. </w:t>
      </w:r>
    </w:p>
    <w:p w:rsidR="00843A4F" w:rsidRPr="00843A4F" w:rsidRDefault="00843A4F" w:rsidP="0021053D">
      <w:pPr>
        <w:spacing w:after="120"/>
        <w:jc w:val="both"/>
        <w:rPr>
          <w:rFonts w:asciiTheme="minorHAnsi" w:hAnsiTheme="minorHAnsi" w:cstheme="minorHAnsi"/>
          <w:sz w:val="24"/>
          <w:szCs w:val="24"/>
        </w:rPr>
      </w:pPr>
      <w:r w:rsidRPr="00843A4F">
        <w:rPr>
          <w:rFonts w:asciiTheme="minorHAnsi" w:hAnsiTheme="minorHAnsi" w:cstheme="minorHAnsi"/>
          <w:sz w:val="24"/>
          <w:szCs w:val="24"/>
        </w:rPr>
        <w:t>Par ailleurs, en matière de dépenses, les États disposent de peu de marge dans le contexte actuel caractérisé par les travaux de construction des infrastructures socioéconomiques, l’accroissement des dépenses sociales en faveur des couches vulnérables et les impératifs de sécurité.</w:t>
      </w:r>
    </w:p>
    <w:p w:rsidR="00843A4F" w:rsidRPr="00843A4F" w:rsidRDefault="00843A4F" w:rsidP="0021053D">
      <w:pPr>
        <w:spacing w:after="120"/>
        <w:jc w:val="both"/>
        <w:rPr>
          <w:rFonts w:asciiTheme="minorHAnsi" w:hAnsiTheme="minorHAnsi" w:cstheme="minorHAnsi"/>
          <w:sz w:val="24"/>
          <w:szCs w:val="24"/>
        </w:rPr>
      </w:pPr>
      <w:r w:rsidRPr="00843A4F">
        <w:rPr>
          <w:rFonts w:asciiTheme="minorHAnsi" w:hAnsiTheme="minorHAnsi" w:cstheme="minorHAnsi"/>
          <w:sz w:val="24"/>
          <w:szCs w:val="24"/>
        </w:rPr>
        <w:t>Pour replacer les économies sur un sentier de convergence, il est impératif de créer les conditions d’un climat socio politique apaisé dans tous les États membres de l’Union. En outre, des dispositions doivent être prises pour poursuivre la mise  en œuvre :</w:t>
      </w:r>
    </w:p>
    <w:p w:rsidR="00843A4F" w:rsidRPr="00843A4F" w:rsidRDefault="00843A4F" w:rsidP="00C45F9E">
      <w:pPr>
        <w:numPr>
          <w:ilvl w:val="0"/>
          <w:numId w:val="13"/>
        </w:numPr>
        <w:spacing w:after="120"/>
        <w:ind w:left="714" w:hanging="357"/>
        <w:jc w:val="both"/>
        <w:rPr>
          <w:rFonts w:asciiTheme="minorHAnsi" w:hAnsiTheme="minorHAnsi" w:cstheme="minorHAnsi"/>
          <w:sz w:val="24"/>
          <w:szCs w:val="24"/>
        </w:rPr>
      </w:pPr>
      <w:r w:rsidRPr="00843A4F">
        <w:rPr>
          <w:rFonts w:asciiTheme="minorHAnsi" w:hAnsiTheme="minorHAnsi" w:cstheme="minorHAnsi"/>
          <w:sz w:val="24"/>
          <w:szCs w:val="24"/>
        </w:rPr>
        <w:t xml:space="preserve">d’un climat de sécurité, indispensable à l’amélioration du climat des affaires ; </w:t>
      </w:r>
    </w:p>
    <w:p w:rsidR="00843A4F" w:rsidRPr="00843A4F" w:rsidRDefault="00843A4F" w:rsidP="00C45F9E">
      <w:pPr>
        <w:numPr>
          <w:ilvl w:val="0"/>
          <w:numId w:val="13"/>
        </w:numPr>
        <w:spacing w:after="120"/>
        <w:ind w:left="714" w:hanging="357"/>
        <w:jc w:val="both"/>
        <w:rPr>
          <w:rFonts w:asciiTheme="minorHAnsi" w:hAnsiTheme="minorHAnsi" w:cstheme="minorHAnsi"/>
          <w:sz w:val="24"/>
          <w:szCs w:val="24"/>
        </w:rPr>
      </w:pPr>
      <w:r w:rsidRPr="00843A4F">
        <w:rPr>
          <w:rFonts w:asciiTheme="minorHAnsi" w:hAnsiTheme="minorHAnsi" w:cstheme="minorHAnsi"/>
          <w:sz w:val="24"/>
          <w:szCs w:val="24"/>
        </w:rPr>
        <w:t>des stratégies d’accélération de la croissance économique en mettant l’accent sur les investissements productifs et structurants ;</w:t>
      </w:r>
    </w:p>
    <w:p w:rsidR="00843A4F" w:rsidRPr="00843A4F" w:rsidRDefault="00843A4F" w:rsidP="00C45F9E">
      <w:pPr>
        <w:numPr>
          <w:ilvl w:val="0"/>
          <w:numId w:val="13"/>
        </w:numPr>
        <w:spacing w:after="120"/>
        <w:ind w:left="714" w:hanging="357"/>
        <w:jc w:val="both"/>
        <w:rPr>
          <w:rFonts w:asciiTheme="minorHAnsi" w:hAnsiTheme="minorHAnsi" w:cstheme="minorHAnsi"/>
          <w:sz w:val="24"/>
          <w:szCs w:val="24"/>
        </w:rPr>
      </w:pPr>
      <w:r w:rsidRPr="00843A4F">
        <w:rPr>
          <w:rFonts w:asciiTheme="minorHAnsi" w:hAnsiTheme="minorHAnsi" w:cstheme="minorHAnsi"/>
          <w:sz w:val="24"/>
          <w:szCs w:val="24"/>
        </w:rPr>
        <w:t>des politiques de diversification effective de la production ;</w:t>
      </w:r>
    </w:p>
    <w:p w:rsidR="00843A4F" w:rsidRPr="00843A4F" w:rsidRDefault="00843A4F" w:rsidP="00C45F9E">
      <w:pPr>
        <w:numPr>
          <w:ilvl w:val="0"/>
          <w:numId w:val="13"/>
        </w:numPr>
        <w:spacing w:after="120"/>
        <w:ind w:left="714" w:hanging="357"/>
        <w:jc w:val="both"/>
        <w:rPr>
          <w:rFonts w:asciiTheme="minorHAnsi" w:hAnsiTheme="minorHAnsi" w:cstheme="minorHAnsi"/>
          <w:sz w:val="24"/>
          <w:szCs w:val="24"/>
        </w:rPr>
      </w:pPr>
      <w:r w:rsidRPr="00843A4F">
        <w:rPr>
          <w:rFonts w:asciiTheme="minorHAnsi" w:hAnsiTheme="minorHAnsi" w:cstheme="minorHAnsi"/>
          <w:sz w:val="24"/>
          <w:szCs w:val="24"/>
        </w:rPr>
        <w:t>des programmes et projets d’accroissement de l’offre agricole pour pallier l’insécurité alimentaire et maîtriser les tensions inflationnistes ;</w:t>
      </w:r>
    </w:p>
    <w:p w:rsidR="00843A4F" w:rsidRPr="00843A4F" w:rsidRDefault="00843A4F" w:rsidP="00C45F9E">
      <w:pPr>
        <w:numPr>
          <w:ilvl w:val="0"/>
          <w:numId w:val="13"/>
        </w:numPr>
        <w:spacing w:after="120"/>
        <w:ind w:left="714" w:hanging="357"/>
        <w:jc w:val="both"/>
        <w:rPr>
          <w:rFonts w:asciiTheme="minorHAnsi" w:hAnsiTheme="minorHAnsi" w:cstheme="minorHAnsi"/>
          <w:sz w:val="24"/>
          <w:szCs w:val="24"/>
        </w:rPr>
      </w:pPr>
      <w:r w:rsidRPr="00843A4F">
        <w:rPr>
          <w:rFonts w:asciiTheme="minorHAnsi" w:hAnsiTheme="minorHAnsi" w:cstheme="minorHAnsi"/>
          <w:sz w:val="24"/>
          <w:szCs w:val="24"/>
        </w:rPr>
        <w:t>la mise en œuvre des réformes structurelles, en particulier dans les secteurs de l’énergie afin de favoriser le développement des activités économiques</w:t>
      </w:r>
      <w:r w:rsidRPr="00843A4F">
        <w:rPr>
          <w:rFonts w:asciiTheme="minorHAnsi" w:hAnsiTheme="minorHAnsi" w:cstheme="minorHAnsi"/>
          <w:sz w:val="24"/>
          <w:szCs w:val="24"/>
          <w:lang w:val="fr-CA"/>
        </w:rPr>
        <w:t xml:space="preserve">; </w:t>
      </w:r>
    </w:p>
    <w:p w:rsidR="00843A4F" w:rsidRPr="00843A4F" w:rsidRDefault="00843A4F" w:rsidP="00C45F9E">
      <w:pPr>
        <w:numPr>
          <w:ilvl w:val="0"/>
          <w:numId w:val="13"/>
        </w:numPr>
        <w:spacing w:after="120"/>
        <w:ind w:left="714" w:hanging="357"/>
        <w:jc w:val="both"/>
        <w:rPr>
          <w:rFonts w:asciiTheme="minorHAnsi" w:hAnsiTheme="minorHAnsi" w:cstheme="minorHAnsi"/>
          <w:sz w:val="24"/>
          <w:szCs w:val="24"/>
        </w:rPr>
      </w:pPr>
      <w:r w:rsidRPr="00843A4F">
        <w:rPr>
          <w:rFonts w:asciiTheme="minorHAnsi" w:hAnsiTheme="minorHAnsi" w:cstheme="minorHAnsi"/>
          <w:sz w:val="24"/>
          <w:szCs w:val="24"/>
        </w:rPr>
        <w:t>des mesures visant l’assainissement des finances publiques à travers l’amélioration du recouvrement fiscal et la maîtrise des dépenses courantes ;</w:t>
      </w:r>
    </w:p>
    <w:p w:rsidR="00843A4F" w:rsidRDefault="00843A4F" w:rsidP="00C45F9E">
      <w:pPr>
        <w:numPr>
          <w:ilvl w:val="0"/>
          <w:numId w:val="13"/>
        </w:numPr>
        <w:spacing w:after="120"/>
        <w:ind w:left="714" w:hanging="357"/>
        <w:jc w:val="both"/>
        <w:rPr>
          <w:rFonts w:asciiTheme="minorHAnsi" w:hAnsiTheme="minorHAnsi" w:cstheme="minorHAnsi"/>
          <w:sz w:val="24"/>
          <w:szCs w:val="24"/>
        </w:rPr>
      </w:pPr>
      <w:r w:rsidRPr="00843A4F">
        <w:rPr>
          <w:rFonts w:asciiTheme="minorHAnsi" w:hAnsiTheme="minorHAnsi" w:cstheme="minorHAnsi"/>
          <w:sz w:val="24"/>
          <w:szCs w:val="24"/>
        </w:rPr>
        <w:t>la mise en œuvre effective des dispositions du règlement n°09/2007/CM/UEMOA, portant cadre de référence de la politique d'endettement public et de gestion de la dette publique dans les États membres de l'UEMOA, notamment la création et l’opérationnalisation des Comités Nationaux  de la Dette Publique ;</w:t>
      </w:r>
    </w:p>
    <w:p w:rsidR="00843A4F" w:rsidRPr="00843A4F" w:rsidRDefault="00843A4F" w:rsidP="00C45F9E">
      <w:pPr>
        <w:pStyle w:val="Paragraphedeliste"/>
        <w:numPr>
          <w:ilvl w:val="0"/>
          <w:numId w:val="13"/>
        </w:numPr>
        <w:autoSpaceDE w:val="0"/>
        <w:autoSpaceDN w:val="0"/>
        <w:adjustRightInd w:val="0"/>
        <w:spacing w:before="120" w:after="120"/>
        <w:jc w:val="both"/>
        <w:rPr>
          <w:rFonts w:asciiTheme="minorHAnsi" w:hAnsiTheme="minorHAnsi" w:cstheme="minorHAnsi"/>
          <w:b/>
          <w:sz w:val="24"/>
          <w:szCs w:val="24"/>
        </w:rPr>
      </w:pPr>
      <w:r w:rsidRPr="00843A4F">
        <w:rPr>
          <w:rFonts w:asciiTheme="minorHAnsi" w:hAnsiTheme="minorHAnsi" w:cstheme="minorHAnsi"/>
          <w:sz w:val="24"/>
          <w:szCs w:val="24"/>
        </w:rPr>
        <w:t>la mise en œuvre des recommandations issues des revues des réformes communautaires dans les États membres dans le cadre du processus de renforcement de l’intégration régionale</w:t>
      </w:r>
      <w:r>
        <w:rPr>
          <w:rFonts w:asciiTheme="minorHAnsi" w:hAnsiTheme="minorHAnsi" w:cstheme="minorHAnsi"/>
          <w:sz w:val="24"/>
          <w:szCs w:val="24"/>
        </w:rPr>
        <w:t>.</w:t>
      </w:r>
    </w:p>
    <w:p w:rsidR="00843A4F" w:rsidRPr="00843A4F" w:rsidRDefault="00843A4F" w:rsidP="00843A4F">
      <w:pPr>
        <w:spacing w:after="120" w:line="288" w:lineRule="auto"/>
        <w:ind w:left="714"/>
        <w:jc w:val="both"/>
        <w:rPr>
          <w:rFonts w:asciiTheme="minorHAnsi" w:hAnsiTheme="minorHAnsi" w:cstheme="minorHAnsi"/>
          <w:sz w:val="24"/>
          <w:szCs w:val="24"/>
        </w:rPr>
      </w:pPr>
    </w:p>
    <w:p w:rsidR="00843A4F" w:rsidRDefault="00843A4F" w:rsidP="001F14F6">
      <w:pPr>
        <w:autoSpaceDE w:val="0"/>
        <w:autoSpaceDN w:val="0"/>
        <w:adjustRightInd w:val="0"/>
        <w:spacing w:before="120" w:after="120"/>
        <w:jc w:val="both"/>
        <w:rPr>
          <w:rFonts w:asciiTheme="minorHAnsi" w:hAnsiTheme="minorHAnsi"/>
          <w:b/>
          <w:sz w:val="24"/>
          <w:szCs w:val="20"/>
        </w:rPr>
      </w:pPr>
    </w:p>
    <w:p w:rsidR="00843A4F" w:rsidRDefault="00843A4F" w:rsidP="001F14F6">
      <w:pPr>
        <w:autoSpaceDE w:val="0"/>
        <w:autoSpaceDN w:val="0"/>
        <w:adjustRightInd w:val="0"/>
        <w:spacing w:before="120" w:after="120"/>
        <w:jc w:val="both"/>
        <w:rPr>
          <w:rFonts w:asciiTheme="minorHAnsi" w:hAnsiTheme="minorHAnsi"/>
          <w:b/>
          <w:sz w:val="24"/>
          <w:szCs w:val="20"/>
        </w:rPr>
      </w:pPr>
    </w:p>
    <w:p w:rsidR="00843A4F" w:rsidRDefault="00843A4F" w:rsidP="001F14F6">
      <w:pPr>
        <w:autoSpaceDE w:val="0"/>
        <w:autoSpaceDN w:val="0"/>
        <w:adjustRightInd w:val="0"/>
        <w:spacing w:before="120" w:after="120"/>
        <w:jc w:val="both"/>
        <w:rPr>
          <w:rFonts w:asciiTheme="minorHAnsi" w:hAnsiTheme="minorHAnsi"/>
          <w:b/>
          <w:sz w:val="24"/>
          <w:szCs w:val="20"/>
        </w:rPr>
      </w:pPr>
    </w:p>
    <w:p w:rsidR="00843A4F" w:rsidRDefault="00843A4F" w:rsidP="001F14F6">
      <w:pPr>
        <w:autoSpaceDE w:val="0"/>
        <w:autoSpaceDN w:val="0"/>
        <w:adjustRightInd w:val="0"/>
        <w:spacing w:before="120" w:after="120"/>
        <w:jc w:val="both"/>
        <w:rPr>
          <w:rFonts w:asciiTheme="minorHAnsi" w:hAnsiTheme="minorHAnsi"/>
          <w:b/>
          <w:sz w:val="24"/>
          <w:szCs w:val="20"/>
        </w:rPr>
      </w:pPr>
    </w:p>
    <w:p w:rsidR="00DC6D52" w:rsidRDefault="00DC6D52">
      <w:pPr>
        <w:rPr>
          <w:rStyle w:val="lev"/>
          <w:b w:val="0"/>
        </w:rPr>
      </w:pPr>
      <w:bookmarkStart w:id="325" w:name="_Toc226541522"/>
      <w:bookmarkEnd w:id="310"/>
    </w:p>
    <w:p w:rsidR="00AA225F" w:rsidRPr="00AA225F" w:rsidRDefault="00AA225F" w:rsidP="00AA225F">
      <w:pPr>
        <w:spacing w:after="120" w:line="264" w:lineRule="auto"/>
        <w:jc w:val="both"/>
        <w:rPr>
          <w:rFonts w:asciiTheme="minorHAnsi" w:hAnsiTheme="minorHAnsi"/>
          <w:sz w:val="24"/>
          <w:szCs w:val="24"/>
        </w:rPr>
      </w:pPr>
      <w:r w:rsidRPr="00AA225F">
        <w:rPr>
          <w:rFonts w:asciiTheme="minorHAnsi" w:hAnsiTheme="minorHAnsi"/>
          <w:sz w:val="24"/>
          <w:szCs w:val="24"/>
        </w:rPr>
        <w:lastRenderedPageBreak/>
        <w:t>En 2015, l’activité économique mondiale est restée languissante avec 3,1  % de croissance, soit 0,3 point de moins qu’en 2014. Dans les pays émergents et les pays en développement, qui représentent encore plus de 70 % de la croissance mondiale, la croissance a ralenti pour la cinquième année consécutive, tandis qu’une reprise modeste s’est poursuivie dans les pays avancés.</w:t>
      </w:r>
    </w:p>
    <w:p w:rsidR="00AA225F" w:rsidRPr="00AA225F" w:rsidRDefault="00AA225F" w:rsidP="00AA225F">
      <w:pPr>
        <w:autoSpaceDE w:val="0"/>
        <w:autoSpaceDN w:val="0"/>
        <w:adjustRightInd w:val="0"/>
        <w:spacing w:after="120" w:line="264" w:lineRule="auto"/>
        <w:jc w:val="both"/>
        <w:rPr>
          <w:rFonts w:asciiTheme="minorHAnsi" w:hAnsiTheme="minorHAnsi"/>
          <w:sz w:val="24"/>
          <w:szCs w:val="24"/>
          <w:highlight w:val="yellow"/>
        </w:rPr>
      </w:pPr>
      <w:r w:rsidRPr="00AA225F">
        <w:rPr>
          <w:rFonts w:asciiTheme="minorHAnsi" w:hAnsiTheme="minorHAnsi"/>
          <w:sz w:val="24"/>
          <w:szCs w:val="24"/>
        </w:rPr>
        <w:t xml:space="preserve">Dans ce contexte, la situation macroéconomique des </w:t>
      </w:r>
      <w:r w:rsidRPr="00AA225F">
        <w:rPr>
          <w:rFonts w:asciiTheme="minorHAnsi" w:hAnsiTheme="minorHAnsi"/>
          <w:b/>
          <w:sz w:val="24"/>
          <w:szCs w:val="24"/>
        </w:rPr>
        <w:t>États membres de la CEMAC</w:t>
      </w:r>
      <w:r w:rsidRPr="00AA225F">
        <w:rPr>
          <w:rFonts w:asciiTheme="minorHAnsi" w:hAnsiTheme="minorHAnsi"/>
          <w:sz w:val="24"/>
          <w:szCs w:val="24"/>
        </w:rPr>
        <w:t xml:space="preserve"> a été caractérisée en 2015 par un ralentissement de la croissance économique, une détérioration des comptes publics, une situation monétaire moins confortable, et une baisse des tensions inflationnistes. Cette évolution économique s’est faite également dans un environnement de baisse drastique des cours du baril de pétrole sur les marchés internationaux et la persistance des menaces sécuritaires aux frontières de certains pays de la Communauté.</w:t>
      </w:r>
    </w:p>
    <w:p w:rsidR="00AA225F" w:rsidRPr="00AA225F" w:rsidRDefault="00AA225F" w:rsidP="00AA225F">
      <w:pPr>
        <w:spacing w:after="120" w:line="264" w:lineRule="auto"/>
        <w:jc w:val="both"/>
        <w:rPr>
          <w:rFonts w:asciiTheme="minorHAnsi" w:hAnsiTheme="minorHAnsi"/>
          <w:sz w:val="24"/>
          <w:szCs w:val="24"/>
        </w:rPr>
      </w:pPr>
      <w:r w:rsidRPr="00AA225F">
        <w:rPr>
          <w:rFonts w:asciiTheme="minorHAnsi" w:hAnsiTheme="minorHAnsi"/>
          <w:sz w:val="24"/>
          <w:szCs w:val="24"/>
        </w:rPr>
        <w:t>Les résultats de la surveillance multilatérale montrent que la CEMAC a respecté deux critères sur quatre en 2015.</w:t>
      </w:r>
    </w:p>
    <w:p w:rsidR="00AA225F" w:rsidRPr="00AA225F" w:rsidRDefault="00AA225F" w:rsidP="00AA225F">
      <w:pPr>
        <w:spacing w:after="120" w:line="264" w:lineRule="auto"/>
        <w:jc w:val="both"/>
        <w:rPr>
          <w:rFonts w:asciiTheme="minorHAnsi" w:hAnsiTheme="minorHAnsi"/>
          <w:sz w:val="24"/>
          <w:szCs w:val="24"/>
        </w:rPr>
      </w:pPr>
      <w:r w:rsidRPr="00AA225F">
        <w:rPr>
          <w:rFonts w:asciiTheme="minorHAnsi" w:hAnsiTheme="minorHAnsi"/>
          <w:sz w:val="24"/>
          <w:szCs w:val="24"/>
        </w:rPr>
        <w:t>Outre les recommandations habituelles de poursuivre les efforts en matière de recouvrement des recettes non pétrolières, de gestion prudente du secteur pétrolier et des ressources pétrolières, et d’amélioration du climat des affaires, il faudra encourager les Gouvernements respectifs des six États membres à mettre en pratique cette décision des hautes autorités relative à la libre circulation des personnes et des biens.</w:t>
      </w:r>
    </w:p>
    <w:p w:rsidR="00AA225F" w:rsidRPr="00AA225F" w:rsidRDefault="00AA225F" w:rsidP="00AA225F">
      <w:pPr>
        <w:spacing w:after="120" w:line="264" w:lineRule="auto"/>
        <w:jc w:val="both"/>
        <w:rPr>
          <w:rFonts w:asciiTheme="minorHAnsi" w:hAnsiTheme="minorHAnsi"/>
          <w:sz w:val="24"/>
          <w:szCs w:val="24"/>
        </w:rPr>
      </w:pPr>
      <w:r w:rsidRPr="00AA225F">
        <w:rPr>
          <w:rFonts w:asciiTheme="minorHAnsi" w:hAnsiTheme="minorHAnsi"/>
          <w:sz w:val="24"/>
          <w:szCs w:val="24"/>
        </w:rPr>
        <w:t>Comme par le passé, les orientations générales sont axées sur les questions de stabilité macroéconomique, de réformes structurelles et d’approfondissement de l’intégration régionale.</w:t>
      </w:r>
    </w:p>
    <w:p w:rsidR="00AA225F" w:rsidRPr="00AA225F" w:rsidRDefault="00AA225F" w:rsidP="00AA225F">
      <w:pPr>
        <w:spacing w:after="120" w:line="264" w:lineRule="auto"/>
        <w:jc w:val="both"/>
        <w:rPr>
          <w:rFonts w:asciiTheme="minorHAnsi" w:hAnsiTheme="minorHAnsi"/>
          <w:sz w:val="24"/>
          <w:szCs w:val="24"/>
        </w:rPr>
      </w:pPr>
      <w:r w:rsidRPr="00AA225F">
        <w:rPr>
          <w:rFonts w:asciiTheme="minorHAnsi" w:hAnsiTheme="minorHAnsi"/>
          <w:b/>
          <w:sz w:val="24"/>
          <w:szCs w:val="24"/>
        </w:rPr>
        <w:t>En matière de stabilité macroéconomique</w:t>
      </w:r>
      <w:r w:rsidRPr="00AA225F">
        <w:rPr>
          <w:rFonts w:asciiTheme="minorHAnsi" w:hAnsiTheme="minorHAnsi"/>
          <w:sz w:val="24"/>
          <w:szCs w:val="24"/>
        </w:rPr>
        <w:t>, les actions prioritaires à mettre en œuvre par les États membres et les Institutions Régionales de la CEMAC en vue de poursuivre l’assainissement des finances publiques et de conduire une politique budgétaire prudente, compte tenu de la conjoncture caractérisée par l’effondrement des cours du pétrole et un niveau faible des recettes budgétaires, sont de :</w:t>
      </w:r>
    </w:p>
    <w:p w:rsidR="00AA225F" w:rsidRPr="00AA225F" w:rsidRDefault="00AA225F" w:rsidP="00C45F9E">
      <w:pPr>
        <w:numPr>
          <w:ilvl w:val="0"/>
          <w:numId w:val="10"/>
        </w:numPr>
        <w:spacing w:after="120" w:line="264" w:lineRule="auto"/>
        <w:contextualSpacing/>
        <w:jc w:val="both"/>
        <w:rPr>
          <w:rFonts w:asciiTheme="minorHAnsi" w:hAnsiTheme="minorHAnsi"/>
          <w:sz w:val="24"/>
          <w:szCs w:val="24"/>
        </w:rPr>
      </w:pPr>
      <w:r w:rsidRPr="00AA225F">
        <w:rPr>
          <w:rFonts w:asciiTheme="minorHAnsi" w:hAnsiTheme="minorHAnsi"/>
          <w:sz w:val="24"/>
          <w:szCs w:val="24"/>
        </w:rPr>
        <w:t>Définir une perspective pluriannuelle à la planification budgétaire en définissant les recettes et dépenses dans un cadre budgétaire à moyen terme et en relançant les Programmes Triennaux de Convergence (PTC) ;</w:t>
      </w:r>
    </w:p>
    <w:p w:rsidR="00AA225F" w:rsidRPr="00AA225F" w:rsidRDefault="00AA225F" w:rsidP="00C45F9E">
      <w:pPr>
        <w:numPr>
          <w:ilvl w:val="0"/>
          <w:numId w:val="10"/>
        </w:numPr>
        <w:spacing w:after="120" w:line="264" w:lineRule="auto"/>
        <w:contextualSpacing/>
        <w:jc w:val="both"/>
        <w:rPr>
          <w:rFonts w:asciiTheme="minorHAnsi" w:hAnsiTheme="minorHAnsi"/>
          <w:sz w:val="24"/>
          <w:szCs w:val="24"/>
        </w:rPr>
      </w:pPr>
      <w:r w:rsidRPr="00AA225F">
        <w:rPr>
          <w:rFonts w:asciiTheme="minorHAnsi" w:hAnsiTheme="minorHAnsi"/>
          <w:sz w:val="24"/>
          <w:szCs w:val="24"/>
        </w:rPr>
        <w:t>Poursuivre la gestion prudente des ressources pétrolières ;</w:t>
      </w:r>
    </w:p>
    <w:p w:rsidR="00AA225F" w:rsidRPr="00AA225F" w:rsidRDefault="00AA225F" w:rsidP="00AA225F">
      <w:pPr>
        <w:spacing w:after="120" w:line="264" w:lineRule="auto"/>
        <w:ind w:left="360"/>
        <w:contextualSpacing/>
        <w:rPr>
          <w:rFonts w:asciiTheme="minorHAnsi" w:hAnsiTheme="minorHAnsi"/>
          <w:sz w:val="24"/>
          <w:szCs w:val="24"/>
        </w:rPr>
      </w:pPr>
    </w:p>
    <w:p w:rsidR="00AA225F" w:rsidRPr="00AA225F" w:rsidRDefault="00AA225F" w:rsidP="00AA225F">
      <w:pPr>
        <w:spacing w:after="120" w:line="264" w:lineRule="auto"/>
        <w:jc w:val="both"/>
        <w:rPr>
          <w:rFonts w:asciiTheme="minorHAnsi" w:hAnsiTheme="minorHAnsi"/>
          <w:sz w:val="24"/>
          <w:szCs w:val="24"/>
        </w:rPr>
      </w:pPr>
      <w:r w:rsidRPr="00AA225F">
        <w:rPr>
          <w:rFonts w:asciiTheme="minorHAnsi" w:hAnsiTheme="minorHAnsi"/>
          <w:b/>
          <w:sz w:val="24"/>
          <w:szCs w:val="24"/>
        </w:rPr>
        <w:t>Pour ce qui est des réformes axées sur l’amélioration du climat des affaires et la diversification de la base productive</w:t>
      </w:r>
      <w:r w:rsidRPr="00AA225F">
        <w:rPr>
          <w:rFonts w:asciiTheme="minorHAnsi" w:hAnsiTheme="minorHAnsi"/>
          <w:sz w:val="24"/>
          <w:szCs w:val="24"/>
        </w:rPr>
        <w:t>, il convient de prendre toutes les dispositions afin de rendre opérationnel l’Observatoire du climat des affaires en zone CEMAC.</w:t>
      </w:r>
    </w:p>
    <w:p w:rsidR="00AA225F" w:rsidRPr="00AA225F" w:rsidRDefault="00AA225F" w:rsidP="00AA225F">
      <w:pPr>
        <w:spacing w:after="120" w:line="264" w:lineRule="auto"/>
        <w:rPr>
          <w:rFonts w:asciiTheme="minorHAnsi" w:hAnsiTheme="minorHAnsi"/>
          <w:sz w:val="24"/>
          <w:szCs w:val="24"/>
        </w:rPr>
      </w:pPr>
      <w:r w:rsidRPr="00AA225F">
        <w:rPr>
          <w:rFonts w:asciiTheme="minorHAnsi" w:hAnsiTheme="minorHAnsi"/>
          <w:b/>
          <w:sz w:val="24"/>
          <w:szCs w:val="24"/>
        </w:rPr>
        <w:t>Sur le plan de l’intégration régionale</w:t>
      </w:r>
      <w:r w:rsidRPr="00AA225F">
        <w:rPr>
          <w:rFonts w:asciiTheme="minorHAnsi" w:hAnsiTheme="minorHAnsi"/>
          <w:sz w:val="24"/>
          <w:szCs w:val="24"/>
        </w:rPr>
        <w:t>, les actions prioritaires consistent à :</w:t>
      </w:r>
    </w:p>
    <w:p w:rsidR="00AA225F" w:rsidRPr="00AA225F" w:rsidRDefault="00AA225F" w:rsidP="00C45F9E">
      <w:pPr>
        <w:numPr>
          <w:ilvl w:val="0"/>
          <w:numId w:val="10"/>
        </w:numPr>
        <w:spacing w:after="120" w:line="264" w:lineRule="auto"/>
        <w:contextualSpacing/>
        <w:jc w:val="both"/>
        <w:rPr>
          <w:rFonts w:asciiTheme="minorHAnsi" w:hAnsiTheme="minorHAnsi"/>
          <w:sz w:val="24"/>
          <w:szCs w:val="24"/>
        </w:rPr>
      </w:pPr>
      <w:r w:rsidRPr="00AA225F">
        <w:rPr>
          <w:rFonts w:asciiTheme="minorHAnsi" w:hAnsiTheme="minorHAnsi"/>
          <w:sz w:val="24"/>
          <w:szCs w:val="24"/>
        </w:rPr>
        <w:t>Démarrer la mise en application du nouveau dispositif de Surveillance Multilatérale ;</w:t>
      </w:r>
    </w:p>
    <w:p w:rsidR="00AA225F" w:rsidRPr="00AA225F" w:rsidRDefault="00AA225F" w:rsidP="00C45F9E">
      <w:pPr>
        <w:numPr>
          <w:ilvl w:val="0"/>
          <w:numId w:val="10"/>
        </w:numPr>
        <w:spacing w:after="120" w:line="264" w:lineRule="auto"/>
        <w:contextualSpacing/>
        <w:jc w:val="both"/>
        <w:rPr>
          <w:rFonts w:asciiTheme="minorHAnsi" w:hAnsiTheme="minorHAnsi"/>
          <w:sz w:val="24"/>
          <w:szCs w:val="24"/>
        </w:rPr>
      </w:pPr>
      <w:r w:rsidRPr="00AA225F">
        <w:rPr>
          <w:rFonts w:asciiTheme="minorHAnsi" w:hAnsiTheme="minorHAnsi"/>
          <w:sz w:val="24"/>
          <w:szCs w:val="24"/>
        </w:rPr>
        <w:t>Accélérer la transposition des Directives du cadre harmonisé de gestion des finances publiques en zone CEMAC dans les droits internes des États ;</w:t>
      </w:r>
    </w:p>
    <w:p w:rsidR="00AA225F" w:rsidRPr="00AA225F" w:rsidRDefault="00AA225F" w:rsidP="00C45F9E">
      <w:pPr>
        <w:numPr>
          <w:ilvl w:val="0"/>
          <w:numId w:val="10"/>
        </w:numPr>
        <w:spacing w:after="120" w:line="264" w:lineRule="auto"/>
        <w:contextualSpacing/>
        <w:jc w:val="both"/>
        <w:rPr>
          <w:rFonts w:asciiTheme="minorHAnsi" w:hAnsiTheme="minorHAnsi"/>
          <w:sz w:val="24"/>
          <w:szCs w:val="24"/>
        </w:rPr>
      </w:pPr>
      <w:r w:rsidRPr="00AA225F">
        <w:rPr>
          <w:rFonts w:asciiTheme="minorHAnsi" w:hAnsiTheme="minorHAnsi"/>
          <w:sz w:val="24"/>
          <w:szCs w:val="24"/>
        </w:rPr>
        <w:t>Renforcer les capacités en ressources humaines de la Commission de la CEMAC.</w:t>
      </w:r>
    </w:p>
    <w:p w:rsidR="00AA225F" w:rsidRPr="00AA225F" w:rsidRDefault="00AA225F" w:rsidP="00AA225F">
      <w:pPr>
        <w:spacing w:after="120" w:line="264" w:lineRule="auto"/>
        <w:ind w:left="720"/>
        <w:contextualSpacing/>
        <w:jc w:val="both"/>
        <w:rPr>
          <w:rFonts w:asciiTheme="minorHAnsi" w:hAnsiTheme="minorHAnsi"/>
          <w:sz w:val="24"/>
          <w:szCs w:val="24"/>
        </w:rPr>
      </w:pPr>
    </w:p>
    <w:p w:rsidR="00AA225F" w:rsidRPr="00AA225F" w:rsidRDefault="00AA225F" w:rsidP="00AA225F">
      <w:pPr>
        <w:spacing w:after="120" w:line="276" w:lineRule="auto"/>
        <w:rPr>
          <w:rFonts w:asciiTheme="minorHAnsi" w:hAnsiTheme="minorHAnsi"/>
          <w:sz w:val="24"/>
          <w:szCs w:val="24"/>
        </w:rPr>
      </w:pPr>
      <w:r w:rsidRPr="00AA225F">
        <w:rPr>
          <w:rFonts w:asciiTheme="minorHAnsi" w:hAnsiTheme="minorHAnsi"/>
          <w:sz w:val="24"/>
          <w:szCs w:val="24"/>
        </w:rPr>
        <w:t>Par pays, elles se présentent comme suit :</w:t>
      </w:r>
    </w:p>
    <w:p w:rsidR="00AA225F" w:rsidRPr="00AA225F" w:rsidRDefault="00AA225F" w:rsidP="00AA225F">
      <w:pPr>
        <w:spacing w:after="120"/>
        <w:contextualSpacing/>
        <w:rPr>
          <w:rFonts w:asciiTheme="minorHAnsi" w:hAnsiTheme="minorHAnsi"/>
          <w:sz w:val="24"/>
          <w:szCs w:val="24"/>
        </w:rPr>
      </w:pPr>
      <w:r w:rsidRPr="00AA225F">
        <w:rPr>
          <w:rFonts w:asciiTheme="minorHAnsi" w:hAnsiTheme="minorHAnsi"/>
          <w:b/>
          <w:sz w:val="24"/>
          <w:szCs w:val="24"/>
        </w:rPr>
        <w:lastRenderedPageBreak/>
        <w:t>Au Cameroun,</w:t>
      </w:r>
      <w:r w:rsidRPr="00AA225F">
        <w:rPr>
          <w:rFonts w:asciiTheme="minorHAnsi" w:hAnsiTheme="minorHAnsi"/>
          <w:sz w:val="24"/>
          <w:szCs w:val="24"/>
        </w:rPr>
        <w:t xml:space="preserve"> afin d’atteindre les objectifs de croissance consignés dans le Document de Stratégie pour la Croissance et l’Emploi (DSCE), les Autorités sont exhortées à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Poursuivre les mesures visant l’amélioration du recouvrement des recettes fiscales à travers notamment la rationalisation des exonérations et des régimes dérogatoires fiscaux à l’effet de réduire les déficits budgétaires et en conséquence, limiter l’endettement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 xml:space="preserve">Orienter la politique d’endettement public vers des conditions plus concessionnelles ;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Poursuivre la mise en place des mesures pour l’exécution convenable du Plan d’Urgence triennal pour la Relance de la Croissance et inscrire l’exécution dudit plan dans un cadre budgétaire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 xml:space="preserve">Maintenir le mécanisme de stabilisation des prix des produits pétroliers à la pompe et de définir une fourchette au-delà de laquelle le prix à la pompe pourrait être réajusté en fonction du prix réel. </w:t>
      </w:r>
    </w:p>
    <w:p w:rsidR="00AA225F" w:rsidRPr="00AA225F" w:rsidRDefault="00AA225F" w:rsidP="00AA225F">
      <w:pPr>
        <w:spacing w:after="240" w:line="276" w:lineRule="auto"/>
        <w:contextualSpacing/>
        <w:rPr>
          <w:rFonts w:asciiTheme="minorHAnsi" w:hAnsiTheme="minorHAnsi"/>
          <w:sz w:val="24"/>
          <w:szCs w:val="24"/>
        </w:rPr>
      </w:pPr>
    </w:p>
    <w:p w:rsidR="00AA225F" w:rsidRPr="00AA225F" w:rsidRDefault="00AA225F" w:rsidP="00AA225F">
      <w:pPr>
        <w:spacing w:after="240"/>
        <w:rPr>
          <w:rFonts w:asciiTheme="minorHAnsi" w:hAnsiTheme="minorHAnsi"/>
          <w:sz w:val="24"/>
          <w:szCs w:val="24"/>
        </w:rPr>
      </w:pPr>
      <w:r w:rsidRPr="00AA225F">
        <w:rPr>
          <w:rFonts w:asciiTheme="minorHAnsi" w:hAnsiTheme="minorHAnsi"/>
          <w:b/>
          <w:sz w:val="24"/>
          <w:szCs w:val="24"/>
        </w:rPr>
        <w:t>En République Centrafricaine</w:t>
      </w:r>
      <w:r w:rsidRPr="00AA225F">
        <w:rPr>
          <w:rFonts w:asciiTheme="minorHAnsi" w:hAnsiTheme="minorHAnsi"/>
          <w:sz w:val="24"/>
          <w:szCs w:val="24"/>
        </w:rPr>
        <w:t>, afin d’assurer la reprise d’une croissance inclusive et la gestion efficace, moderne et transparente des finances publiques, les Autorités sont invitées à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Poursuivre les réformes mises en place pour un retour progressif de la paix et de la sécurité dans le pays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Poursuivre la mise en œuvre des mesures visant à améliorer l’administration fiscale et renforcer la gestion des finances publiques à travers la limitation des exonérations fiscales et douanières et l’augmentation des recettes provenant des secteurs forestier, minier et des télécommunications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Poursuivre les actions en faveur de la réinsertion de la RCA dans le processus de Kimberley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 xml:space="preserve">Accélérer la mise en œuvre du Programme d’Urgence pour la Relance des Cultures vivrières et du Projet d’Urgence de Restauration des Services Publics ;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Poursuivre la transposition dans le corpus juridique interne des Directives du cadre harmonisé de gestion des Finances Publiques en Zone CEMAC.</w:t>
      </w:r>
    </w:p>
    <w:p w:rsidR="00AA225F" w:rsidRPr="00AA225F" w:rsidRDefault="00AA225F" w:rsidP="00AA225F">
      <w:pPr>
        <w:spacing w:after="240" w:line="276" w:lineRule="auto"/>
        <w:ind w:left="720"/>
        <w:contextualSpacing/>
        <w:rPr>
          <w:rFonts w:asciiTheme="minorHAnsi" w:hAnsiTheme="minorHAnsi"/>
          <w:sz w:val="24"/>
          <w:szCs w:val="24"/>
        </w:rPr>
      </w:pPr>
    </w:p>
    <w:p w:rsidR="00AA225F" w:rsidRPr="00AA225F" w:rsidRDefault="00AA225F" w:rsidP="00AA225F">
      <w:pPr>
        <w:spacing w:after="120"/>
        <w:rPr>
          <w:rFonts w:asciiTheme="minorHAnsi" w:hAnsiTheme="minorHAnsi"/>
          <w:sz w:val="24"/>
          <w:szCs w:val="24"/>
        </w:rPr>
      </w:pPr>
      <w:r w:rsidRPr="00AA225F">
        <w:rPr>
          <w:rFonts w:asciiTheme="minorHAnsi" w:hAnsiTheme="minorHAnsi"/>
          <w:b/>
          <w:sz w:val="24"/>
          <w:szCs w:val="24"/>
        </w:rPr>
        <w:t>Au Congo</w:t>
      </w:r>
      <w:r w:rsidRPr="00AA225F">
        <w:rPr>
          <w:rFonts w:asciiTheme="minorHAnsi" w:hAnsiTheme="minorHAnsi"/>
          <w:sz w:val="24"/>
          <w:szCs w:val="24"/>
        </w:rPr>
        <w:t>, afin de maintenir le dynamisme du secteur non pétrolier et faire face à l’impact négatif des prix du pétrole, les Autorités sont invitées à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 xml:space="preserve">Préserver une certaine marge budgétaire en cette période de baisse des cours du baril de pétrole, à travers une rationalisation des dépenses publiques et une augmentation des recettes non pétrolières par une amélioration des performances des régies financières.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Accélérer la mise en œuvre du plan d’action adopté en 2009 pour l’amélioration du climat des affaires et à poursuivre la réalisation des infrastructures économiques de base.</w:t>
      </w:r>
    </w:p>
    <w:p w:rsidR="00AA225F" w:rsidRPr="00AA225F" w:rsidRDefault="00AA225F" w:rsidP="00AA225F">
      <w:pPr>
        <w:spacing w:after="240" w:line="360" w:lineRule="auto"/>
        <w:ind w:left="360"/>
        <w:contextualSpacing/>
        <w:rPr>
          <w:rFonts w:asciiTheme="minorHAnsi" w:hAnsiTheme="minorHAnsi"/>
          <w:sz w:val="24"/>
          <w:szCs w:val="24"/>
        </w:rPr>
      </w:pPr>
    </w:p>
    <w:p w:rsidR="00AA225F" w:rsidRPr="00AA225F" w:rsidRDefault="00AA225F" w:rsidP="00AA225F">
      <w:pPr>
        <w:spacing w:after="120"/>
        <w:rPr>
          <w:rFonts w:asciiTheme="minorHAnsi" w:hAnsiTheme="minorHAnsi"/>
          <w:sz w:val="24"/>
          <w:szCs w:val="24"/>
        </w:rPr>
      </w:pPr>
      <w:r w:rsidRPr="00AA225F">
        <w:rPr>
          <w:rFonts w:asciiTheme="minorHAnsi" w:hAnsiTheme="minorHAnsi"/>
          <w:b/>
          <w:sz w:val="24"/>
          <w:szCs w:val="24"/>
        </w:rPr>
        <w:t>Au Gabon</w:t>
      </w:r>
      <w:r w:rsidRPr="00AA225F">
        <w:rPr>
          <w:rFonts w:asciiTheme="minorHAnsi" w:hAnsiTheme="minorHAnsi"/>
          <w:sz w:val="24"/>
          <w:szCs w:val="24"/>
        </w:rPr>
        <w:t>, afin de maintenir le dynamisme du secteur hors pétrole porteur de croissance, et faire face aux défis imposés par la chute des prix du pétrole, les Autorités sont invitées à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lastRenderedPageBreak/>
        <w:t>Accélérer la diversification de l’économie à travers notamment la poursuite de la mise en œuvre des actions contenues dans le Plan Stratégique Gabon Émergent (PSGE) en mettant la priorité notamment sur la poursuite des actions visant à la fois des réformes structurelles et les efforts pour accroître la compétitivité et la productivité, notamment en renforçant l’éducation, les infrastructures et les capacités institutionnelles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Poursuivre la mise en œuvre des réformes de l’administration fiscale et douanière afin d’améliorer le recouvrement des recettes non pétrolières.</w:t>
      </w:r>
    </w:p>
    <w:p w:rsidR="00AA225F" w:rsidRPr="00AA225F" w:rsidRDefault="00AA225F" w:rsidP="00AA225F">
      <w:pPr>
        <w:rPr>
          <w:rFonts w:asciiTheme="minorHAnsi" w:hAnsiTheme="minorHAnsi"/>
          <w:sz w:val="24"/>
          <w:szCs w:val="24"/>
        </w:rPr>
      </w:pPr>
    </w:p>
    <w:p w:rsidR="00AA225F" w:rsidRPr="00AA225F" w:rsidRDefault="00AA225F" w:rsidP="00AA225F">
      <w:pPr>
        <w:spacing w:after="120"/>
        <w:rPr>
          <w:rFonts w:asciiTheme="minorHAnsi" w:hAnsiTheme="minorHAnsi"/>
          <w:sz w:val="24"/>
          <w:szCs w:val="24"/>
        </w:rPr>
      </w:pPr>
      <w:r w:rsidRPr="00AA225F">
        <w:rPr>
          <w:rFonts w:asciiTheme="minorHAnsi" w:hAnsiTheme="minorHAnsi"/>
          <w:b/>
          <w:sz w:val="24"/>
          <w:szCs w:val="24"/>
        </w:rPr>
        <w:t>En Guinée-Équatoriale</w:t>
      </w:r>
      <w:r w:rsidRPr="00AA225F">
        <w:rPr>
          <w:rFonts w:asciiTheme="minorHAnsi" w:hAnsiTheme="minorHAnsi"/>
          <w:sz w:val="24"/>
          <w:szCs w:val="24"/>
        </w:rPr>
        <w:t>, les Autorités sont invitées à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Poursuivre les réformes mises en place pour la diversification de l’économie, visant notamment à mettre un accent sur l'amélioration de la gouvernance, du climat des affaires, et du développement du capital humain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Poursuivre la gestion budgétaire prudente afin de constituer des réserves pour l’entretien et le maintien à niveau dans le futur des grosses infrastructures de base mises en place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Poursuivre les efforts en matière d’amélioration du recouvrement des recettes non pétrolières à travers des mesures relatives à la modernisation des administrations fiscales et douanières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 xml:space="preserve">Démarrer la transposition dans les droits nationaux des Directives du cadre harmonisé de gestion des Finances Publiques en Zone CEMAC ;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Poursuivre l’opérationnalisation de l’Institut National de la Statistique de Guinée Equatoriale (INEGE).</w:t>
      </w:r>
    </w:p>
    <w:p w:rsidR="00AA225F" w:rsidRPr="00AA225F" w:rsidRDefault="00AA225F" w:rsidP="00AA225F">
      <w:pPr>
        <w:spacing w:after="240" w:line="276" w:lineRule="auto"/>
        <w:ind w:left="720"/>
        <w:contextualSpacing/>
        <w:rPr>
          <w:rFonts w:asciiTheme="minorHAnsi" w:hAnsiTheme="minorHAnsi"/>
          <w:sz w:val="24"/>
          <w:szCs w:val="24"/>
        </w:rPr>
      </w:pPr>
    </w:p>
    <w:p w:rsidR="00AA225F" w:rsidRPr="00AA225F" w:rsidRDefault="00AA225F" w:rsidP="00AA225F">
      <w:pPr>
        <w:spacing w:after="120"/>
        <w:rPr>
          <w:rFonts w:asciiTheme="minorHAnsi" w:hAnsiTheme="minorHAnsi"/>
          <w:sz w:val="24"/>
          <w:szCs w:val="24"/>
        </w:rPr>
      </w:pPr>
      <w:r w:rsidRPr="00AA225F">
        <w:rPr>
          <w:rFonts w:asciiTheme="minorHAnsi" w:hAnsiTheme="minorHAnsi"/>
          <w:b/>
          <w:sz w:val="24"/>
          <w:szCs w:val="24"/>
        </w:rPr>
        <w:t>Au Tchad</w:t>
      </w:r>
      <w:r w:rsidRPr="00AA225F">
        <w:rPr>
          <w:rFonts w:asciiTheme="minorHAnsi" w:hAnsiTheme="minorHAnsi"/>
          <w:sz w:val="24"/>
          <w:szCs w:val="24"/>
        </w:rPr>
        <w:t>, pour faire face aux chocs occasionnés par l’effondrement des prix du pétrole et la détérioration de la sécurité au niveau régionale, les Autorités sont invitées à redoubler d’effort pour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Poursuivre les actions engagées pour maintenir une politique budgétaire prudente en préservant et consolidant les acquis de la gestion budgétaire rigoureuse ayant conduit au point d’achèvement de l’Initiative PPTE ;</w:t>
      </w:r>
    </w:p>
    <w:p w:rsidR="00AA225F" w:rsidRPr="00AA225F" w:rsidRDefault="00AA225F" w:rsidP="00C45F9E">
      <w:pPr>
        <w:numPr>
          <w:ilvl w:val="0"/>
          <w:numId w:val="10"/>
        </w:numPr>
        <w:spacing w:after="240" w:line="276" w:lineRule="auto"/>
        <w:contextualSpacing/>
        <w:jc w:val="both"/>
        <w:rPr>
          <w:rFonts w:asciiTheme="minorHAnsi" w:hAnsiTheme="minorHAnsi"/>
          <w:sz w:val="24"/>
          <w:szCs w:val="24"/>
        </w:rPr>
      </w:pPr>
      <w:r w:rsidRPr="00AA225F">
        <w:rPr>
          <w:rFonts w:asciiTheme="minorHAnsi" w:hAnsiTheme="minorHAnsi"/>
          <w:sz w:val="24"/>
          <w:szCs w:val="24"/>
        </w:rPr>
        <w:t>Accélérer les réformes visant l’amélioration du climat des affaires afin de mieux développer, d’étendre et diversifier les activités économiques du secteur hors pétrole.</w:t>
      </w:r>
    </w:p>
    <w:p w:rsidR="00AA225F" w:rsidRDefault="00AA225F" w:rsidP="00AA225F">
      <w:pPr>
        <w:spacing w:after="120" w:line="264" w:lineRule="auto"/>
        <w:jc w:val="both"/>
        <w:rPr>
          <w:rFonts w:asciiTheme="minorHAnsi" w:hAnsiTheme="minorHAnsi"/>
          <w:sz w:val="24"/>
          <w:szCs w:val="24"/>
        </w:rPr>
      </w:pPr>
    </w:p>
    <w:p w:rsidR="00CD437F" w:rsidRPr="00CD437F" w:rsidRDefault="00CD437F" w:rsidP="00CD437F">
      <w:pPr>
        <w:spacing w:before="120"/>
        <w:jc w:val="both"/>
        <w:rPr>
          <w:rFonts w:asciiTheme="minorHAnsi" w:hAnsiTheme="minorHAnsi" w:cstheme="minorHAnsi"/>
          <w:sz w:val="24"/>
          <w:szCs w:val="24"/>
        </w:rPr>
      </w:pPr>
      <w:r w:rsidRPr="00CD437F">
        <w:rPr>
          <w:rFonts w:asciiTheme="minorHAnsi" w:hAnsiTheme="minorHAnsi" w:cstheme="minorHAnsi"/>
          <w:b/>
          <w:sz w:val="24"/>
          <w:szCs w:val="24"/>
        </w:rPr>
        <w:t>L’Union des Comores</w:t>
      </w:r>
      <w:r w:rsidRPr="00CD437F">
        <w:rPr>
          <w:rFonts w:asciiTheme="minorHAnsi" w:hAnsiTheme="minorHAnsi" w:cstheme="minorHAnsi"/>
          <w:sz w:val="24"/>
          <w:szCs w:val="24"/>
        </w:rPr>
        <w:t xml:space="preserve"> s’est dotée d’une nouvelle Stratégie de croissance accélérée et de développement durable (SCA2D) pour la période 2015-2019, visant une croissance accélérée et inclusive contribuant au développement durable à moyen terme. </w:t>
      </w:r>
    </w:p>
    <w:p w:rsidR="00CD437F" w:rsidRPr="00CD437F" w:rsidRDefault="00CD437F" w:rsidP="00CD437F">
      <w:pPr>
        <w:spacing w:before="120"/>
        <w:jc w:val="both"/>
        <w:rPr>
          <w:rFonts w:asciiTheme="minorHAnsi" w:hAnsiTheme="minorHAnsi" w:cstheme="minorHAnsi"/>
          <w:sz w:val="24"/>
          <w:szCs w:val="24"/>
        </w:rPr>
      </w:pPr>
      <w:r w:rsidRPr="00CD437F">
        <w:rPr>
          <w:rFonts w:asciiTheme="minorHAnsi" w:hAnsiTheme="minorHAnsi" w:cstheme="minorHAnsi"/>
          <w:sz w:val="24"/>
          <w:szCs w:val="24"/>
        </w:rPr>
        <w:t>Dans un contexte marqué par la tenue aux mois de février et d’avril des élections du Président de l’Union et des Gouverneurs des îles, la croissance du PIB pour l’année 2016 est projetée à 3,0%, sur la base des perspectives suivantes :</w:t>
      </w:r>
    </w:p>
    <w:p w:rsidR="00CD437F" w:rsidRPr="00CD437F" w:rsidRDefault="00CD437F" w:rsidP="00C45F9E">
      <w:pPr>
        <w:numPr>
          <w:ilvl w:val="0"/>
          <w:numId w:val="16"/>
        </w:numPr>
        <w:spacing w:before="120"/>
        <w:jc w:val="both"/>
        <w:rPr>
          <w:rFonts w:asciiTheme="minorHAnsi" w:hAnsiTheme="minorHAnsi" w:cstheme="minorHAnsi"/>
          <w:sz w:val="24"/>
          <w:szCs w:val="24"/>
        </w:rPr>
      </w:pPr>
      <w:r w:rsidRPr="00CD437F">
        <w:rPr>
          <w:rFonts w:asciiTheme="minorHAnsi" w:hAnsiTheme="minorHAnsi" w:cstheme="minorHAnsi"/>
          <w:sz w:val="24"/>
          <w:szCs w:val="24"/>
        </w:rPr>
        <w:t>le lancement des travaux du nouveau stade de Moroni,</w:t>
      </w:r>
    </w:p>
    <w:p w:rsidR="00CD437F" w:rsidRPr="00CD437F" w:rsidRDefault="00CD437F" w:rsidP="00C45F9E">
      <w:pPr>
        <w:numPr>
          <w:ilvl w:val="0"/>
          <w:numId w:val="16"/>
        </w:numPr>
        <w:spacing w:before="120"/>
        <w:jc w:val="both"/>
        <w:rPr>
          <w:rFonts w:asciiTheme="minorHAnsi" w:hAnsiTheme="minorHAnsi" w:cstheme="minorHAnsi"/>
          <w:sz w:val="24"/>
          <w:szCs w:val="24"/>
        </w:rPr>
      </w:pPr>
      <w:r w:rsidRPr="00CD437F">
        <w:rPr>
          <w:rFonts w:asciiTheme="minorHAnsi" w:hAnsiTheme="minorHAnsi" w:cstheme="minorHAnsi"/>
          <w:sz w:val="24"/>
          <w:szCs w:val="24"/>
        </w:rPr>
        <w:lastRenderedPageBreak/>
        <w:t>le démarrage au cours du 2</w:t>
      </w:r>
      <w:r w:rsidRPr="00CD437F">
        <w:rPr>
          <w:rFonts w:asciiTheme="minorHAnsi" w:hAnsiTheme="minorHAnsi" w:cstheme="minorHAnsi"/>
          <w:sz w:val="24"/>
          <w:szCs w:val="24"/>
          <w:vertAlign w:val="superscript"/>
        </w:rPr>
        <w:t>nd</w:t>
      </w:r>
      <w:r w:rsidRPr="00CD437F">
        <w:rPr>
          <w:rFonts w:asciiTheme="minorHAnsi" w:hAnsiTheme="minorHAnsi" w:cstheme="minorHAnsi"/>
          <w:sz w:val="24"/>
          <w:szCs w:val="24"/>
        </w:rPr>
        <w:t xml:space="preserve"> semestre des activités d’un nouvel opérateur de télécommunication,</w:t>
      </w:r>
    </w:p>
    <w:p w:rsidR="00CD437F" w:rsidRPr="00CD437F" w:rsidRDefault="00CD437F" w:rsidP="00C45F9E">
      <w:pPr>
        <w:numPr>
          <w:ilvl w:val="0"/>
          <w:numId w:val="16"/>
        </w:numPr>
        <w:spacing w:before="120"/>
        <w:jc w:val="both"/>
        <w:rPr>
          <w:rFonts w:asciiTheme="minorHAnsi" w:hAnsiTheme="minorHAnsi" w:cstheme="minorHAnsi"/>
          <w:sz w:val="24"/>
          <w:szCs w:val="24"/>
        </w:rPr>
      </w:pPr>
      <w:r w:rsidRPr="00CD437F">
        <w:rPr>
          <w:rFonts w:asciiTheme="minorHAnsi" w:hAnsiTheme="minorHAnsi" w:cstheme="minorHAnsi"/>
          <w:sz w:val="24"/>
          <w:szCs w:val="24"/>
        </w:rPr>
        <w:t>les appuis budgétaires (3 milliards FC) prévus dans la loi des finances 2016 au profit de la société publique en charge de la production de l’électricité,</w:t>
      </w:r>
    </w:p>
    <w:p w:rsidR="00CD437F" w:rsidRPr="00CD437F" w:rsidRDefault="00CD437F" w:rsidP="00C45F9E">
      <w:pPr>
        <w:numPr>
          <w:ilvl w:val="0"/>
          <w:numId w:val="16"/>
        </w:numPr>
        <w:spacing w:before="120"/>
        <w:jc w:val="both"/>
        <w:rPr>
          <w:rFonts w:asciiTheme="minorHAnsi" w:hAnsiTheme="minorHAnsi" w:cstheme="minorHAnsi"/>
          <w:sz w:val="24"/>
          <w:szCs w:val="24"/>
        </w:rPr>
      </w:pPr>
      <w:r w:rsidRPr="00CD437F">
        <w:rPr>
          <w:rFonts w:asciiTheme="minorHAnsi" w:hAnsiTheme="minorHAnsi" w:cstheme="minorHAnsi"/>
          <w:sz w:val="24"/>
          <w:szCs w:val="24"/>
        </w:rPr>
        <w:t>l’appui des partenaires au développement (Banque mondiale, BAD) à l’Etat dans la mise en place d’une stratégie à plus long terme :</w:t>
      </w:r>
    </w:p>
    <w:p w:rsidR="00CD437F" w:rsidRPr="00CD437F" w:rsidRDefault="00CD437F" w:rsidP="00C45F9E">
      <w:pPr>
        <w:numPr>
          <w:ilvl w:val="1"/>
          <w:numId w:val="16"/>
        </w:numPr>
        <w:spacing w:before="120" w:line="264" w:lineRule="auto"/>
        <w:jc w:val="both"/>
        <w:rPr>
          <w:rFonts w:asciiTheme="minorHAnsi" w:hAnsiTheme="minorHAnsi" w:cstheme="minorHAnsi"/>
          <w:kern w:val="1"/>
          <w:sz w:val="24"/>
          <w:szCs w:val="24"/>
        </w:rPr>
      </w:pPr>
      <w:r w:rsidRPr="00CD437F">
        <w:rPr>
          <w:rFonts w:asciiTheme="minorHAnsi" w:hAnsiTheme="minorHAnsi" w:cstheme="minorHAnsi"/>
          <w:kern w:val="1"/>
          <w:sz w:val="24"/>
          <w:szCs w:val="24"/>
        </w:rPr>
        <w:t xml:space="preserve">pour renforcer les capacités techniques et de gestion ainsi que la fonction commerciale de la MAMWE, </w:t>
      </w:r>
    </w:p>
    <w:p w:rsidR="00CD437F" w:rsidRPr="00CD437F" w:rsidRDefault="00CD437F" w:rsidP="00C45F9E">
      <w:pPr>
        <w:numPr>
          <w:ilvl w:val="1"/>
          <w:numId w:val="16"/>
        </w:numPr>
        <w:spacing w:before="120" w:line="264" w:lineRule="auto"/>
        <w:jc w:val="both"/>
        <w:rPr>
          <w:rFonts w:asciiTheme="minorHAnsi" w:hAnsiTheme="minorHAnsi" w:cstheme="minorHAnsi"/>
          <w:kern w:val="1"/>
          <w:sz w:val="24"/>
          <w:szCs w:val="24"/>
        </w:rPr>
      </w:pPr>
      <w:r w:rsidRPr="00CD437F">
        <w:rPr>
          <w:rFonts w:asciiTheme="minorHAnsi" w:hAnsiTheme="minorHAnsi" w:cstheme="minorHAnsi"/>
          <w:kern w:val="1"/>
          <w:sz w:val="24"/>
          <w:szCs w:val="24"/>
        </w:rPr>
        <w:t>pour réduire sa dépendance dans la production d’électricité au diesel, fort coûteuse, par une diversification vers les sources d’énergies solaire, éolienne et géothermique,</w:t>
      </w:r>
    </w:p>
    <w:p w:rsidR="00CD437F" w:rsidRPr="00CD437F" w:rsidRDefault="00CD437F" w:rsidP="00C45F9E">
      <w:pPr>
        <w:numPr>
          <w:ilvl w:val="0"/>
          <w:numId w:val="16"/>
        </w:numPr>
        <w:spacing w:before="120" w:line="264" w:lineRule="auto"/>
        <w:jc w:val="both"/>
        <w:rPr>
          <w:rFonts w:asciiTheme="minorHAnsi" w:hAnsiTheme="minorHAnsi" w:cstheme="minorHAnsi"/>
          <w:kern w:val="1"/>
          <w:sz w:val="24"/>
          <w:szCs w:val="24"/>
        </w:rPr>
      </w:pPr>
      <w:r w:rsidRPr="00CD437F">
        <w:rPr>
          <w:rFonts w:asciiTheme="minorHAnsi" w:hAnsiTheme="minorHAnsi" w:cstheme="minorHAnsi"/>
          <w:kern w:val="1"/>
          <w:sz w:val="24"/>
          <w:szCs w:val="24"/>
        </w:rPr>
        <w:t xml:space="preserve">la poursuite par l’État des travaux relatifs à la construction d’une centrale au fioul lourd, qui doit être achevée en 2017 et qui devrait permettre de réduire la facture pétrolière, </w:t>
      </w:r>
    </w:p>
    <w:p w:rsidR="00CD437F" w:rsidRPr="00CD437F" w:rsidRDefault="00CD437F" w:rsidP="00C45F9E">
      <w:pPr>
        <w:numPr>
          <w:ilvl w:val="0"/>
          <w:numId w:val="16"/>
        </w:numPr>
        <w:spacing w:before="120" w:line="264" w:lineRule="auto"/>
        <w:jc w:val="both"/>
        <w:rPr>
          <w:rFonts w:asciiTheme="minorHAnsi" w:hAnsiTheme="minorHAnsi" w:cstheme="minorHAnsi"/>
          <w:kern w:val="1"/>
          <w:sz w:val="24"/>
          <w:szCs w:val="24"/>
        </w:rPr>
      </w:pPr>
      <w:r>
        <w:rPr>
          <w:rFonts w:asciiTheme="minorHAnsi" w:hAnsiTheme="minorHAnsi" w:cstheme="minorHAnsi"/>
          <w:kern w:val="1"/>
          <w:sz w:val="24"/>
          <w:szCs w:val="24"/>
        </w:rPr>
        <w:t>le</w:t>
      </w:r>
      <w:r w:rsidRPr="00CD437F">
        <w:rPr>
          <w:rFonts w:asciiTheme="minorHAnsi" w:hAnsiTheme="minorHAnsi" w:cstheme="minorHAnsi"/>
          <w:kern w:val="1"/>
          <w:sz w:val="24"/>
          <w:szCs w:val="24"/>
        </w:rPr>
        <w:t xml:space="preserve"> suivi du programme de référence (Staff Monitored Program, SMP) avec le FMI, conclu en octobre 2015, qui a pour objectif :</w:t>
      </w:r>
    </w:p>
    <w:p w:rsidR="00CD437F" w:rsidRPr="00CD437F" w:rsidRDefault="00CD437F" w:rsidP="00C45F9E">
      <w:pPr>
        <w:numPr>
          <w:ilvl w:val="1"/>
          <w:numId w:val="16"/>
        </w:numPr>
        <w:spacing w:before="120" w:line="264" w:lineRule="auto"/>
        <w:jc w:val="both"/>
        <w:rPr>
          <w:rFonts w:asciiTheme="minorHAnsi" w:hAnsiTheme="minorHAnsi" w:cstheme="minorHAnsi"/>
          <w:kern w:val="1"/>
          <w:sz w:val="24"/>
          <w:szCs w:val="24"/>
        </w:rPr>
      </w:pPr>
      <w:r w:rsidRPr="00CD437F">
        <w:rPr>
          <w:rFonts w:asciiTheme="minorHAnsi" w:hAnsiTheme="minorHAnsi" w:cstheme="minorHAnsi"/>
          <w:kern w:val="1"/>
          <w:sz w:val="24"/>
          <w:szCs w:val="24"/>
        </w:rPr>
        <w:t>d’améliorer les recettes intérieures, en fixant notamment un montant minimum de recettes intérieures à réaliser à fin décembre 2016 fixé à 48,2 milliards FC,</w:t>
      </w:r>
    </w:p>
    <w:p w:rsidR="00CD437F" w:rsidRPr="00CD437F" w:rsidRDefault="00CD437F" w:rsidP="00C45F9E">
      <w:pPr>
        <w:numPr>
          <w:ilvl w:val="1"/>
          <w:numId w:val="16"/>
        </w:numPr>
        <w:spacing w:before="120" w:line="264" w:lineRule="auto"/>
        <w:jc w:val="both"/>
        <w:rPr>
          <w:rFonts w:asciiTheme="minorHAnsi" w:hAnsiTheme="minorHAnsi" w:cstheme="minorHAnsi"/>
          <w:kern w:val="1"/>
          <w:sz w:val="24"/>
          <w:szCs w:val="24"/>
        </w:rPr>
      </w:pPr>
      <w:r w:rsidRPr="00CD437F">
        <w:rPr>
          <w:rFonts w:asciiTheme="minorHAnsi" w:hAnsiTheme="minorHAnsi" w:cstheme="minorHAnsi"/>
          <w:kern w:val="1"/>
          <w:sz w:val="24"/>
          <w:szCs w:val="24"/>
        </w:rPr>
        <w:t>de contenir plus efficacement la masse salariale par une meilleure maîtrise des effectifs du secteur public au niveau tant de l’Union que des îles grâce à un registre informatisé des agents du secteur public qui doit être achevé avant la fin de 2015,</w:t>
      </w:r>
    </w:p>
    <w:p w:rsidR="00CD437F" w:rsidRPr="00CD437F" w:rsidRDefault="00CD437F" w:rsidP="00CD437F">
      <w:pPr>
        <w:spacing w:before="120" w:after="120" w:line="264" w:lineRule="auto"/>
        <w:jc w:val="both"/>
        <w:rPr>
          <w:rFonts w:asciiTheme="minorHAnsi" w:hAnsiTheme="minorHAnsi" w:cstheme="minorHAnsi"/>
          <w:kern w:val="1"/>
          <w:sz w:val="24"/>
          <w:szCs w:val="24"/>
        </w:rPr>
      </w:pPr>
      <w:r w:rsidRPr="00CD437F">
        <w:rPr>
          <w:rFonts w:asciiTheme="minorHAnsi" w:hAnsiTheme="minorHAnsi" w:cstheme="minorHAnsi"/>
          <w:kern w:val="1"/>
          <w:sz w:val="24"/>
          <w:szCs w:val="24"/>
        </w:rPr>
        <w:t>Les services du FMI assureront un suivi semestriel du programme de référence sur la base d’indicateurs quantitatifs et de repères structurels. Le premier examen, prévu pour le mois de mars 2016, s’attachera plus particulièrement à l’évaluation des objectifs fixés pour la fin de décembre 2015.</w:t>
      </w:r>
    </w:p>
    <w:p w:rsidR="004C5551" w:rsidRDefault="004C5551">
      <w:pPr>
        <w:rPr>
          <w:rStyle w:val="lev"/>
          <w:b w:val="0"/>
        </w:rPr>
      </w:pPr>
    </w:p>
    <w:p w:rsidR="00761F08" w:rsidRDefault="00761F08">
      <w:pPr>
        <w:rPr>
          <w:rStyle w:val="lev"/>
          <w:b w:val="0"/>
        </w:rPr>
      </w:pPr>
      <w:r>
        <w:rPr>
          <w:rStyle w:val="lev"/>
          <w:b w:val="0"/>
        </w:rPr>
        <w:br w:type="page"/>
      </w:r>
    </w:p>
    <w:p w:rsidR="0034185D" w:rsidRDefault="00D3480A" w:rsidP="004C5551">
      <w:pPr>
        <w:pStyle w:val="cocozof1"/>
        <w:ind w:firstLine="254"/>
        <w:jc w:val="center"/>
        <w:rPr>
          <w:rStyle w:val="lev"/>
          <w:b/>
        </w:rPr>
      </w:pPr>
      <w:bookmarkStart w:id="326" w:name="_Toc444614024"/>
      <w:r w:rsidRPr="00D3480A">
        <w:rPr>
          <w:rStyle w:val="lev"/>
          <w:b/>
        </w:rPr>
        <w:lastRenderedPageBreak/>
        <w:t>ANNEXE 1 : Évolution des critères de convergence</w:t>
      </w:r>
      <w:bookmarkEnd w:id="326"/>
    </w:p>
    <w:p w:rsidR="00C24150" w:rsidRDefault="00C24150">
      <w:pPr>
        <w:rPr>
          <w:rFonts w:asciiTheme="minorHAnsi" w:hAnsiTheme="minorHAnsi"/>
          <w:b/>
          <w:bCs/>
          <w:sz w:val="20"/>
          <w:szCs w:val="20"/>
          <w:u w:val="single"/>
          <w:lang w:eastAsia="en-US" w:bidi="en-US"/>
        </w:rPr>
      </w:pPr>
    </w:p>
    <w:p w:rsidR="004C5551" w:rsidRDefault="004C5551">
      <w:pPr>
        <w:rPr>
          <w:rFonts w:asciiTheme="minorHAnsi" w:hAnsiTheme="minorHAnsi"/>
          <w:b/>
          <w:bCs/>
          <w:sz w:val="20"/>
          <w:szCs w:val="20"/>
          <w:u w:val="single"/>
          <w:lang w:eastAsia="en-US" w:bidi="en-US"/>
        </w:rPr>
      </w:pPr>
    </w:p>
    <w:p w:rsidR="004C5551" w:rsidRDefault="004C5551">
      <w:pPr>
        <w:rPr>
          <w:rFonts w:asciiTheme="minorHAnsi" w:hAnsiTheme="minorHAnsi"/>
          <w:b/>
          <w:bCs/>
          <w:sz w:val="20"/>
          <w:szCs w:val="20"/>
          <w:u w:val="single"/>
          <w:lang w:eastAsia="en-US" w:bidi="en-US"/>
        </w:rPr>
      </w:pPr>
    </w:p>
    <w:p w:rsidR="004C5551" w:rsidRDefault="004C5551">
      <w:pPr>
        <w:rPr>
          <w:rFonts w:asciiTheme="minorHAnsi" w:hAnsiTheme="minorHAnsi"/>
          <w:b/>
          <w:bCs/>
          <w:sz w:val="20"/>
          <w:szCs w:val="20"/>
          <w:u w:val="single"/>
          <w:lang w:eastAsia="en-US" w:bidi="en-US"/>
        </w:rPr>
      </w:pPr>
    </w:p>
    <w:p w:rsidR="004C5551" w:rsidRDefault="004C5551">
      <w:pPr>
        <w:rPr>
          <w:rFonts w:asciiTheme="minorHAnsi" w:hAnsiTheme="minorHAnsi"/>
          <w:b/>
          <w:bCs/>
          <w:sz w:val="20"/>
          <w:szCs w:val="20"/>
          <w:u w:val="single"/>
          <w:lang w:eastAsia="en-US" w:bidi="en-US"/>
        </w:rPr>
        <w:sectPr w:rsidR="004C5551" w:rsidSect="00654DCF">
          <w:headerReference w:type="default" r:id="rId25"/>
          <w:footerReference w:type="default" r:id="rId26"/>
          <w:footerReference w:type="first" r:id="rId27"/>
          <w:pgSz w:w="11907" w:h="16840" w:code="9"/>
          <w:pgMar w:top="1134" w:right="1418" w:bottom="1134" w:left="1418" w:header="720" w:footer="720" w:gutter="0"/>
          <w:cols w:space="720"/>
          <w:titlePg/>
          <w:docGrid w:linePitch="299"/>
        </w:sectPr>
      </w:pPr>
    </w:p>
    <w:tbl>
      <w:tblPr>
        <w:tblW w:w="14742" w:type="dxa"/>
        <w:tblInd w:w="739" w:type="dxa"/>
        <w:tblLayout w:type="fixed"/>
        <w:tblCellMar>
          <w:left w:w="30" w:type="dxa"/>
          <w:right w:w="30" w:type="dxa"/>
        </w:tblCellMar>
        <w:tblLook w:val="0000" w:firstRow="0" w:lastRow="0" w:firstColumn="0" w:lastColumn="0" w:noHBand="0" w:noVBand="0"/>
      </w:tblPr>
      <w:tblGrid>
        <w:gridCol w:w="1276"/>
        <w:gridCol w:w="2694"/>
        <w:gridCol w:w="1080"/>
        <w:gridCol w:w="1081"/>
        <w:gridCol w:w="1081"/>
        <w:gridCol w:w="1081"/>
        <w:gridCol w:w="1081"/>
        <w:gridCol w:w="1081"/>
        <w:gridCol w:w="1081"/>
        <w:gridCol w:w="1081"/>
        <w:gridCol w:w="708"/>
        <w:gridCol w:w="708"/>
        <w:gridCol w:w="709"/>
      </w:tblGrid>
      <w:tr w:rsidR="008B4644" w:rsidRPr="008B4644" w:rsidTr="00350FEA">
        <w:trPr>
          <w:trHeight w:val="295"/>
        </w:trPr>
        <w:tc>
          <w:tcPr>
            <w:tcW w:w="14742" w:type="dxa"/>
            <w:gridSpan w:val="13"/>
            <w:tcBorders>
              <w:top w:val="nil"/>
              <w:left w:val="nil"/>
              <w:bottom w:val="nil"/>
              <w:right w:val="nil"/>
            </w:tcBorders>
          </w:tcPr>
          <w:p w:rsidR="00411882" w:rsidRDefault="008B4644" w:rsidP="008B4644">
            <w:pPr>
              <w:ind w:left="-30" w:firstLine="30"/>
              <w:jc w:val="both"/>
              <w:rPr>
                <w:rFonts w:asciiTheme="minorHAnsi" w:hAnsiTheme="minorHAnsi"/>
                <w:b/>
                <w:bCs/>
                <w:sz w:val="20"/>
                <w:szCs w:val="20"/>
                <w:u w:val="single"/>
                <w:lang w:eastAsia="en-US" w:bidi="en-US"/>
              </w:rPr>
            </w:pPr>
            <w:r w:rsidRPr="008B4644">
              <w:rPr>
                <w:rFonts w:ascii="Arial" w:hAnsi="Arial" w:cs="Arial"/>
                <w:sz w:val="24"/>
                <w:szCs w:val="24"/>
              </w:rPr>
              <w:lastRenderedPageBreak/>
              <w:t xml:space="preserve">                                                                </w:t>
            </w:r>
            <w:r w:rsidR="00411882" w:rsidRPr="00411882">
              <w:rPr>
                <w:rFonts w:asciiTheme="minorHAnsi" w:hAnsiTheme="minorHAnsi"/>
                <w:b/>
                <w:bCs/>
                <w:sz w:val="20"/>
                <w:szCs w:val="20"/>
                <w:u w:val="single"/>
                <w:lang w:eastAsia="en-US" w:bidi="en-US"/>
              </w:rPr>
              <w:t xml:space="preserve">Résultats de la surveillance multilatérale </w:t>
            </w:r>
            <w:r w:rsidR="0015468A">
              <w:rPr>
                <w:rFonts w:asciiTheme="minorHAnsi" w:hAnsiTheme="minorHAnsi"/>
                <w:b/>
                <w:bCs/>
                <w:sz w:val="20"/>
                <w:szCs w:val="20"/>
                <w:u w:val="single"/>
                <w:lang w:eastAsia="en-US" w:bidi="en-US"/>
              </w:rPr>
              <w:t>dans l’UEMOA au 31 décembre 2015</w:t>
            </w:r>
          </w:p>
          <w:p w:rsidR="00411882" w:rsidRPr="00411882" w:rsidRDefault="00411882" w:rsidP="008B4644">
            <w:pPr>
              <w:ind w:left="-30" w:firstLine="30"/>
              <w:jc w:val="both"/>
              <w:rPr>
                <w:rFonts w:asciiTheme="minorHAnsi" w:hAnsiTheme="minorHAnsi" w:cstheme="minorHAnsi"/>
                <w:b/>
                <w:bCs/>
                <w:sz w:val="18"/>
                <w:szCs w:val="20"/>
                <w:u w:val="single"/>
                <w:lang w:eastAsia="en-US" w:bidi="en-US"/>
              </w:rPr>
            </w:pPr>
          </w:p>
          <w:p w:rsidR="008B4644" w:rsidRPr="008B4644" w:rsidRDefault="00411882" w:rsidP="0015468A">
            <w:pPr>
              <w:ind w:left="-30" w:firstLine="30"/>
              <w:jc w:val="both"/>
              <w:rPr>
                <w:rFonts w:ascii="Arial" w:hAnsi="Arial" w:cs="Arial"/>
                <w:b/>
                <w:bCs/>
                <w:sz w:val="24"/>
                <w:szCs w:val="24"/>
              </w:rPr>
            </w:pPr>
            <w:r w:rsidRPr="00411882">
              <w:rPr>
                <w:rFonts w:asciiTheme="minorHAnsi" w:hAnsiTheme="minorHAnsi" w:cstheme="minorHAnsi"/>
                <w:b/>
                <w:bCs/>
                <w:szCs w:val="24"/>
              </w:rPr>
              <w:t xml:space="preserve"> </w:t>
            </w:r>
            <w:r w:rsidR="0015468A">
              <w:rPr>
                <w:rFonts w:asciiTheme="minorHAnsi" w:hAnsiTheme="minorHAnsi" w:cstheme="minorHAnsi"/>
                <w:b/>
                <w:bCs/>
                <w:szCs w:val="24"/>
              </w:rPr>
              <w:t>ETAT DE LA CONVERGENCE EN 2015</w:t>
            </w:r>
            <w:r w:rsidR="008B4644" w:rsidRPr="008B4644">
              <w:rPr>
                <w:rFonts w:asciiTheme="minorHAnsi" w:hAnsiTheme="minorHAnsi" w:cstheme="minorHAnsi"/>
                <w:b/>
                <w:bCs/>
                <w:szCs w:val="24"/>
              </w:rPr>
              <w:t xml:space="preserve"> </w:t>
            </w:r>
          </w:p>
        </w:tc>
      </w:tr>
      <w:tr w:rsidR="008B4644" w:rsidRPr="008B4644" w:rsidTr="00350FEA">
        <w:trPr>
          <w:trHeight w:val="295"/>
        </w:trPr>
        <w:tc>
          <w:tcPr>
            <w:tcW w:w="3970" w:type="dxa"/>
            <w:gridSpan w:val="2"/>
            <w:vMerge w:val="restart"/>
            <w:tcBorders>
              <w:top w:val="single" w:sz="6" w:space="0" w:color="auto"/>
              <w:left w:val="single" w:sz="6" w:space="0" w:color="auto"/>
              <w:bottom w:val="nil"/>
              <w:right w:val="nil"/>
            </w:tcBorders>
          </w:tcPr>
          <w:p w:rsidR="008B4644" w:rsidRPr="00350FEA" w:rsidRDefault="008B4644" w:rsidP="008B4644">
            <w:pPr>
              <w:jc w:val="both"/>
              <w:rPr>
                <w:rFonts w:asciiTheme="minorHAnsi" w:hAnsiTheme="minorHAnsi" w:cstheme="minorHAnsi"/>
                <w:b/>
                <w:bCs/>
              </w:rPr>
            </w:pPr>
          </w:p>
          <w:p w:rsidR="008B4644" w:rsidRPr="00350FEA" w:rsidRDefault="008B4644" w:rsidP="008B4644">
            <w:pPr>
              <w:jc w:val="both"/>
              <w:rPr>
                <w:rFonts w:asciiTheme="minorHAnsi" w:hAnsiTheme="minorHAnsi" w:cstheme="minorHAnsi"/>
                <w:b/>
                <w:bCs/>
              </w:rPr>
            </w:pPr>
          </w:p>
          <w:p w:rsidR="008B4644" w:rsidRPr="00350FEA" w:rsidRDefault="008B4644" w:rsidP="008B4644">
            <w:pPr>
              <w:jc w:val="both"/>
              <w:rPr>
                <w:rFonts w:asciiTheme="minorHAnsi" w:hAnsiTheme="minorHAnsi" w:cstheme="minorHAnsi"/>
                <w:b/>
                <w:bCs/>
              </w:rPr>
            </w:pPr>
          </w:p>
          <w:p w:rsidR="008B4644" w:rsidRPr="00350FEA" w:rsidRDefault="008B4644" w:rsidP="008B4644">
            <w:pPr>
              <w:jc w:val="both"/>
              <w:rPr>
                <w:rFonts w:asciiTheme="minorHAnsi" w:hAnsiTheme="minorHAnsi" w:cstheme="minorHAnsi"/>
                <w:b/>
                <w:bCs/>
              </w:rPr>
            </w:pPr>
          </w:p>
        </w:tc>
        <w:tc>
          <w:tcPr>
            <w:tcW w:w="8647" w:type="dxa"/>
            <w:gridSpan w:val="8"/>
            <w:tcBorders>
              <w:top w:val="single" w:sz="6" w:space="0" w:color="auto"/>
              <w:left w:val="single" w:sz="6" w:space="0" w:color="auto"/>
              <w:bottom w:val="single" w:sz="6" w:space="0" w:color="auto"/>
              <w:right w:val="nil"/>
            </w:tcBorders>
          </w:tcPr>
          <w:p w:rsidR="008B4644" w:rsidRPr="00350FEA" w:rsidRDefault="008B4644" w:rsidP="008B4644">
            <w:pPr>
              <w:jc w:val="both"/>
              <w:rPr>
                <w:rFonts w:asciiTheme="minorHAnsi" w:hAnsiTheme="minorHAnsi" w:cstheme="minorHAnsi"/>
                <w:b/>
                <w:bCs/>
              </w:rPr>
            </w:pPr>
          </w:p>
          <w:p w:rsidR="008B4644" w:rsidRPr="00350FEA" w:rsidRDefault="008B4644" w:rsidP="008B4644">
            <w:pPr>
              <w:jc w:val="both"/>
              <w:rPr>
                <w:rFonts w:asciiTheme="minorHAnsi" w:hAnsiTheme="minorHAnsi" w:cstheme="minorHAnsi"/>
                <w:b/>
                <w:bCs/>
              </w:rPr>
            </w:pPr>
            <w:r w:rsidRPr="00350FEA">
              <w:rPr>
                <w:rFonts w:asciiTheme="minorHAnsi" w:hAnsiTheme="minorHAnsi" w:cstheme="minorHAnsi"/>
                <w:b/>
                <w:bCs/>
              </w:rPr>
              <w:t xml:space="preserve">ETAT DE </w:t>
            </w:r>
            <w:r w:rsidR="00603B88">
              <w:rPr>
                <w:rFonts w:asciiTheme="minorHAnsi" w:hAnsiTheme="minorHAnsi" w:cstheme="minorHAnsi"/>
                <w:b/>
                <w:bCs/>
              </w:rPr>
              <w:t>REALISATION DES CRITERES EN 2015</w:t>
            </w:r>
            <w:r w:rsidRPr="00350FEA">
              <w:rPr>
                <w:rFonts w:asciiTheme="minorHAnsi" w:hAnsiTheme="minorHAnsi" w:cstheme="minorHAnsi"/>
                <w:b/>
                <w:bCs/>
              </w:rPr>
              <w:t xml:space="preserve"> PAR ETAT ET</w:t>
            </w:r>
            <w:r w:rsidR="00603B88">
              <w:rPr>
                <w:rFonts w:asciiTheme="minorHAnsi" w:hAnsiTheme="minorHAnsi" w:cstheme="minorHAnsi"/>
                <w:b/>
                <w:bCs/>
              </w:rPr>
              <w:t xml:space="preserve"> RAPPEL DES PERFORMANCES EN 2014 ET 2013</w:t>
            </w:r>
          </w:p>
        </w:tc>
        <w:tc>
          <w:tcPr>
            <w:tcW w:w="2125" w:type="dxa"/>
            <w:gridSpan w:val="3"/>
            <w:tcBorders>
              <w:top w:val="single" w:sz="6" w:space="0" w:color="auto"/>
              <w:left w:val="single" w:sz="6" w:space="0" w:color="auto"/>
              <w:bottom w:val="single" w:sz="6" w:space="0" w:color="auto"/>
              <w:right w:val="single" w:sz="12" w:space="0" w:color="000000"/>
            </w:tcBorders>
          </w:tcPr>
          <w:p w:rsidR="008B4644" w:rsidRPr="00350FEA" w:rsidRDefault="008B4644" w:rsidP="008B4644">
            <w:pPr>
              <w:ind w:left="-30" w:firstLine="30"/>
              <w:jc w:val="both"/>
              <w:rPr>
                <w:rFonts w:asciiTheme="minorHAnsi" w:hAnsiTheme="minorHAnsi" w:cstheme="minorHAnsi"/>
                <w:b/>
                <w:bCs/>
              </w:rPr>
            </w:pPr>
          </w:p>
          <w:p w:rsidR="008B4644" w:rsidRPr="00350FEA" w:rsidRDefault="008B4644" w:rsidP="003256E2">
            <w:pPr>
              <w:ind w:left="-30" w:firstLine="30"/>
              <w:jc w:val="both"/>
              <w:rPr>
                <w:rFonts w:asciiTheme="minorHAnsi" w:hAnsiTheme="minorHAnsi" w:cstheme="minorHAnsi"/>
                <w:b/>
                <w:bCs/>
              </w:rPr>
            </w:pPr>
            <w:r w:rsidRPr="00350FEA">
              <w:rPr>
                <w:rFonts w:asciiTheme="minorHAnsi" w:hAnsiTheme="minorHAnsi" w:cstheme="minorHAnsi"/>
                <w:b/>
                <w:bCs/>
              </w:rPr>
              <w:t>Nombre de pays ayant respecté le critère</w:t>
            </w:r>
          </w:p>
        </w:tc>
      </w:tr>
      <w:tr w:rsidR="008B4644" w:rsidRPr="008B4644" w:rsidTr="00350FEA">
        <w:trPr>
          <w:trHeight w:val="559"/>
        </w:trPr>
        <w:tc>
          <w:tcPr>
            <w:tcW w:w="3970" w:type="dxa"/>
            <w:gridSpan w:val="2"/>
            <w:vMerge/>
            <w:tcBorders>
              <w:top w:val="nil"/>
              <w:left w:val="single" w:sz="6" w:space="0" w:color="auto"/>
              <w:bottom w:val="single" w:sz="6" w:space="0" w:color="auto"/>
              <w:right w:val="nil"/>
            </w:tcBorders>
          </w:tcPr>
          <w:p w:rsidR="008B4644" w:rsidRPr="00350FEA" w:rsidRDefault="008B4644" w:rsidP="008B4644">
            <w:pPr>
              <w:spacing w:before="120" w:after="120"/>
              <w:jc w:val="both"/>
              <w:rPr>
                <w:rFonts w:asciiTheme="minorHAnsi" w:hAnsiTheme="minorHAnsi" w:cstheme="minorHAnsi"/>
                <w:b/>
                <w:bCs/>
              </w:rPr>
            </w:pPr>
          </w:p>
        </w:tc>
        <w:tc>
          <w:tcPr>
            <w:tcW w:w="1080" w:type="dxa"/>
            <w:tcBorders>
              <w:top w:val="single" w:sz="6" w:space="0" w:color="auto"/>
              <w:left w:val="single" w:sz="6" w:space="0" w:color="auto"/>
              <w:bottom w:val="single" w:sz="6" w:space="0" w:color="auto"/>
              <w:right w:val="single" w:sz="6" w:space="0" w:color="auto"/>
            </w:tcBorders>
          </w:tcPr>
          <w:p w:rsidR="008B4644" w:rsidRPr="00350FEA" w:rsidRDefault="008B4644" w:rsidP="008B4644">
            <w:pPr>
              <w:jc w:val="both"/>
              <w:rPr>
                <w:rFonts w:asciiTheme="minorHAnsi" w:hAnsiTheme="minorHAnsi" w:cstheme="minorHAnsi"/>
                <w:b/>
                <w:bCs/>
                <w:lang w:val="fr-CH"/>
              </w:rPr>
            </w:pPr>
          </w:p>
          <w:p w:rsidR="008B4644" w:rsidRPr="00350FEA" w:rsidRDefault="008B4644" w:rsidP="008B4644">
            <w:pPr>
              <w:jc w:val="both"/>
              <w:rPr>
                <w:rFonts w:asciiTheme="minorHAnsi" w:hAnsiTheme="minorHAnsi" w:cstheme="minorHAnsi"/>
                <w:b/>
                <w:bCs/>
                <w:lang w:val="en-GB"/>
              </w:rPr>
            </w:pPr>
            <w:r w:rsidRPr="00350FEA">
              <w:rPr>
                <w:rFonts w:asciiTheme="minorHAnsi" w:hAnsiTheme="minorHAnsi" w:cstheme="minorHAnsi"/>
                <w:b/>
                <w:bCs/>
                <w:lang w:val="en-GB"/>
              </w:rPr>
              <w:t>Bénin</w:t>
            </w:r>
          </w:p>
        </w:tc>
        <w:tc>
          <w:tcPr>
            <w:tcW w:w="1081" w:type="dxa"/>
            <w:tcBorders>
              <w:top w:val="single" w:sz="6" w:space="0" w:color="auto"/>
              <w:left w:val="single" w:sz="6" w:space="0" w:color="auto"/>
              <w:bottom w:val="single" w:sz="6" w:space="0" w:color="auto"/>
              <w:right w:val="single" w:sz="6" w:space="0" w:color="auto"/>
            </w:tcBorders>
          </w:tcPr>
          <w:p w:rsidR="008B4644" w:rsidRPr="00350FEA" w:rsidRDefault="008B4644" w:rsidP="008B4644">
            <w:pPr>
              <w:spacing w:before="120"/>
              <w:jc w:val="both"/>
              <w:rPr>
                <w:rFonts w:asciiTheme="minorHAnsi" w:hAnsiTheme="minorHAnsi" w:cstheme="minorHAnsi"/>
                <w:b/>
                <w:bCs/>
                <w:lang w:val="en-GB"/>
              </w:rPr>
            </w:pPr>
            <w:r w:rsidRPr="00350FEA">
              <w:rPr>
                <w:rFonts w:asciiTheme="minorHAnsi" w:hAnsiTheme="minorHAnsi" w:cstheme="minorHAnsi"/>
                <w:b/>
                <w:bCs/>
                <w:lang w:val="en-GB"/>
              </w:rPr>
              <w:t>Burkina Faso</w:t>
            </w:r>
          </w:p>
        </w:tc>
        <w:tc>
          <w:tcPr>
            <w:tcW w:w="1081" w:type="dxa"/>
            <w:tcBorders>
              <w:top w:val="single" w:sz="6" w:space="0" w:color="auto"/>
              <w:left w:val="single" w:sz="6" w:space="0" w:color="auto"/>
              <w:bottom w:val="single" w:sz="6" w:space="0" w:color="auto"/>
              <w:right w:val="single" w:sz="6" w:space="0" w:color="auto"/>
            </w:tcBorders>
          </w:tcPr>
          <w:p w:rsidR="008B4644" w:rsidRPr="00350FEA" w:rsidRDefault="008B4644" w:rsidP="008B4644">
            <w:pPr>
              <w:spacing w:before="120"/>
              <w:jc w:val="both"/>
              <w:rPr>
                <w:rFonts w:asciiTheme="minorHAnsi" w:hAnsiTheme="minorHAnsi" w:cstheme="minorHAnsi"/>
                <w:b/>
                <w:bCs/>
              </w:rPr>
            </w:pPr>
            <w:r w:rsidRPr="00350FEA">
              <w:rPr>
                <w:rFonts w:asciiTheme="minorHAnsi" w:hAnsiTheme="minorHAnsi" w:cstheme="minorHAnsi"/>
                <w:b/>
                <w:bCs/>
              </w:rPr>
              <w:t xml:space="preserve">Côte </w:t>
            </w:r>
            <w:r w:rsidRPr="00350FEA">
              <w:rPr>
                <w:rFonts w:asciiTheme="minorHAnsi" w:hAnsiTheme="minorHAnsi" w:cstheme="minorHAnsi"/>
                <w:b/>
                <w:bCs/>
              </w:rPr>
              <w:br/>
              <w:t>d'Ivoire</w:t>
            </w:r>
          </w:p>
        </w:tc>
        <w:tc>
          <w:tcPr>
            <w:tcW w:w="1081" w:type="dxa"/>
            <w:tcBorders>
              <w:top w:val="single" w:sz="6" w:space="0" w:color="auto"/>
              <w:left w:val="single" w:sz="6" w:space="0" w:color="auto"/>
              <w:bottom w:val="single" w:sz="6" w:space="0" w:color="auto"/>
              <w:right w:val="single" w:sz="6" w:space="0" w:color="auto"/>
            </w:tcBorders>
          </w:tcPr>
          <w:p w:rsidR="008B4644" w:rsidRPr="00350FEA" w:rsidRDefault="008B4644" w:rsidP="008B4644">
            <w:pPr>
              <w:spacing w:before="120"/>
              <w:jc w:val="both"/>
              <w:rPr>
                <w:rFonts w:asciiTheme="minorHAnsi" w:hAnsiTheme="minorHAnsi" w:cstheme="minorHAnsi"/>
                <w:b/>
                <w:bCs/>
              </w:rPr>
            </w:pPr>
            <w:r w:rsidRPr="00350FEA">
              <w:rPr>
                <w:rFonts w:asciiTheme="minorHAnsi" w:hAnsiTheme="minorHAnsi" w:cstheme="minorHAnsi"/>
                <w:b/>
                <w:bCs/>
              </w:rPr>
              <w:t>Guinée Bissau</w:t>
            </w:r>
          </w:p>
        </w:tc>
        <w:tc>
          <w:tcPr>
            <w:tcW w:w="1081" w:type="dxa"/>
            <w:tcBorders>
              <w:top w:val="single" w:sz="6" w:space="0" w:color="auto"/>
              <w:left w:val="single" w:sz="6" w:space="0" w:color="auto"/>
              <w:bottom w:val="single" w:sz="6" w:space="0" w:color="auto"/>
              <w:right w:val="single" w:sz="6" w:space="0" w:color="auto"/>
            </w:tcBorders>
          </w:tcPr>
          <w:p w:rsidR="008B4644" w:rsidRPr="00350FEA" w:rsidRDefault="008B4644" w:rsidP="008B4644">
            <w:pPr>
              <w:jc w:val="both"/>
              <w:rPr>
                <w:rFonts w:asciiTheme="minorHAnsi" w:hAnsiTheme="minorHAnsi" w:cstheme="minorHAnsi"/>
                <w:b/>
                <w:bCs/>
              </w:rPr>
            </w:pPr>
          </w:p>
          <w:p w:rsidR="008B4644" w:rsidRPr="00350FEA" w:rsidRDefault="008B4644" w:rsidP="008B4644">
            <w:pPr>
              <w:jc w:val="both"/>
              <w:rPr>
                <w:rFonts w:asciiTheme="minorHAnsi" w:hAnsiTheme="minorHAnsi" w:cstheme="minorHAnsi"/>
                <w:b/>
                <w:bCs/>
              </w:rPr>
            </w:pPr>
            <w:r w:rsidRPr="00350FEA">
              <w:rPr>
                <w:rFonts w:asciiTheme="minorHAnsi" w:hAnsiTheme="minorHAnsi" w:cstheme="minorHAnsi"/>
                <w:b/>
                <w:bCs/>
              </w:rPr>
              <w:t>Mali</w:t>
            </w:r>
          </w:p>
        </w:tc>
        <w:tc>
          <w:tcPr>
            <w:tcW w:w="1081" w:type="dxa"/>
            <w:tcBorders>
              <w:top w:val="single" w:sz="6" w:space="0" w:color="auto"/>
              <w:left w:val="single" w:sz="6" w:space="0" w:color="auto"/>
              <w:bottom w:val="single" w:sz="6" w:space="0" w:color="auto"/>
              <w:right w:val="single" w:sz="6" w:space="0" w:color="auto"/>
            </w:tcBorders>
          </w:tcPr>
          <w:p w:rsidR="008B4644" w:rsidRPr="00350FEA" w:rsidRDefault="008B4644" w:rsidP="008B4644">
            <w:pPr>
              <w:jc w:val="both"/>
              <w:rPr>
                <w:rFonts w:asciiTheme="minorHAnsi" w:hAnsiTheme="minorHAnsi" w:cstheme="minorHAnsi"/>
                <w:b/>
                <w:bCs/>
              </w:rPr>
            </w:pPr>
          </w:p>
          <w:p w:rsidR="008B4644" w:rsidRPr="00350FEA" w:rsidRDefault="008B4644" w:rsidP="008B4644">
            <w:pPr>
              <w:jc w:val="both"/>
              <w:rPr>
                <w:rFonts w:asciiTheme="minorHAnsi" w:hAnsiTheme="minorHAnsi" w:cstheme="minorHAnsi"/>
                <w:b/>
                <w:bCs/>
              </w:rPr>
            </w:pPr>
            <w:r w:rsidRPr="00350FEA">
              <w:rPr>
                <w:rFonts w:asciiTheme="minorHAnsi" w:hAnsiTheme="minorHAnsi" w:cstheme="minorHAnsi"/>
                <w:b/>
                <w:bCs/>
              </w:rPr>
              <w:t>Niger</w:t>
            </w:r>
          </w:p>
        </w:tc>
        <w:tc>
          <w:tcPr>
            <w:tcW w:w="1081" w:type="dxa"/>
            <w:tcBorders>
              <w:top w:val="single" w:sz="6" w:space="0" w:color="auto"/>
              <w:left w:val="single" w:sz="6" w:space="0" w:color="auto"/>
              <w:bottom w:val="single" w:sz="6" w:space="0" w:color="auto"/>
              <w:right w:val="single" w:sz="6" w:space="0" w:color="auto"/>
            </w:tcBorders>
          </w:tcPr>
          <w:p w:rsidR="008B4644" w:rsidRPr="00350FEA" w:rsidRDefault="008B4644" w:rsidP="008B4644">
            <w:pPr>
              <w:jc w:val="both"/>
              <w:rPr>
                <w:rFonts w:asciiTheme="minorHAnsi" w:hAnsiTheme="minorHAnsi" w:cstheme="minorHAnsi"/>
                <w:b/>
                <w:bCs/>
              </w:rPr>
            </w:pPr>
          </w:p>
          <w:p w:rsidR="008B4644" w:rsidRPr="00350FEA" w:rsidRDefault="008B4644" w:rsidP="008B4644">
            <w:pPr>
              <w:jc w:val="both"/>
              <w:rPr>
                <w:rFonts w:asciiTheme="minorHAnsi" w:hAnsiTheme="minorHAnsi" w:cstheme="minorHAnsi"/>
                <w:b/>
                <w:bCs/>
              </w:rPr>
            </w:pPr>
            <w:r w:rsidRPr="00350FEA">
              <w:rPr>
                <w:rFonts w:asciiTheme="minorHAnsi" w:hAnsiTheme="minorHAnsi" w:cstheme="minorHAnsi"/>
                <w:b/>
                <w:bCs/>
              </w:rPr>
              <w:t>Sénégal</w:t>
            </w:r>
          </w:p>
        </w:tc>
        <w:tc>
          <w:tcPr>
            <w:tcW w:w="1081" w:type="dxa"/>
            <w:tcBorders>
              <w:top w:val="single" w:sz="6" w:space="0" w:color="auto"/>
              <w:left w:val="single" w:sz="6" w:space="0" w:color="auto"/>
              <w:bottom w:val="single" w:sz="6" w:space="0" w:color="auto"/>
              <w:right w:val="single" w:sz="12" w:space="0" w:color="auto"/>
            </w:tcBorders>
          </w:tcPr>
          <w:p w:rsidR="008B4644" w:rsidRPr="00350FEA" w:rsidRDefault="008B4644" w:rsidP="008B4644">
            <w:pPr>
              <w:jc w:val="both"/>
              <w:rPr>
                <w:rFonts w:asciiTheme="minorHAnsi" w:hAnsiTheme="minorHAnsi" w:cstheme="minorHAnsi"/>
                <w:b/>
                <w:bCs/>
              </w:rPr>
            </w:pPr>
          </w:p>
          <w:p w:rsidR="008B4644" w:rsidRPr="00350FEA" w:rsidRDefault="008B4644" w:rsidP="008B4644">
            <w:pPr>
              <w:jc w:val="both"/>
              <w:rPr>
                <w:rFonts w:asciiTheme="minorHAnsi" w:hAnsiTheme="minorHAnsi" w:cstheme="minorHAnsi"/>
                <w:b/>
                <w:bCs/>
              </w:rPr>
            </w:pPr>
            <w:r w:rsidRPr="00350FEA">
              <w:rPr>
                <w:rFonts w:asciiTheme="minorHAnsi" w:hAnsiTheme="minorHAnsi" w:cstheme="minorHAnsi"/>
                <w:b/>
                <w:bCs/>
              </w:rPr>
              <w:t>Togo</w:t>
            </w:r>
          </w:p>
        </w:tc>
        <w:tc>
          <w:tcPr>
            <w:tcW w:w="708" w:type="dxa"/>
            <w:tcBorders>
              <w:top w:val="single" w:sz="12" w:space="0" w:color="auto"/>
              <w:left w:val="single" w:sz="12" w:space="0" w:color="auto"/>
              <w:bottom w:val="single" w:sz="6" w:space="0" w:color="auto"/>
              <w:right w:val="single" w:sz="12" w:space="0" w:color="auto"/>
            </w:tcBorders>
            <w:shd w:val="pct25" w:color="auto" w:fill="auto"/>
          </w:tcPr>
          <w:p w:rsidR="008B4644" w:rsidRPr="00350FEA" w:rsidRDefault="008B4644" w:rsidP="008B4644">
            <w:pPr>
              <w:jc w:val="both"/>
              <w:rPr>
                <w:rFonts w:asciiTheme="minorHAnsi" w:hAnsiTheme="minorHAnsi" w:cstheme="minorHAnsi"/>
                <w:b/>
                <w:bCs/>
              </w:rPr>
            </w:pPr>
          </w:p>
          <w:p w:rsidR="008B4644" w:rsidRPr="00350FEA" w:rsidRDefault="0015468A" w:rsidP="008B4644">
            <w:pPr>
              <w:jc w:val="both"/>
              <w:rPr>
                <w:rFonts w:asciiTheme="minorHAnsi" w:hAnsiTheme="minorHAnsi" w:cstheme="minorHAnsi"/>
                <w:b/>
                <w:bCs/>
              </w:rPr>
            </w:pPr>
            <w:r>
              <w:rPr>
                <w:rFonts w:asciiTheme="minorHAnsi" w:hAnsiTheme="minorHAnsi" w:cstheme="minorHAnsi"/>
                <w:b/>
                <w:bCs/>
              </w:rPr>
              <w:t>2015</w:t>
            </w:r>
          </w:p>
        </w:tc>
        <w:tc>
          <w:tcPr>
            <w:tcW w:w="708" w:type="dxa"/>
            <w:tcBorders>
              <w:top w:val="single" w:sz="12" w:space="0" w:color="auto"/>
              <w:left w:val="single" w:sz="12" w:space="0" w:color="auto"/>
              <w:bottom w:val="single" w:sz="6" w:space="0" w:color="auto"/>
              <w:right w:val="single" w:sz="12" w:space="0" w:color="auto"/>
            </w:tcBorders>
            <w:shd w:val="solid" w:color="C0C0C0" w:fill="auto"/>
          </w:tcPr>
          <w:p w:rsidR="008B4644" w:rsidRPr="00350FEA" w:rsidRDefault="008B4644" w:rsidP="008B4644">
            <w:pPr>
              <w:jc w:val="both"/>
              <w:rPr>
                <w:rFonts w:asciiTheme="minorHAnsi" w:hAnsiTheme="minorHAnsi" w:cstheme="minorHAnsi"/>
                <w:b/>
                <w:bCs/>
              </w:rPr>
            </w:pPr>
          </w:p>
          <w:p w:rsidR="008B4644" w:rsidRPr="00350FEA" w:rsidRDefault="0015468A" w:rsidP="008B4644">
            <w:pPr>
              <w:jc w:val="both"/>
              <w:rPr>
                <w:rFonts w:asciiTheme="minorHAnsi" w:hAnsiTheme="minorHAnsi" w:cstheme="minorHAnsi"/>
                <w:b/>
                <w:bCs/>
              </w:rPr>
            </w:pPr>
            <w:r>
              <w:rPr>
                <w:rFonts w:asciiTheme="minorHAnsi" w:hAnsiTheme="minorHAnsi" w:cstheme="minorHAnsi"/>
                <w:b/>
                <w:bCs/>
              </w:rPr>
              <w:t>2014</w:t>
            </w:r>
          </w:p>
        </w:tc>
        <w:tc>
          <w:tcPr>
            <w:tcW w:w="709" w:type="dxa"/>
            <w:tcBorders>
              <w:top w:val="single" w:sz="12" w:space="0" w:color="auto"/>
              <w:left w:val="single" w:sz="12" w:space="0" w:color="auto"/>
              <w:bottom w:val="single" w:sz="6" w:space="0" w:color="auto"/>
              <w:right w:val="single" w:sz="12" w:space="0" w:color="000000"/>
            </w:tcBorders>
            <w:shd w:val="solid" w:color="C0C0C0" w:fill="auto"/>
          </w:tcPr>
          <w:p w:rsidR="008B4644" w:rsidRPr="00350FEA" w:rsidRDefault="008B4644" w:rsidP="008B4644">
            <w:pPr>
              <w:jc w:val="both"/>
              <w:rPr>
                <w:rFonts w:asciiTheme="minorHAnsi" w:hAnsiTheme="minorHAnsi" w:cstheme="minorHAnsi"/>
                <w:b/>
                <w:bCs/>
              </w:rPr>
            </w:pPr>
          </w:p>
          <w:p w:rsidR="008B4644" w:rsidRPr="00350FEA" w:rsidRDefault="0015468A" w:rsidP="008B4644">
            <w:pPr>
              <w:jc w:val="both"/>
              <w:rPr>
                <w:rFonts w:asciiTheme="minorHAnsi" w:hAnsiTheme="minorHAnsi" w:cstheme="minorHAnsi"/>
                <w:b/>
                <w:bCs/>
              </w:rPr>
            </w:pPr>
            <w:r>
              <w:rPr>
                <w:rFonts w:asciiTheme="minorHAnsi" w:hAnsiTheme="minorHAnsi" w:cstheme="minorHAnsi"/>
                <w:b/>
                <w:bCs/>
              </w:rPr>
              <w:t>2013</w:t>
            </w:r>
          </w:p>
        </w:tc>
      </w:tr>
      <w:tr w:rsidR="0015468A" w:rsidRPr="008B4644" w:rsidTr="00BD3277">
        <w:trPr>
          <w:trHeight w:hRule="exact" w:val="956"/>
        </w:trPr>
        <w:tc>
          <w:tcPr>
            <w:tcW w:w="1276" w:type="dxa"/>
            <w:tcBorders>
              <w:top w:val="single" w:sz="6" w:space="0" w:color="auto"/>
              <w:left w:val="single" w:sz="6" w:space="0" w:color="auto"/>
              <w:bottom w:val="single" w:sz="6" w:space="0" w:color="auto"/>
              <w:right w:val="single" w:sz="6" w:space="0" w:color="auto"/>
            </w:tcBorders>
          </w:tcPr>
          <w:p w:rsidR="0015468A" w:rsidRPr="00350FEA" w:rsidRDefault="0015468A" w:rsidP="008B4644">
            <w:pPr>
              <w:spacing w:before="120" w:after="120"/>
              <w:jc w:val="both"/>
              <w:rPr>
                <w:rFonts w:asciiTheme="minorHAnsi" w:hAnsiTheme="minorHAnsi" w:cstheme="minorHAnsi"/>
                <w:b/>
                <w:bCs/>
              </w:rPr>
            </w:pPr>
            <w:r w:rsidRPr="00350FEA">
              <w:rPr>
                <w:rFonts w:asciiTheme="minorHAnsi" w:hAnsiTheme="minorHAnsi" w:cstheme="minorHAnsi"/>
                <w:b/>
                <w:bCs/>
              </w:rPr>
              <w:t>1</w:t>
            </w:r>
          </w:p>
        </w:tc>
        <w:tc>
          <w:tcPr>
            <w:tcW w:w="2694" w:type="dxa"/>
            <w:tcBorders>
              <w:top w:val="single" w:sz="6" w:space="0" w:color="auto"/>
              <w:left w:val="single" w:sz="6" w:space="0" w:color="auto"/>
              <w:bottom w:val="single" w:sz="6" w:space="0" w:color="auto"/>
              <w:right w:val="single" w:sz="6" w:space="0" w:color="auto"/>
            </w:tcBorders>
          </w:tcPr>
          <w:p w:rsidR="0015468A" w:rsidRPr="00350FEA" w:rsidRDefault="0015468A" w:rsidP="008B4644">
            <w:pPr>
              <w:spacing w:before="120" w:after="120"/>
              <w:jc w:val="both"/>
              <w:rPr>
                <w:rFonts w:asciiTheme="minorHAnsi" w:hAnsiTheme="minorHAnsi" w:cstheme="minorHAnsi"/>
                <w:b/>
                <w:bCs/>
              </w:rPr>
            </w:pPr>
            <w:r w:rsidRPr="00350FEA">
              <w:rPr>
                <w:rFonts w:asciiTheme="minorHAnsi" w:hAnsiTheme="minorHAnsi" w:cstheme="minorHAnsi"/>
                <w:b/>
                <w:bCs/>
              </w:rPr>
              <w:t>Solde budgétaire global, dons compris, sur PIB nominal (norme &gt;=-3%)</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-5,6</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120" w:after="120"/>
              <w:jc w:val="right"/>
              <w:rPr>
                <w:rFonts w:asciiTheme="minorHAnsi" w:hAnsiTheme="minorHAnsi" w:cstheme="minorHAnsi"/>
                <w:sz w:val="20"/>
                <w:szCs w:val="20"/>
              </w:rPr>
            </w:pPr>
            <w:r w:rsidRPr="00BD3277">
              <w:rPr>
                <w:rFonts w:asciiTheme="minorHAnsi" w:hAnsiTheme="minorHAnsi" w:cstheme="minorHAnsi"/>
                <w:sz w:val="20"/>
                <w:szCs w:val="20"/>
                <w:shd w:val="clear" w:color="auto" w:fill="D6E3BC" w:themeFill="accent3" w:themeFillTint="66"/>
              </w:rPr>
              <w:t>-2,</w:t>
            </w:r>
            <w:r w:rsidRPr="0015468A">
              <w:rPr>
                <w:rFonts w:asciiTheme="minorHAnsi" w:hAnsiTheme="minorHAnsi" w:cstheme="minorHAnsi"/>
                <w:sz w:val="20"/>
                <w:szCs w:val="20"/>
              </w:rPr>
              <w:t>4</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-3,6</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-2,6</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120" w:after="120"/>
              <w:jc w:val="right"/>
              <w:rPr>
                <w:rFonts w:asciiTheme="minorHAnsi" w:hAnsiTheme="minorHAnsi" w:cstheme="minorHAnsi"/>
                <w:color w:val="000000"/>
                <w:sz w:val="20"/>
                <w:szCs w:val="20"/>
              </w:rPr>
            </w:pPr>
            <w:r w:rsidRPr="0015468A">
              <w:rPr>
                <w:rFonts w:asciiTheme="minorHAnsi" w:hAnsiTheme="minorHAnsi" w:cstheme="minorHAnsi"/>
                <w:color w:val="000000"/>
                <w:sz w:val="20"/>
                <w:szCs w:val="20"/>
              </w:rPr>
              <w:t>-2,5</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-6,9</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-4,8</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-3,7</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8A75ED" w:rsidRDefault="0015468A" w:rsidP="00DA26F3">
            <w:pPr>
              <w:spacing w:before="120" w:after="120"/>
              <w:jc w:val="right"/>
              <w:rPr>
                <w:rFonts w:asciiTheme="minorHAnsi" w:hAnsiTheme="minorHAnsi" w:cstheme="minorHAnsi"/>
                <w:sz w:val="20"/>
                <w:szCs w:val="20"/>
              </w:rPr>
            </w:pPr>
            <w:r w:rsidRPr="008A75ED">
              <w:rPr>
                <w:rFonts w:asciiTheme="minorHAnsi" w:hAnsiTheme="minorHAnsi" w:cstheme="minorHAnsi"/>
                <w:sz w:val="20"/>
                <w:szCs w:val="20"/>
              </w:rPr>
              <w:t>3</w:t>
            </w:r>
          </w:p>
        </w:tc>
        <w:tc>
          <w:tcPr>
            <w:tcW w:w="708" w:type="dxa"/>
            <w:tcBorders>
              <w:top w:val="single" w:sz="6" w:space="0" w:color="auto"/>
              <w:left w:val="single" w:sz="6" w:space="0" w:color="auto"/>
              <w:bottom w:val="single" w:sz="6" w:space="0" w:color="auto"/>
              <w:right w:val="single" w:sz="12" w:space="0" w:color="auto"/>
            </w:tcBorders>
            <w:shd w:val="clear" w:color="auto" w:fill="FFFFFF" w:themeFill="background1"/>
          </w:tcPr>
          <w:p w:rsidR="0015468A" w:rsidRPr="008A75ED" w:rsidRDefault="0015468A" w:rsidP="00DA26F3">
            <w:pPr>
              <w:spacing w:before="120" w:after="120"/>
              <w:jc w:val="right"/>
              <w:rPr>
                <w:rFonts w:asciiTheme="minorHAnsi" w:hAnsiTheme="minorHAnsi" w:cstheme="minorHAnsi"/>
                <w:sz w:val="20"/>
                <w:szCs w:val="20"/>
              </w:rPr>
            </w:pPr>
            <w:r w:rsidRPr="008A75ED">
              <w:rPr>
                <w:rFonts w:asciiTheme="minorHAnsi" w:hAnsiTheme="minorHAnsi" w:cstheme="minorHAnsi"/>
                <w:sz w:val="20"/>
                <w:szCs w:val="20"/>
              </w:rPr>
              <w:t>3</w:t>
            </w:r>
          </w:p>
        </w:tc>
        <w:tc>
          <w:tcPr>
            <w:tcW w:w="709" w:type="dxa"/>
            <w:tcBorders>
              <w:top w:val="single" w:sz="6" w:space="0" w:color="auto"/>
              <w:left w:val="single" w:sz="12" w:space="0" w:color="auto"/>
              <w:bottom w:val="single" w:sz="6" w:space="0" w:color="auto"/>
              <w:right w:val="single" w:sz="12" w:space="0" w:color="000000"/>
            </w:tcBorders>
            <w:shd w:val="clear" w:color="auto" w:fill="FFFFFF" w:themeFill="background1"/>
          </w:tcPr>
          <w:p w:rsidR="0015468A" w:rsidRPr="008A75ED" w:rsidRDefault="0015468A" w:rsidP="00DA26F3">
            <w:pPr>
              <w:spacing w:before="120" w:after="120"/>
              <w:jc w:val="right"/>
              <w:rPr>
                <w:rFonts w:asciiTheme="minorHAnsi" w:hAnsiTheme="minorHAnsi" w:cstheme="minorHAnsi"/>
                <w:sz w:val="20"/>
                <w:szCs w:val="20"/>
              </w:rPr>
            </w:pPr>
            <w:r w:rsidRPr="008A75ED">
              <w:rPr>
                <w:rFonts w:asciiTheme="minorHAnsi" w:hAnsiTheme="minorHAnsi" w:cstheme="minorHAnsi"/>
                <w:sz w:val="20"/>
                <w:szCs w:val="20"/>
              </w:rPr>
              <w:t>4</w:t>
            </w:r>
          </w:p>
        </w:tc>
      </w:tr>
      <w:tr w:rsidR="0015468A" w:rsidRPr="008B4644" w:rsidTr="00BD3277">
        <w:trPr>
          <w:trHeight w:hRule="exact" w:val="856"/>
        </w:trPr>
        <w:tc>
          <w:tcPr>
            <w:tcW w:w="1276" w:type="dxa"/>
            <w:tcBorders>
              <w:top w:val="single" w:sz="6" w:space="0" w:color="auto"/>
              <w:left w:val="single" w:sz="6" w:space="0" w:color="auto"/>
              <w:bottom w:val="single" w:sz="6" w:space="0" w:color="auto"/>
              <w:right w:val="single" w:sz="6" w:space="0" w:color="auto"/>
            </w:tcBorders>
          </w:tcPr>
          <w:p w:rsidR="0015468A" w:rsidRPr="00350FEA" w:rsidRDefault="0015468A" w:rsidP="008B4644">
            <w:pPr>
              <w:spacing w:before="120" w:after="120"/>
              <w:jc w:val="both"/>
              <w:rPr>
                <w:rFonts w:asciiTheme="minorHAnsi" w:hAnsiTheme="minorHAnsi" w:cstheme="minorHAnsi"/>
                <w:b/>
                <w:bCs/>
              </w:rPr>
            </w:pPr>
            <w:r w:rsidRPr="00350FEA">
              <w:rPr>
                <w:rFonts w:asciiTheme="minorHAnsi" w:hAnsiTheme="minorHAnsi" w:cstheme="minorHAnsi"/>
                <w:b/>
                <w:bCs/>
              </w:rPr>
              <w:t>2</w:t>
            </w:r>
          </w:p>
        </w:tc>
        <w:tc>
          <w:tcPr>
            <w:tcW w:w="2694" w:type="dxa"/>
            <w:tcBorders>
              <w:top w:val="single" w:sz="6" w:space="0" w:color="auto"/>
              <w:left w:val="single" w:sz="6" w:space="0" w:color="auto"/>
              <w:bottom w:val="single" w:sz="6" w:space="0" w:color="auto"/>
              <w:right w:val="single" w:sz="6" w:space="0" w:color="auto"/>
            </w:tcBorders>
          </w:tcPr>
          <w:p w:rsidR="0015468A" w:rsidRPr="00350FEA" w:rsidRDefault="0015468A" w:rsidP="008B4644">
            <w:pPr>
              <w:spacing w:before="120" w:after="120"/>
              <w:jc w:val="both"/>
              <w:rPr>
                <w:rFonts w:asciiTheme="minorHAnsi" w:hAnsiTheme="minorHAnsi" w:cstheme="minorHAnsi"/>
                <w:b/>
                <w:bCs/>
              </w:rPr>
            </w:pPr>
            <w:r w:rsidRPr="00350FEA">
              <w:rPr>
                <w:rFonts w:asciiTheme="minorHAnsi" w:hAnsiTheme="minorHAnsi" w:cstheme="minorHAnsi"/>
                <w:b/>
                <w:bCs/>
              </w:rPr>
              <w:t>Taux d'inflation annuel moyen (norme &lt;=3%)</w:t>
            </w:r>
          </w:p>
        </w:tc>
        <w:tc>
          <w:tcPr>
            <w:tcW w:w="1080"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0,0</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1,0</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1,5</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1,4</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2,1</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0,6</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-0,5</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2,1</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8A75ED" w:rsidRDefault="0015468A" w:rsidP="00DA26F3">
            <w:pPr>
              <w:tabs>
                <w:tab w:val="left" w:pos="345"/>
              </w:tabs>
              <w:spacing w:before="120" w:after="120"/>
              <w:jc w:val="right"/>
              <w:rPr>
                <w:rFonts w:asciiTheme="minorHAnsi" w:hAnsiTheme="minorHAnsi" w:cstheme="minorHAnsi"/>
                <w:sz w:val="20"/>
                <w:szCs w:val="20"/>
              </w:rPr>
            </w:pPr>
            <w:r w:rsidRPr="008A75ED">
              <w:rPr>
                <w:rFonts w:asciiTheme="minorHAnsi" w:hAnsiTheme="minorHAnsi" w:cstheme="minorHAnsi"/>
                <w:sz w:val="20"/>
                <w:szCs w:val="20"/>
              </w:rPr>
              <w:t>8</w:t>
            </w:r>
          </w:p>
        </w:tc>
        <w:tc>
          <w:tcPr>
            <w:tcW w:w="708" w:type="dxa"/>
            <w:tcBorders>
              <w:top w:val="single" w:sz="6" w:space="0" w:color="auto"/>
              <w:left w:val="single" w:sz="6" w:space="0" w:color="auto"/>
              <w:bottom w:val="single" w:sz="6" w:space="0" w:color="auto"/>
              <w:right w:val="single" w:sz="12" w:space="0" w:color="auto"/>
            </w:tcBorders>
            <w:shd w:val="clear" w:color="auto" w:fill="FFFFFF" w:themeFill="background1"/>
          </w:tcPr>
          <w:p w:rsidR="0015468A" w:rsidRPr="008A75ED" w:rsidRDefault="0015468A" w:rsidP="00DA26F3">
            <w:pPr>
              <w:spacing w:before="120" w:after="120"/>
              <w:jc w:val="right"/>
              <w:rPr>
                <w:rFonts w:asciiTheme="minorHAnsi" w:hAnsiTheme="minorHAnsi" w:cstheme="minorHAnsi"/>
                <w:sz w:val="20"/>
                <w:szCs w:val="20"/>
              </w:rPr>
            </w:pPr>
            <w:r w:rsidRPr="008A75ED">
              <w:rPr>
                <w:rFonts w:asciiTheme="minorHAnsi" w:hAnsiTheme="minorHAnsi" w:cstheme="minorHAnsi"/>
                <w:sz w:val="20"/>
                <w:szCs w:val="20"/>
              </w:rPr>
              <w:t>8</w:t>
            </w:r>
          </w:p>
        </w:tc>
        <w:tc>
          <w:tcPr>
            <w:tcW w:w="709" w:type="dxa"/>
            <w:tcBorders>
              <w:top w:val="single" w:sz="6" w:space="0" w:color="auto"/>
              <w:left w:val="single" w:sz="12" w:space="0" w:color="auto"/>
              <w:bottom w:val="single" w:sz="6" w:space="0" w:color="auto"/>
              <w:right w:val="single" w:sz="12" w:space="0" w:color="000000"/>
            </w:tcBorders>
            <w:shd w:val="clear" w:color="auto" w:fill="FFFFFF" w:themeFill="background1"/>
          </w:tcPr>
          <w:p w:rsidR="0015468A" w:rsidRPr="008A75ED" w:rsidRDefault="0015468A" w:rsidP="00DA26F3">
            <w:pPr>
              <w:spacing w:before="120" w:after="120"/>
              <w:jc w:val="right"/>
              <w:rPr>
                <w:rFonts w:asciiTheme="minorHAnsi" w:hAnsiTheme="minorHAnsi" w:cstheme="minorHAnsi"/>
                <w:sz w:val="20"/>
                <w:szCs w:val="20"/>
              </w:rPr>
            </w:pPr>
            <w:r w:rsidRPr="008A75ED">
              <w:rPr>
                <w:rFonts w:asciiTheme="minorHAnsi" w:hAnsiTheme="minorHAnsi" w:cstheme="minorHAnsi"/>
                <w:sz w:val="20"/>
                <w:szCs w:val="20"/>
              </w:rPr>
              <w:t>8</w:t>
            </w:r>
          </w:p>
        </w:tc>
      </w:tr>
      <w:tr w:rsidR="0015468A" w:rsidRPr="008B4644" w:rsidTr="00BD3277">
        <w:trPr>
          <w:trHeight w:hRule="exact" w:val="1123"/>
        </w:trPr>
        <w:tc>
          <w:tcPr>
            <w:tcW w:w="1276" w:type="dxa"/>
            <w:tcBorders>
              <w:top w:val="single" w:sz="6" w:space="0" w:color="auto"/>
              <w:left w:val="single" w:sz="6" w:space="0" w:color="auto"/>
              <w:bottom w:val="single" w:sz="6" w:space="0" w:color="auto"/>
              <w:right w:val="single" w:sz="6" w:space="0" w:color="auto"/>
            </w:tcBorders>
          </w:tcPr>
          <w:p w:rsidR="0015468A" w:rsidRPr="00350FEA" w:rsidRDefault="0015468A" w:rsidP="008B4644">
            <w:pPr>
              <w:spacing w:before="120" w:after="120"/>
              <w:jc w:val="both"/>
              <w:rPr>
                <w:rFonts w:asciiTheme="minorHAnsi" w:hAnsiTheme="minorHAnsi" w:cstheme="minorHAnsi"/>
                <w:b/>
                <w:bCs/>
              </w:rPr>
            </w:pPr>
            <w:r w:rsidRPr="00350FEA">
              <w:rPr>
                <w:rFonts w:asciiTheme="minorHAnsi" w:hAnsiTheme="minorHAnsi" w:cstheme="minorHAnsi"/>
                <w:b/>
                <w:bCs/>
              </w:rPr>
              <w:t>3</w:t>
            </w:r>
          </w:p>
        </w:tc>
        <w:tc>
          <w:tcPr>
            <w:tcW w:w="2694" w:type="dxa"/>
            <w:tcBorders>
              <w:top w:val="single" w:sz="6" w:space="0" w:color="auto"/>
              <w:left w:val="single" w:sz="6" w:space="0" w:color="auto"/>
              <w:bottom w:val="single" w:sz="6" w:space="0" w:color="auto"/>
              <w:right w:val="single" w:sz="6" w:space="0" w:color="auto"/>
            </w:tcBorders>
          </w:tcPr>
          <w:p w:rsidR="0015468A" w:rsidRPr="00350FEA" w:rsidRDefault="0015468A" w:rsidP="008B4644">
            <w:pPr>
              <w:spacing w:before="120" w:after="120"/>
              <w:jc w:val="both"/>
              <w:rPr>
                <w:rFonts w:asciiTheme="minorHAnsi" w:hAnsiTheme="minorHAnsi" w:cstheme="minorHAnsi"/>
                <w:b/>
                <w:bCs/>
              </w:rPr>
            </w:pPr>
            <w:r w:rsidRPr="00350FEA">
              <w:rPr>
                <w:rFonts w:asciiTheme="minorHAnsi" w:hAnsiTheme="minorHAnsi" w:cstheme="minorHAnsi"/>
                <w:b/>
                <w:bCs/>
              </w:rPr>
              <w:t>Encours de la dette publique totale rapporté au PIB nominal (norme &lt;=70%)</w:t>
            </w:r>
          </w:p>
        </w:tc>
        <w:tc>
          <w:tcPr>
            <w:tcW w:w="1080"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240"/>
              <w:jc w:val="right"/>
              <w:rPr>
                <w:rFonts w:asciiTheme="minorHAnsi" w:hAnsiTheme="minorHAnsi" w:cstheme="minorHAnsi"/>
                <w:sz w:val="20"/>
                <w:szCs w:val="20"/>
              </w:rPr>
            </w:pPr>
            <w:r w:rsidRPr="0015468A">
              <w:rPr>
                <w:rFonts w:asciiTheme="minorHAnsi" w:hAnsiTheme="minorHAnsi" w:cstheme="minorHAnsi"/>
                <w:sz w:val="20"/>
                <w:szCs w:val="20"/>
              </w:rPr>
              <w:t>36,3</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240"/>
              <w:jc w:val="right"/>
              <w:rPr>
                <w:rFonts w:asciiTheme="minorHAnsi" w:hAnsiTheme="minorHAnsi" w:cstheme="minorHAnsi"/>
                <w:sz w:val="20"/>
                <w:szCs w:val="20"/>
              </w:rPr>
            </w:pPr>
            <w:r w:rsidRPr="0015468A">
              <w:rPr>
                <w:rFonts w:asciiTheme="minorHAnsi" w:hAnsiTheme="minorHAnsi" w:cstheme="minorHAnsi"/>
                <w:sz w:val="20"/>
                <w:szCs w:val="20"/>
              </w:rPr>
              <w:t>32,7</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240"/>
              <w:jc w:val="right"/>
              <w:rPr>
                <w:rFonts w:asciiTheme="minorHAnsi" w:hAnsiTheme="minorHAnsi" w:cstheme="minorHAnsi"/>
                <w:sz w:val="20"/>
                <w:szCs w:val="20"/>
              </w:rPr>
            </w:pPr>
            <w:r w:rsidRPr="0015468A">
              <w:rPr>
                <w:rFonts w:asciiTheme="minorHAnsi" w:hAnsiTheme="minorHAnsi" w:cstheme="minorHAnsi"/>
                <w:sz w:val="20"/>
                <w:szCs w:val="20"/>
              </w:rPr>
              <w:t>40,0</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240"/>
              <w:jc w:val="right"/>
              <w:rPr>
                <w:rFonts w:asciiTheme="minorHAnsi" w:hAnsiTheme="minorHAnsi" w:cstheme="minorHAnsi"/>
                <w:sz w:val="20"/>
                <w:szCs w:val="20"/>
              </w:rPr>
            </w:pPr>
            <w:r w:rsidRPr="0015468A">
              <w:rPr>
                <w:rFonts w:asciiTheme="minorHAnsi" w:hAnsiTheme="minorHAnsi" w:cstheme="minorHAnsi"/>
                <w:sz w:val="20"/>
                <w:szCs w:val="20"/>
              </w:rPr>
              <w:t>68,2</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240"/>
              <w:jc w:val="right"/>
              <w:rPr>
                <w:rFonts w:asciiTheme="minorHAnsi" w:hAnsiTheme="minorHAnsi" w:cstheme="minorHAnsi"/>
                <w:sz w:val="20"/>
                <w:szCs w:val="20"/>
              </w:rPr>
            </w:pPr>
            <w:r w:rsidRPr="0015468A">
              <w:rPr>
                <w:rFonts w:asciiTheme="minorHAnsi" w:hAnsiTheme="minorHAnsi" w:cstheme="minorHAnsi"/>
                <w:sz w:val="20"/>
                <w:szCs w:val="20"/>
              </w:rPr>
              <w:t>35,0</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240"/>
              <w:jc w:val="right"/>
              <w:rPr>
                <w:rFonts w:asciiTheme="minorHAnsi" w:hAnsiTheme="minorHAnsi" w:cstheme="minorHAnsi"/>
                <w:sz w:val="20"/>
                <w:szCs w:val="20"/>
              </w:rPr>
            </w:pPr>
            <w:r w:rsidRPr="0015468A">
              <w:rPr>
                <w:rFonts w:asciiTheme="minorHAnsi" w:hAnsiTheme="minorHAnsi" w:cstheme="minorHAnsi"/>
                <w:sz w:val="20"/>
                <w:szCs w:val="20"/>
              </w:rPr>
              <w:t>23,5</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240"/>
              <w:jc w:val="right"/>
              <w:rPr>
                <w:rFonts w:asciiTheme="minorHAnsi" w:hAnsiTheme="minorHAnsi" w:cstheme="minorHAnsi"/>
                <w:sz w:val="20"/>
                <w:szCs w:val="20"/>
              </w:rPr>
            </w:pPr>
            <w:r w:rsidRPr="0015468A">
              <w:rPr>
                <w:rFonts w:asciiTheme="minorHAnsi" w:hAnsiTheme="minorHAnsi" w:cstheme="minorHAnsi"/>
                <w:sz w:val="20"/>
                <w:szCs w:val="20"/>
              </w:rPr>
              <w:t>55,2</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240"/>
              <w:jc w:val="right"/>
              <w:rPr>
                <w:rFonts w:asciiTheme="minorHAnsi" w:hAnsiTheme="minorHAnsi" w:cstheme="minorHAnsi"/>
                <w:sz w:val="20"/>
                <w:szCs w:val="20"/>
              </w:rPr>
            </w:pPr>
            <w:r w:rsidRPr="0015468A">
              <w:rPr>
                <w:rFonts w:asciiTheme="minorHAnsi" w:hAnsiTheme="minorHAnsi" w:cstheme="minorHAnsi"/>
                <w:sz w:val="20"/>
                <w:szCs w:val="20"/>
              </w:rPr>
              <w:t>35,6</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8A75ED" w:rsidRDefault="0015468A" w:rsidP="00DA26F3">
            <w:pPr>
              <w:tabs>
                <w:tab w:val="left" w:pos="360"/>
              </w:tabs>
              <w:spacing w:before="240"/>
              <w:jc w:val="right"/>
              <w:rPr>
                <w:rFonts w:asciiTheme="minorHAnsi" w:hAnsiTheme="minorHAnsi" w:cstheme="minorHAnsi"/>
                <w:sz w:val="20"/>
                <w:szCs w:val="20"/>
              </w:rPr>
            </w:pPr>
            <w:r w:rsidRPr="008A75ED">
              <w:rPr>
                <w:rFonts w:asciiTheme="minorHAnsi" w:hAnsiTheme="minorHAnsi" w:cstheme="minorHAnsi"/>
                <w:sz w:val="20"/>
                <w:szCs w:val="20"/>
              </w:rPr>
              <w:t>8</w:t>
            </w:r>
          </w:p>
        </w:tc>
        <w:tc>
          <w:tcPr>
            <w:tcW w:w="708" w:type="dxa"/>
            <w:tcBorders>
              <w:top w:val="single" w:sz="6" w:space="0" w:color="auto"/>
              <w:left w:val="single" w:sz="6" w:space="0" w:color="auto"/>
              <w:bottom w:val="single" w:sz="6" w:space="0" w:color="auto"/>
              <w:right w:val="single" w:sz="12" w:space="0" w:color="auto"/>
            </w:tcBorders>
            <w:shd w:val="clear" w:color="auto" w:fill="FFFFFF" w:themeFill="background1"/>
          </w:tcPr>
          <w:p w:rsidR="0015468A" w:rsidRPr="008A75ED" w:rsidRDefault="0015468A" w:rsidP="00DA26F3">
            <w:pPr>
              <w:spacing w:before="240"/>
              <w:jc w:val="right"/>
              <w:rPr>
                <w:rFonts w:asciiTheme="minorHAnsi" w:hAnsiTheme="minorHAnsi" w:cstheme="minorHAnsi"/>
                <w:sz w:val="20"/>
                <w:szCs w:val="20"/>
              </w:rPr>
            </w:pPr>
            <w:r w:rsidRPr="008A75ED">
              <w:rPr>
                <w:rFonts w:asciiTheme="minorHAnsi" w:hAnsiTheme="minorHAnsi" w:cstheme="minorHAnsi"/>
                <w:sz w:val="20"/>
                <w:szCs w:val="20"/>
              </w:rPr>
              <w:t>8</w:t>
            </w:r>
          </w:p>
        </w:tc>
        <w:tc>
          <w:tcPr>
            <w:tcW w:w="709" w:type="dxa"/>
            <w:tcBorders>
              <w:top w:val="single" w:sz="6" w:space="0" w:color="auto"/>
              <w:left w:val="single" w:sz="12" w:space="0" w:color="auto"/>
              <w:bottom w:val="single" w:sz="6" w:space="0" w:color="auto"/>
              <w:right w:val="single" w:sz="12" w:space="0" w:color="000000"/>
            </w:tcBorders>
            <w:shd w:val="clear" w:color="auto" w:fill="FFFFFF" w:themeFill="background1"/>
          </w:tcPr>
          <w:p w:rsidR="0015468A" w:rsidRPr="008A75ED" w:rsidRDefault="0015468A" w:rsidP="00DA26F3">
            <w:pPr>
              <w:spacing w:before="240"/>
              <w:jc w:val="right"/>
              <w:rPr>
                <w:rFonts w:asciiTheme="minorHAnsi" w:hAnsiTheme="minorHAnsi" w:cstheme="minorHAnsi"/>
                <w:sz w:val="20"/>
                <w:szCs w:val="20"/>
              </w:rPr>
            </w:pPr>
            <w:r w:rsidRPr="008A75ED">
              <w:rPr>
                <w:rFonts w:asciiTheme="minorHAnsi" w:hAnsiTheme="minorHAnsi" w:cstheme="minorHAnsi"/>
                <w:sz w:val="20"/>
                <w:szCs w:val="20"/>
              </w:rPr>
              <w:t>8</w:t>
            </w:r>
          </w:p>
        </w:tc>
      </w:tr>
      <w:tr w:rsidR="0015468A" w:rsidRPr="008B4644" w:rsidTr="00BD3277">
        <w:trPr>
          <w:trHeight w:hRule="exact" w:val="997"/>
        </w:trPr>
        <w:tc>
          <w:tcPr>
            <w:tcW w:w="1276" w:type="dxa"/>
            <w:tcBorders>
              <w:top w:val="single" w:sz="6" w:space="0" w:color="auto"/>
              <w:left w:val="single" w:sz="6" w:space="0" w:color="auto"/>
              <w:bottom w:val="single" w:sz="6" w:space="0" w:color="auto"/>
              <w:right w:val="single" w:sz="6" w:space="0" w:color="auto"/>
            </w:tcBorders>
          </w:tcPr>
          <w:p w:rsidR="0015468A" w:rsidRPr="00350FEA" w:rsidRDefault="0015468A" w:rsidP="008B4644">
            <w:pPr>
              <w:spacing w:before="120" w:after="120"/>
              <w:jc w:val="both"/>
              <w:rPr>
                <w:rFonts w:asciiTheme="minorHAnsi" w:hAnsiTheme="minorHAnsi" w:cstheme="minorHAnsi"/>
                <w:b/>
                <w:bCs/>
              </w:rPr>
            </w:pPr>
            <w:r w:rsidRPr="00350FEA">
              <w:rPr>
                <w:rFonts w:asciiTheme="minorHAnsi" w:hAnsiTheme="minorHAnsi" w:cstheme="minorHAnsi"/>
                <w:b/>
                <w:bCs/>
              </w:rPr>
              <w:t>4</w:t>
            </w:r>
          </w:p>
        </w:tc>
        <w:tc>
          <w:tcPr>
            <w:tcW w:w="2694" w:type="dxa"/>
            <w:tcBorders>
              <w:top w:val="single" w:sz="6" w:space="0" w:color="auto"/>
              <w:left w:val="single" w:sz="6" w:space="0" w:color="auto"/>
              <w:bottom w:val="single" w:sz="6" w:space="0" w:color="auto"/>
              <w:right w:val="single" w:sz="6" w:space="0" w:color="auto"/>
            </w:tcBorders>
          </w:tcPr>
          <w:p w:rsidR="0015468A" w:rsidRPr="00350FEA" w:rsidRDefault="0015468A" w:rsidP="008B4644">
            <w:pPr>
              <w:spacing w:before="120" w:after="120"/>
              <w:jc w:val="both"/>
              <w:rPr>
                <w:rFonts w:asciiTheme="minorHAnsi" w:hAnsiTheme="minorHAnsi" w:cstheme="minorHAnsi"/>
                <w:b/>
                <w:bCs/>
              </w:rPr>
            </w:pPr>
            <w:r w:rsidRPr="00350FEA">
              <w:rPr>
                <w:rFonts w:asciiTheme="minorHAnsi" w:hAnsiTheme="minorHAnsi" w:cstheme="minorHAnsi"/>
                <w:b/>
                <w:bCs/>
              </w:rPr>
              <w:t>Masse salariale sur recettes fiscales (norme &lt;= 35%)</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45,1</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49,0</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45,3</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48,3</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34,5</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33,4</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33,0</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120" w:after="120"/>
              <w:jc w:val="right"/>
              <w:rPr>
                <w:rFonts w:asciiTheme="minorHAnsi" w:hAnsiTheme="minorHAnsi" w:cstheme="minorHAnsi"/>
                <w:color w:val="000000"/>
                <w:sz w:val="20"/>
                <w:szCs w:val="20"/>
              </w:rPr>
            </w:pPr>
            <w:r w:rsidRPr="0015468A">
              <w:rPr>
                <w:rFonts w:asciiTheme="minorHAnsi" w:hAnsiTheme="minorHAnsi" w:cstheme="minorHAnsi"/>
                <w:color w:val="000000"/>
                <w:sz w:val="20"/>
                <w:szCs w:val="20"/>
              </w:rPr>
              <w:t>33,9</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8A75ED" w:rsidRDefault="0015468A" w:rsidP="00DA26F3">
            <w:pPr>
              <w:tabs>
                <w:tab w:val="left" w:pos="405"/>
              </w:tabs>
              <w:spacing w:before="120" w:after="120"/>
              <w:jc w:val="right"/>
              <w:rPr>
                <w:rFonts w:asciiTheme="minorHAnsi" w:hAnsiTheme="minorHAnsi" w:cstheme="minorHAnsi"/>
                <w:sz w:val="20"/>
                <w:szCs w:val="20"/>
              </w:rPr>
            </w:pPr>
            <w:r w:rsidRPr="008A75ED">
              <w:rPr>
                <w:rFonts w:asciiTheme="minorHAnsi" w:hAnsiTheme="minorHAnsi" w:cstheme="minorHAnsi"/>
                <w:sz w:val="20"/>
                <w:szCs w:val="20"/>
              </w:rPr>
              <w:t>4</w:t>
            </w:r>
          </w:p>
        </w:tc>
        <w:tc>
          <w:tcPr>
            <w:tcW w:w="708" w:type="dxa"/>
            <w:tcBorders>
              <w:top w:val="single" w:sz="6" w:space="0" w:color="auto"/>
              <w:left w:val="single" w:sz="6" w:space="0" w:color="auto"/>
              <w:bottom w:val="single" w:sz="6" w:space="0" w:color="auto"/>
              <w:right w:val="single" w:sz="12" w:space="0" w:color="auto"/>
            </w:tcBorders>
            <w:shd w:val="clear" w:color="auto" w:fill="FFFFFF" w:themeFill="background1"/>
          </w:tcPr>
          <w:p w:rsidR="0015468A" w:rsidRPr="008A75ED" w:rsidRDefault="0015468A" w:rsidP="00DA26F3">
            <w:pPr>
              <w:spacing w:before="120" w:after="120"/>
              <w:jc w:val="right"/>
              <w:rPr>
                <w:rFonts w:asciiTheme="minorHAnsi" w:hAnsiTheme="minorHAnsi" w:cstheme="minorHAnsi"/>
                <w:sz w:val="20"/>
                <w:szCs w:val="20"/>
              </w:rPr>
            </w:pPr>
            <w:r w:rsidRPr="008A75ED">
              <w:rPr>
                <w:rFonts w:asciiTheme="minorHAnsi" w:hAnsiTheme="minorHAnsi" w:cstheme="minorHAnsi"/>
                <w:sz w:val="20"/>
                <w:szCs w:val="20"/>
              </w:rPr>
              <w:t>3</w:t>
            </w:r>
          </w:p>
        </w:tc>
        <w:tc>
          <w:tcPr>
            <w:tcW w:w="709" w:type="dxa"/>
            <w:tcBorders>
              <w:top w:val="single" w:sz="6" w:space="0" w:color="auto"/>
              <w:left w:val="single" w:sz="12" w:space="0" w:color="auto"/>
              <w:bottom w:val="single" w:sz="6" w:space="0" w:color="auto"/>
              <w:right w:val="single" w:sz="12" w:space="0" w:color="000000"/>
            </w:tcBorders>
            <w:shd w:val="clear" w:color="auto" w:fill="FFFFFF" w:themeFill="background1"/>
          </w:tcPr>
          <w:p w:rsidR="0015468A" w:rsidRPr="008A75ED" w:rsidRDefault="0015468A" w:rsidP="00DA26F3">
            <w:pPr>
              <w:spacing w:before="120" w:after="120"/>
              <w:jc w:val="right"/>
              <w:rPr>
                <w:rFonts w:asciiTheme="minorHAnsi" w:hAnsiTheme="minorHAnsi" w:cstheme="minorHAnsi"/>
                <w:sz w:val="20"/>
                <w:szCs w:val="20"/>
              </w:rPr>
            </w:pPr>
            <w:r w:rsidRPr="008A75ED">
              <w:rPr>
                <w:rFonts w:asciiTheme="minorHAnsi" w:hAnsiTheme="minorHAnsi" w:cstheme="minorHAnsi"/>
                <w:sz w:val="20"/>
                <w:szCs w:val="20"/>
              </w:rPr>
              <w:t>3</w:t>
            </w:r>
          </w:p>
        </w:tc>
      </w:tr>
      <w:tr w:rsidR="0015468A" w:rsidRPr="008B4644" w:rsidTr="00BD3277">
        <w:trPr>
          <w:trHeight w:hRule="exact" w:val="856"/>
        </w:trPr>
        <w:tc>
          <w:tcPr>
            <w:tcW w:w="1276" w:type="dxa"/>
            <w:tcBorders>
              <w:top w:val="single" w:sz="6" w:space="0" w:color="auto"/>
              <w:left w:val="single" w:sz="6" w:space="0" w:color="auto"/>
              <w:bottom w:val="single" w:sz="12" w:space="0" w:color="auto"/>
              <w:right w:val="single" w:sz="6" w:space="0" w:color="auto"/>
            </w:tcBorders>
          </w:tcPr>
          <w:p w:rsidR="0015468A" w:rsidRPr="00350FEA" w:rsidRDefault="0015468A" w:rsidP="008B4644">
            <w:pPr>
              <w:spacing w:before="120" w:after="120"/>
              <w:jc w:val="both"/>
              <w:rPr>
                <w:rFonts w:asciiTheme="minorHAnsi" w:hAnsiTheme="minorHAnsi" w:cstheme="minorHAnsi"/>
                <w:b/>
                <w:bCs/>
              </w:rPr>
            </w:pPr>
            <w:r w:rsidRPr="00350FEA">
              <w:rPr>
                <w:rFonts w:asciiTheme="minorHAnsi" w:hAnsiTheme="minorHAnsi" w:cstheme="minorHAnsi"/>
                <w:b/>
                <w:bCs/>
              </w:rPr>
              <w:t>5</w:t>
            </w:r>
          </w:p>
        </w:tc>
        <w:tc>
          <w:tcPr>
            <w:tcW w:w="2694" w:type="dxa"/>
            <w:tcBorders>
              <w:top w:val="single" w:sz="6" w:space="0" w:color="auto"/>
              <w:left w:val="single" w:sz="6" w:space="0" w:color="auto"/>
              <w:bottom w:val="single" w:sz="12" w:space="0" w:color="auto"/>
              <w:right w:val="single" w:sz="6" w:space="0" w:color="auto"/>
            </w:tcBorders>
          </w:tcPr>
          <w:p w:rsidR="0015468A" w:rsidRPr="00350FEA" w:rsidRDefault="0015468A" w:rsidP="008B4644">
            <w:pPr>
              <w:spacing w:before="120" w:after="120"/>
              <w:jc w:val="both"/>
              <w:rPr>
                <w:rFonts w:asciiTheme="minorHAnsi" w:hAnsiTheme="minorHAnsi" w:cstheme="minorHAnsi"/>
                <w:b/>
                <w:bCs/>
              </w:rPr>
            </w:pPr>
            <w:r w:rsidRPr="00350FEA">
              <w:rPr>
                <w:rFonts w:asciiTheme="minorHAnsi" w:hAnsiTheme="minorHAnsi" w:cstheme="minorHAnsi"/>
                <w:b/>
                <w:bCs/>
              </w:rPr>
              <w:t>Taux de pression fiscale                  (norme &gt;=20%)</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14,7</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14,6</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15,5</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10,4</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16,5</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17,0</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19,6</w:t>
            </w:r>
          </w:p>
        </w:tc>
        <w:tc>
          <w:tcPr>
            <w:tcW w:w="108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20,3</w:t>
            </w:r>
          </w:p>
        </w:tc>
        <w:tc>
          <w:tcPr>
            <w:tcW w:w="708"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8A75ED" w:rsidRDefault="0015468A" w:rsidP="00DA26F3">
            <w:pPr>
              <w:tabs>
                <w:tab w:val="left" w:pos="300"/>
              </w:tabs>
              <w:spacing w:before="120" w:after="120"/>
              <w:jc w:val="right"/>
              <w:rPr>
                <w:rFonts w:asciiTheme="minorHAnsi" w:hAnsiTheme="minorHAnsi" w:cstheme="minorHAnsi"/>
                <w:sz w:val="20"/>
                <w:szCs w:val="20"/>
              </w:rPr>
            </w:pPr>
            <w:r w:rsidRPr="008A75ED">
              <w:rPr>
                <w:rFonts w:asciiTheme="minorHAnsi" w:hAnsiTheme="minorHAnsi" w:cstheme="minorHAnsi"/>
                <w:sz w:val="20"/>
                <w:szCs w:val="20"/>
              </w:rPr>
              <w:t>1</w:t>
            </w:r>
          </w:p>
        </w:tc>
        <w:tc>
          <w:tcPr>
            <w:tcW w:w="708" w:type="dxa"/>
            <w:tcBorders>
              <w:top w:val="single" w:sz="6" w:space="0" w:color="auto"/>
              <w:left w:val="single" w:sz="6" w:space="0" w:color="auto"/>
              <w:bottom w:val="single" w:sz="12" w:space="0" w:color="auto"/>
              <w:right w:val="single" w:sz="12" w:space="0" w:color="auto"/>
            </w:tcBorders>
            <w:shd w:val="clear" w:color="auto" w:fill="FFFFFF" w:themeFill="background1"/>
          </w:tcPr>
          <w:p w:rsidR="0015468A" w:rsidRPr="008A75ED" w:rsidRDefault="0015468A" w:rsidP="00DA26F3">
            <w:pPr>
              <w:spacing w:before="120" w:after="120"/>
              <w:jc w:val="right"/>
              <w:rPr>
                <w:rFonts w:asciiTheme="minorHAnsi" w:hAnsiTheme="minorHAnsi" w:cstheme="minorHAnsi"/>
                <w:sz w:val="20"/>
                <w:szCs w:val="20"/>
              </w:rPr>
            </w:pPr>
            <w:r w:rsidRPr="008A75ED">
              <w:rPr>
                <w:rFonts w:asciiTheme="minorHAnsi" w:hAnsiTheme="minorHAnsi" w:cstheme="minorHAnsi"/>
                <w:sz w:val="20"/>
                <w:szCs w:val="20"/>
              </w:rPr>
              <w:t>1</w:t>
            </w:r>
          </w:p>
        </w:tc>
        <w:tc>
          <w:tcPr>
            <w:tcW w:w="709" w:type="dxa"/>
            <w:tcBorders>
              <w:top w:val="single" w:sz="6" w:space="0" w:color="auto"/>
              <w:left w:val="single" w:sz="12" w:space="0" w:color="auto"/>
              <w:bottom w:val="single" w:sz="12" w:space="0" w:color="auto"/>
              <w:right w:val="single" w:sz="12" w:space="0" w:color="000000"/>
            </w:tcBorders>
            <w:shd w:val="clear" w:color="auto" w:fill="FFFFFF" w:themeFill="background1"/>
          </w:tcPr>
          <w:p w:rsidR="0015468A" w:rsidRPr="008A75ED" w:rsidRDefault="0015468A" w:rsidP="00DA26F3">
            <w:pPr>
              <w:spacing w:before="120" w:after="120"/>
              <w:jc w:val="right"/>
              <w:rPr>
                <w:rFonts w:asciiTheme="minorHAnsi" w:hAnsiTheme="minorHAnsi" w:cstheme="minorHAnsi"/>
                <w:sz w:val="20"/>
                <w:szCs w:val="20"/>
              </w:rPr>
            </w:pPr>
            <w:r w:rsidRPr="008A75ED">
              <w:rPr>
                <w:rFonts w:asciiTheme="minorHAnsi" w:hAnsiTheme="minorHAnsi" w:cstheme="minorHAnsi"/>
                <w:sz w:val="20"/>
                <w:szCs w:val="20"/>
              </w:rPr>
              <w:t>1</w:t>
            </w:r>
          </w:p>
        </w:tc>
      </w:tr>
      <w:tr w:rsidR="0015468A" w:rsidRPr="008B4644" w:rsidTr="00603B88">
        <w:trPr>
          <w:trHeight w:val="400"/>
        </w:trPr>
        <w:tc>
          <w:tcPr>
            <w:tcW w:w="1276" w:type="dxa"/>
            <w:vMerge w:val="restart"/>
            <w:tcBorders>
              <w:top w:val="single" w:sz="12" w:space="0" w:color="auto"/>
              <w:left w:val="single" w:sz="12" w:space="0" w:color="auto"/>
              <w:bottom w:val="single" w:sz="12" w:space="0" w:color="auto"/>
              <w:right w:val="single" w:sz="12" w:space="0" w:color="auto"/>
            </w:tcBorders>
          </w:tcPr>
          <w:p w:rsidR="0015468A" w:rsidRPr="00350FEA" w:rsidRDefault="0015468A" w:rsidP="008B4644">
            <w:pPr>
              <w:spacing w:before="120" w:after="120"/>
              <w:ind w:left="113" w:right="113"/>
              <w:jc w:val="both"/>
              <w:rPr>
                <w:rFonts w:asciiTheme="minorHAnsi" w:hAnsiTheme="minorHAnsi" w:cstheme="minorHAnsi"/>
                <w:b/>
                <w:bCs/>
              </w:rPr>
            </w:pPr>
            <w:r w:rsidRPr="00350FEA">
              <w:rPr>
                <w:rFonts w:asciiTheme="minorHAnsi" w:hAnsiTheme="minorHAnsi" w:cstheme="minorHAnsi"/>
                <w:b/>
                <w:bCs/>
              </w:rPr>
              <w:t>Nombre de critères respectés par pays</w:t>
            </w:r>
          </w:p>
        </w:tc>
        <w:tc>
          <w:tcPr>
            <w:tcW w:w="2694" w:type="dxa"/>
            <w:tcBorders>
              <w:top w:val="single" w:sz="12" w:space="0" w:color="auto"/>
              <w:left w:val="single" w:sz="12" w:space="0" w:color="auto"/>
              <w:bottom w:val="single" w:sz="12" w:space="0" w:color="auto"/>
              <w:right w:val="single" w:sz="6" w:space="0" w:color="auto"/>
            </w:tcBorders>
            <w:shd w:val="pct25" w:color="auto" w:fill="auto"/>
          </w:tcPr>
          <w:p w:rsidR="0015468A" w:rsidRPr="00350FEA" w:rsidRDefault="0015468A" w:rsidP="008B4644">
            <w:pPr>
              <w:spacing w:before="120" w:after="120"/>
              <w:jc w:val="both"/>
              <w:rPr>
                <w:rFonts w:asciiTheme="minorHAnsi" w:hAnsiTheme="minorHAnsi" w:cstheme="minorHAnsi"/>
                <w:b/>
                <w:bCs/>
              </w:rPr>
            </w:pPr>
            <w:r w:rsidRPr="00350FEA">
              <w:rPr>
                <w:rFonts w:asciiTheme="minorHAnsi" w:hAnsiTheme="minorHAnsi" w:cstheme="minorHAnsi"/>
                <w:b/>
                <w:bCs/>
              </w:rPr>
              <w:t>2014</w:t>
            </w:r>
          </w:p>
        </w:tc>
        <w:tc>
          <w:tcPr>
            <w:tcW w:w="1080" w:type="dxa"/>
            <w:tcBorders>
              <w:top w:val="single" w:sz="6" w:space="0" w:color="auto"/>
              <w:left w:val="single" w:sz="6" w:space="0" w:color="auto"/>
              <w:bottom w:val="single" w:sz="12"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2</w:t>
            </w:r>
          </w:p>
        </w:tc>
        <w:tc>
          <w:tcPr>
            <w:tcW w:w="1081" w:type="dxa"/>
            <w:tcBorders>
              <w:top w:val="single" w:sz="6" w:space="0" w:color="auto"/>
              <w:left w:val="single" w:sz="6" w:space="0" w:color="auto"/>
              <w:bottom w:val="single" w:sz="12"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3</w:t>
            </w:r>
          </w:p>
        </w:tc>
        <w:tc>
          <w:tcPr>
            <w:tcW w:w="1081" w:type="dxa"/>
            <w:tcBorders>
              <w:top w:val="single" w:sz="6" w:space="0" w:color="auto"/>
              <w:left w:val="single" w:sz="6" w:space="0" w:color="auto"/>
              <w:bottom w:val="single" w:sz="12"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2</w:t>
            </w:r>
          </w:p>
        </w:tc>
        <w:tc>
          <w:tcPr>
            <w:tcW w:w="1081" w:type="dxa"/>
            <w:tcBorders>
              <w:top w:val="single" w:sz="6" w:space="0" w:color="auto"/>
              <w:left w:val="single" w:sz="6" w:space="0" w:color="auto"/>
              <w:bottom w:val="single" w:sz="12"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3</w:t>
            </w:r>
          </w:p>
        </w:tc>
        <w:tc>
          <w:tcPr>
            <w:tcW w:w="1081" w:type="dxa"/>
            <w:tcBorders>
              <w:top w:val="single" w:sz="6" w:space="0" w:color="auto"/>
              <w:left w:val="single" w:sz="6" w:space="0" w:color="auto"/>
              <w:bottom w:val="single" w:sz="12"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4</w:t>
            </w:r>
          </w:p>
        </w:tc>
        <w:tc>
          <w:tcPr>
            <w:tcW w:w="1081" w:type="dxa"/>
            <w:tcBorders>
              <w:top w:val="single" w:sz="6" w:space="0" w:color="auto"/>
              <w:left w:val="single" w:sz="6" w:space="0" w:color="auto"/>
              <w:bottom w:val="single" w:sz="12"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3</w:t>
            </w:r>
          </w:p>
        </w:tc>
        <w:tc>
          <w:tcPr>
            <w:tcW w:w="1081" w:type="dxa"/>
            <w:tcBorders>
              <w:top w:val="single" w:sz="6" w:space="0" w:color="auto"/>
              <w:left w:val="single" w:sz="6" w:space="0" w:color="auto"/>
              <w:bottom w:val="single" w:sz="12"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3</w:t>
            </w:r>
          </w:p>
        </w:tc>
        <w:tc>
          <w:tcPr>
            <w:tcW w:w="1081" w:type="dxa"/>
            <w:tcBorders>
              <w:top w:val="single" w:sz="6" w:space="0" w:color="auto"/>
              <w:left w:val="single" w:sz="6" w:space="0" w:color="auto"/>
              <w:bottom w:val="nil"/>
              <w:right w:val="nil"/>
            </w:tcBorders>
            <w:shd w:val="clear" w:color="auto" w:fill="FFFFFF" w:themeFill="background1"/>
          </w:tcPr>
          <w:p w:rsidR="0015468A" w:rsidRPr="0015468A" w:rsidRDefault="0015468A" w:rsidP="00DA26F3">
            <w:pPr>
              <w:tabs>
                <w:tab w:val="center" w:pos="510"/>
                <w:tab w:val="right" w:pos="1021"/>
              </w:tabs>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4</w:t>
            </w:r>
          </w:p>
        </w:tc>
        <w:tc>
          <w:tcPr>
            <w:tcW w:w="708" w:type="dxa"/>
            <w:tcBorders>
              <w:top w:val="single" w:sz="6" w:space="0" w:color="auto"/>
              <w:left w:val="single" w:sz="6" w:space="0" w:color="auto"/>
              <w:bottom w:val="nil"/>
              <w:right w:val="nil"/>
            </w:tcBorders>
            <w:shd w:val="clear" w:color="auto" w:fill="FFFFFF" w:themeFill="background1"/>
          </w:tcPr>
          <w:p w:rsidR="0015468A" w:rsidRPr="00350FEA" w:rsidRDefault="0015468A" w:rsidP="008B4644">
            <w:pPr>
              <w:spacing w:before="120" w:after="120"/>
              <w:jc w:val="right"/>
              <w:rPr>
                <w:rFonts w:asciiTheme="minorHAnsi" w:hAnsiTheme="minorHAnsi" w:cstheme="minorHAnsi"/>
              </w:rPr>
            </w:pPr>
          </w:p>
        </w:tc>
        <w:tc>
          <w:tcPr>
            <w:tcW w:w="708" w:type="dxa"/>
            <w:tcBorders>
              <w:top w:val="single" w:sz="12" w:space="0" w:color="auto"/>
              <w:left w:val="nil"/>
              <w:bottom w:val="nil"/>
              <w:right w:val="nil"/>
            </w:tcBorders>
            <w:shd w:val="clear" w:color="auto" w:fill="FFFFFF" w:themeFill="background1"/>
          </w:tcPr>
          <w:p w:rsidR="0015468A" w:rsidRPr="00350FEA" w:rsidRDefault="0015468A" w:rsidP="008B4644">
            <w:pPr>
              <w:spacing w:before="120" w:after="120"/>
              <w:jc w:val="right"/>
              <w:rPr>
                <w:rFonts w:asciiTheme="minorHAnsi" w:hAnsiTheme="minorHAnsi" w:cstheme="minorHAnsi"/>
              </w:rPr>
            </w:pPr>
          </w:p>
        </w:tc>
        <w:tc>
          <w:tcPr>
            <w:tcW w:w="709" w:type="dxa"/>
            <w:tcBorders>
              <w:top w:val="single" w:sz="12" w:space="0" w:color="auto"/>
              <w:left w:val="nil"/>
              <w:bottom w:val="nil"/>
              <w:right w:val="nil"/>
            </w:tcBorders>
            <w:shd w:val="clear" w:color="auto" w:fill="FFFFFF" w:themeFill="background1"/>
          </w:tcPr>
          <w:p w:rsidR="0015468A" w:rsidRPr="00350FEA" w:rsidRDefault="0015468A" w:rsidP="008B4644">
            <w:pPr>
              <w:spacing w:before="120" w:after="120"/>
              <w:jc w:val="right"/>
              <w:rPr>
                <w:rFonts w:asciiTheme="minorHAnsi" w:hAnsiTheme="minorHAnsi" w:cstheme="minorHAnsi"/>
              </w:rPr>
            </w:pPr>
          </w:p>
        </w:tc>
      </w:tr>
      <w:tr w:rsidR="0015468A" w:rsidRPr="008B4644" w:rsidTr="00603B88">
        <w:trPr>
          <w:trHeight w:val="400"/>
        </w:trPr>
        <w:tc>
          <w:tcPr>
            <w:tcW w:w="1276" w:type="dxa"/>
            <w:vMerge/>
            <w:tcBorders>
              <w:top w:val="single" w:sz="12" w:space="0" w:color="auto"/>
              <w:left w:val="single" w:sz="12" w:space="0" w:color="auto"/>
              <w:bottom w:val="single" w:sz="12" w:space="0" w:color="auto"/>
              <w:right w:val="single" w:sz="12" w:space="0" w:color="auto"/>
            </w:tcBorders>
          </w:tcPr>
          <w:p w:rsidR="0015468A" w:rsidRPr="00350FEA" w:rsidRDefault="0015468A" w:rsidP="008B4644">
            <w:pPr>
              <w:spacing w:before="120" w:after="120"/>
              <w:ind w:left="113" w:right="113"/>
              <w:jc w:val="both"/>
              <w:rPr>
                <w:rFonts w:asciiTheme="minorHAnsi" w:hAnsiTheme="minorHAnsi" w:cstheme="minorHAnsi"/>
                <w:b/>
                <w:bCs/>
              </w:rPr>
            </w:pPr>
          </w:p>
        </w:tc>
        <w:tc>
          <w:tcPr>
            <w:tcW w:w="2694" w:type="dxa"/>
            <w:tcBorders>
              <w:top w:val="single" w:sz="12" w:space="0" w:color="auto"/>
              <w:left w:val="single" w:sz="12" w:space="0" w:color="auto"/>
              <w:bottom w:val="single" w:sz="6" w:space="0" w:color="auto"/>
              <w:right w:val="single" w:sz="6" w:space="0" w:color="auto"/>
            </w:tcBorders>
            <w:shd w:val="solid" w:color="C0C0C0" w:fill="auto"/>
          </w:tcPr>
          <w:p w:rsidR="0015468A" w:rsidRPr="00350FEA" w:rsidRDefault="0015468A" w:rsidP="008B4644">
            <w:pPr>
              <w:spacing w:before="120" w:after="120"/>
              <w:jc w:val="both"/>
              <w:rPr>
                <w:rFonts w:asciiTheme="minorHAnsi" w:hAnsiTheme="minorHAnsi" w:cstheme="minorHAnsi"/>
                <w:b/>
                <w:bCs/>
              </w:rPr>
            </w:pPr>
            <w:r w:rsidRPr="00350FEA">
              <w:rPr>
                <w:rFonts w:asciiTheme="minorHAnsi" w:hAnsiTheme="minorHAnsi" w:cstheme="minorHAnsi"/>
                <w:b/>
                <w:bCs/>
              </w:rPr>
              <w:t>2013</w:t>
            </w:r>
          </w:p>
        </w:tc>
        <w:tc>
          <w:tcPr>
            <w:tcW w:w="1080" w:type="dxa"/>
            <w:tcBorders>
              <w:top w:val="single" w:sz="12"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3</w:t>
            </w:r>
          </w:p>
        </w:tc>
        <w:tc>
          <w:tcPr>
            <w:tcW w:w="1081" w:type="dxa"/>
            <w:tcBorders>
              <w:top w:val="single" w:sz="12"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3</w:t>
            </w:r>
          </w:p>
        </w:tc>
        <w:tc>
          <w:tcPr>
            <w:tcW w:w="1081" w:type="dxa"/>
            <w:tcBorders>
              <w:top w:val="single" w:sz="12"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3</w:t>
            </w:r>
          </w:p>
        </w:tc>
        <w:tc>
          <w:tcPr>
            <w:tcW w:w="1081" w:type="dxa"/>
            <w:tcBorders>
              <w:top w:val="single" w:sz="12"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2</w:t>
            </w:r>
          </w:p>
        </w:tc>
        <w:tc>
          <w:tcPr>
            <w:tcW w:w="1081" w:type="dxa"/>
            <w:tcBorders>
              <w:top w:val="single" w:sz="12"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2</w:t>
            </w:r>
          </w:p>
        </w:tc>
        <w:tc>
          <w:tcPr>
            <w:tcW w:w="1081" w:type="dxa"/>
            <w:tcBorders>
              <w:top w:val="single" w:sz="12"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3</w:t>
            </w:r>
          </w:p>
        </w:tc>
        <w:tc>
          <w:tcPr>
            <w:tcW w:w="1081" w:type="dxa"/>
            <w:tcBorders>
              <w:top w:val="single" w:sz="12"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3</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4</w:t>
            </w:r>
          </w:p>
        </w:tc>
        <w:tc>
          <w:tcPr>
            <w:tcW w:w="708" w:type="dxa"/>
            <w:tcBorders>
              <w:top w:val="nil"/>
              <w:left w:val="nil"/>
              <w:bottom w:val="nil"/>
              <w:right w:val="nil"/>
            </w:tcBorders>
            <w:shd w:val="clear" w:color="auto" w:fill="FFFFFF" w:themeFill="background1"/>
          </w:tcPr>
          <w:p w:rsidR="0015468A" w:rsidRPr="00350FEA" w:rsidRDefault="0015468A" w:rsidP="008B4644">
            <w:pPr>
              <w:spacing w:before="120" w:after="120"/>
              <w:jc w:val="right"/>
              <w:rPr>
                <w:rFonts w:asciiTheme="minorHAnsi" w:hAnsiTheme="minorHAnsi" w:cstheme="minorHAnsi"/>
              </w:rPr>
            </w:pPr>
          </w:p>
        </w:tc>
        <w:tc>
          <w:tcPr>
            <w:tcW w:w="708" w:type="dxa"/>
            <w:tcBorders>
              <w:top w:val="nil"/>
              <w:left w:val="nil"/>
              <w:bottom w:val="nil"/>
              <w:right w:val="nil"/>
            </w:tcBorders>
            <w:shd w:val="clear" w:color="auto" w:fill="FFFFFF" w:themeFill="background1"/>
          </w:tcPr>
          <w:p w:rsidR="0015468A" w:rsidRPr="00350FEA" w:rsidRDefault="0015468A" w:rsidP="008B4644">
            <w:pPr>
              <w:spacing w:before="120" w:after="120"/>
              <w:jc w:val="right"/>
              <w:rPr>
                <w:rFonts w:asciiTheme="minorHAnsi" w:hAnsiTheme="minorHAnsi" w:cstheme="minorHAnsi"/>
              </w:rPr>
            </w:pPr>
          </w:p>
        </w:tc>
        <w:tc>
          <w:tcPr>
            <w:tcW w:w="709" w:type="dxa"/>
            <w:tcBorders>
              <w:top w:val="nil"/>
              <w:left w:val="nil"/>
              <w:bottom w:val="nil"/>
              <w:right w:val="nil"/>
            </w:tcBorders>
            <w:shd w:val="clear" w:color="auto" w:fill="FFFFFF" w:themeFill="background1"/>
          </w:tcPr>
          <w:p w:rsidR="0015468A" w:rsidRPr="00350FEA" w:rsidRDefault="0015468A" w:rsidP="008B4644">
            <w:pPr>
              <w:spacing w:before="120" w:after="120"/>
              <w:jc w:val="right"/>
              <w:rPr>
                <w:rFonts w:asciiTheme="minorHAnsi" w:hAnsiTheme="minorHAnsi" w:cstheme="minorHAnsi"/>
              </w:rPr>
            </w:pPr>
          </w:p>
        </w:tc>
      </w:tr>
      <w:tr w:rsidR="0015468A" w:rsidRPr="008B4644" w:rsidTr="00603B88">
        <w:trPr>
          <w:trHeight w:val="400"/>
        </w:trPr>
        <w:tc>
          <w:tcPr>
            <w:tcW w:w="1276" w:type="dxa"/>
            <w:vMerge/>
            <w:tcBorders>
              <w:top w:val="nil"/>
              <w:left w:val="single" w:sz="12" w:space="0" w:color="auto"/>
              <w:bottom w:val="single" w:sz="12" w:space="0" w:color="auto"/>
              <w:right w:val="single" w:sz="12" w:space="0" w:color="auto"/>
            </w:tcBorders>
          </w:tcPr>
          <w:p w:rsidR="0015468A" w:rsidRPr="00350FEA" w:rsidRDefault="0015468A" w:rsidP="008B4644">
            <w:pPr>
              <w:spacing w:before="120" w:after="120"/>
              <w:ind w:left="113" w:right="113"/>
              <w:jc w:val="both"/>
              <w:rPr>
                <w:rFonts w:asciiTheme="minorHAnsi" w:hAnsiTheme="minorHAnsi" w:cstheme="minorHAnsi"/>
                <w:b/>
                <w:bCs/>
              </w:rPr>
            </w:pPr>
          </w:p>
        </w:tc>
        <w:tc>
          <w:tcPr>
            <w:tcW w:w="2694" w:type="dxa"/>
            <w:tcBorders>
              <w:top w:val="single" w:sz="6" w:space="0" w:color="auto"/>
              <w:left w:val="single" w:sz="12" w:space="0" w:color="auto"/>
              <w:bottom w:val="single" w:sz="6" w:space="0" w:color="auto"/>
              <w:right w:val="single" w:sz="6" w:space="0" w:color="auto"/>
            </w:tcBorders>
            <w:shd w:val="solid" w:color="C0C0C0" w:fill="auto"/>
          </w:tcPr>
          <w:p w:rsidR="0015468A" w:rsidRPr="00350FEA" w:rsidRDefault="0015468A" w:rsidP="008B4644">
            <w:pPr>
              <w:spacing w:before="120" w:after="120"/>
              <w:jc w:val="both"/>
              <w:rPr>
                <w:rFonts w:asciiTheme="minorHAnsi" w:hAnsiTheme="minorHAnsi" w:cstheme="minorHAnsi"/>
                <w:b/>
                <w:bCs/>
              </w:rPr>
            </w:pPr>
            <w:r w:rsidRPr="00350FEA">
              <w:rPr>
                <w:rFonts w:asciiTheme="minorHAnsi" w:hAnsiTheme="minorHAnsi" w:cstheme="minorHAnsi"/>
                <w:b/>
                <w:bCs/>
              </w:rPr>
              <w:t>2012</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3</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2</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3</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2</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3</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4</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3</w:t>
            </w:r>
          </w:p>
        </w:tc>
        <w:tc>
          <w:tcPr>
            <w:tcW w:w="1081" w:type="dxa"/>
            <w:tcBorders>
              <w:top w:val="single" w:sz="6" w:space="0" w:color="auto"/>
              <w:left w:val="single" w:sz="6" w:space="0" w:color="auto"/>
              <w:bottom w:val="single" w:sz="6" w:space="0" w:color="auto"/>
              <w:right w:val="single" w:sz="6" w:space="0" w:color="auto"/>
            </w:tcBorders>
            <w:shd w:val="clear" w:color="auto" w:fill="FFFFFF" w:themeFill="background1"/>
          </w:tcPr>
          <w:p w:rsidR="0015468A" w:rsidRPr="0015468A" w:rsidRDefault="0015468A" w:rsidP="00DA26F3">
            <w:pPr>
              <w:spacing w:before="120" w:after="120"/>
              <w:jc w:val="right"/>
              <w:rPr>
                <w:rFonts w:asciiTheme="minorHAnsi" w:hAnsiTheme="minorHAnsi" w:cstheme="minorHAnsi"/>
                <w:sz w:val="20"/>
                <w:szCs w:val="20"/>
              </w:rPr>
            </w:pPr>
            <w:r w:rsidRPr="0015468A">
              <w:rPr>
                <w:rFonts w:asciiTheme="minorHAnsi" w:hAnsiTheme="minorHAnsi" w:cstheme="minorHAnsi"/>
                <w:sz w:val="20"/>
                <w:szCs w:val="20"/>
              </w:rPr>
              <w:t>4</w:t>
            </w:r>
          </w:p>
        </w:tc>
        <w:tc>
          <w:tcPr>
            <w:tcW w:w="708" w:type="dxa"/>
            <w:tcBorders>
              <w:top w:val="nil"/>
              <w:left w:val="nil"/>
              <w:bottom w:val="nil"/>
              <w:right w:val="nil"/>
            </w:tcBorders>
            <w:shd w:val="clear" w:color="auto" w:fill="FFFFFF" w:themeFill="background1"/>
          </w:tcPr>
          <w:p w:rsidR="0015468A" w:rsidRPr="00350FEA" w:rsidRDefault="0015468A" w:rsidP="008B4644">
            <w:pPr>
              <w:spacing w:before="120" w:after="120"/>
              <w:jc w:val="right"/>
              <w:rPr>
                <w:rFonts w:asciiTheme="minorHAnsi" w:hAnsiTheme="minorHAnsi" w:cstheme="minorHAnsi"/>
              </w:rPr>
            </w:pPr>
          </w:p>
        </w:tc>
        <w:tc>
          <w:tcPr>
            <w:tcW w:w="708" w:type="dxa"/>
            <w:tcBorders>
              <w:top w:val="nil"/>
              <w:left w:val="nil"/>
              <w:bottom w:val="nil"/>
              <w:right w:val="nil"/>
            </w:tcBorders>
            <w:shd w:val="clear" w:color="auto" w:fill="FFFFFF" w:themeFill="background1"/>
          </w:tcPr>
          <w:p w:rsidR="0015468A" w:rsidRPr="00350FEA" w:rsidRDefault="0015468A" w:rsidP="008B4644">
            <w:pPr>
              <w:spacing w:before="120" w:after="120"/>
              <w:jc w:val="right"/>
              <w:rPr>
                <w:rFonts w:asciiTheme="minorHAnsi" w:hAnsiTheme="minorHAnsi" w:cstheme="minorHAnsi"/>
              </w:rPr>
            </w:pPr>
          </w:p>
        </w:tc>
        <w:tc>
          <w:tcPr>
            <w:tcW w:w="709" w:type="dxa"/>
            <w:tcBorders>
              <w:top w:val="nil"/>
              <w:left w:val="nil"/>
              <w:bottom w:val="nil"/>
              <w:right w:val="nil"/>
            </w:tcBorders>
            <w:shd w:val="clear" w:color="auto" w:fill="FFFFFF" w:themeFill="background1"/>
          </w:tcPr>
          <w:p w:rsidR="0015468A" w:rsidRPr="00350FEA" w:rsidRDefault="0015468A" w:rsidP="008B4644">
            <w:pPr>
              <w:spacing w:before="120" w:after="120"/>
              <w:jc w:val="right"/>
              <w:rPr>
                <w:rFonts w:asciiTheme="minorHAnsi" w:hAnsiTheme="minorHAnsi" w:cstheme="minorHAnsi"/>
              </w:rPr>
            </w:pPr>
          </w:p>
        </w:tc>
      </w:tr>
    </w:tbl>
    <w:p w:rsidR="00603B88" w:rsidRDefault="00603B88" w:rsidP="00BC46C1">
      <w:pPr>
        <w:jc w:val="center"/>
        <w:rPr>
          <w:rFonts w:asciiTheme="minorHAnsi" w:hAnsiTheme="minorHAnsi"/>
          <w:b/>
          <w:bCs/>
          <w:sz w:val="24"/>
          <w:szCs w:val="20"/>
          <w:u w:val="single"/>
          <w:lang w:eastAsia="en-US" w:bidi="en-US"/>
        </w:rPr>
      </w:pPr>
    </w:p>
    <w:p w:rsidR="00BC46C1" w:rsidRPr="0095508C" w:rsidRDefault="00BC46C1" w:rsidP="00BC46C1">
      <w:pPr>
        <w:jc w:val="center"/>
        <w:rPr>
          <w:rFonts w:asciiTheme="minorHAnsi" w:hAnsiTheme="minorHAnsi"/>
          <w:b/>
          <w:bCs/>
          <w:sz w:val="24"/>
          <w:szCs w:val="20"/>
          <w:u w:val="single"/>
          <w:lang w:eastAsia="en-US" w:bidi="en-US"/>
        </w:rPr>
      </w:pPr>
      <w:r w:rsidRPr="0095508C">
        <w:rPr>
          <w:rFonts w:asciiTheme="minorHAnsi" w:hAnsiTheme="minorHAnsi"/>
          <w:b/>
          <w:bCs/>
          <w:sz w:val="24"/>
          <w:szCs w:val="20"/>
          <w:u w:val="single"/>
          <w:lang w:eastAsia="en-US" w:bidi="en-US"/>
        </w:rPr>
        <w:lastRenderedPageBreak/>
        <w:t>Résultats</w:t>
      </w:r>
      <w:r w:rsidR="0095508C">
        <w:rPr>
          <w:rFonts w:asciiTheme="minorHAnsi" w:hAnsiTheme="minorHAnsi"/>
          <w:b/>
          <w:bCs/>
          <w:sz w:val="24"/>
          <w:szCs w:val="20"/>
          <w:u w:val="single"/>
          <w:lang w:eastAsia="en-US" w:bidi="en-US"/>
        </w:rPr>
        <w:t xml:space="preserve"> provisoires </w:t>
      </w:r>
      <w:r w:rsidRPr="0095508C">
        <w:rPr>
          <w:rFonts w:asciiTheme="minorHAnsi" w:hAnsiTheme="minorHAnsi"/>
          <w:b/>
          <w:bCs/>
          <w:sz w:val="24"/>
          <w:szCs w:val="20"/>
          <w:u w:val="single"/>
          <w:lang w:eastAsia="en-US" w:bidi="en-US"/>
        </w:rPr>
        <w:t>de la surveillance multilatérale dans la CEMAC au 31 décembre 201</w:t>
      </w:r>
      <w:r w:rsidR="00220E46" w:rsidRPr="0095508C">
        <w:rPr>
          <w:rFonts w:asciiTheme="minorHAnsi" w:hAnsiTheme="minorHAnsi"/>
          <w:b/>
          <w:bCs/>
          <w:sz w:val="24"/>
          <w:szCs w:val="20"/>
          <w:u w:val="single"/>
          <w:lang w:eastAsia="en-US" w:bidi="en-US"/>
        </w:rPr>
        <w:t>5</w:t>
      </w:r>
    </w:p>
    <w:p w:rsidR="0095508C" w:rsidRDefault="0095508C" w:rsidP="00BC46C1">
      <w:pPr>
        <w:jc w:val="center"/>
        <w:rPr>
          <w:rFonts w:asciiTheme="minorHAnsi" w:hAnsiTheme="minorHAnsi"/>
          <w:b/>
          <w:bCs/>
          <w:sz w:val="24"/>
          <w:szCs w:val="20"/>
          <w:highlight w:val="yellow"/>
          <w:u w:val="single"/>
          <w:lang w:eastAsia="en-US" w:bidi="en-US"/>
        </w:rPr>
      </w:pPr>
    </w:p>
    <w:tbl>
      <w:tblPr>
        <w:tblW w:w="148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0"/>
        <w:gridCol w:w="3558"/>
        <w:gridCol w:w="1213"/>
        <w:gridCol w:w="1261"/>
        <w:gridCol w:w="993"/>
        <w:gridCol w:w="1003"/>
        <w:gridCol w:w="1280"/>
        <w:gridCol w:w="1046"/>
        <w:gridCol w:w="1115"/>
        <w:gridCol w:w="788"/>
        <w:gridCol w:w="814"/>
        <w:gridCol w:w="776"/>
      </w:tblGrid>
      <w:tr w:rsidR="0095508C" w:rsidRPr="00302E41" w:rsidTr="00D27BC6">
        <w:trPr>
          <w:cantSplit/>
          <w:trHeight w:val="408"/>
          <w:jc w:val="center"/>
        </w:trPr>
        <w:tc>
          <w:tcPr>
            <w:tcW w:w="4588" w:type="dxa"/>
            <w:gridSpan w:val="2"/>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pStyle w:val="xl27"/>
              <w:pBdr>
                <w:left w:val="none" w:sz="0" w:space="0" w:color="auto"/>
              </w:pBdr>
              <w:spacing w:before="2" w:beforeAutospacing="0" w:after="2" w:afterAutospacing="0"/>
              <w:jc w:val="both"/>
              <w:rPr>
                <w:rFonts w:asciiTheme="minorHAnsi" w:hAnsiTheme="minorHAnsi" w:cs="Times New Roman"/>
                <w:b/>
                <w:bCs/>
                <w:sz w:val="18"/>
                <w:szCs w:val="18"/>
              </w:rPr>
            </w:pPr>
            <w:r w:rsidRPr="0095508C">
              <w:rPr>
                <w:rFonts w:asciiTheme="minorHAnsi" w:hAnsiTheme="minorHAnsi" w:cs="Times New Roman"/>
                <w:b/>
                <w:bCs/>
                <w:sz w:val="18"/>
                <w:szCs w:val="18"/>
              </w:rPr>
              <w:t>CRITÈRES DE CONVERGENCE</w:t>
            </w:r>
          </w:p>
        </w:tc>
        <w:tc>
          <w:tcPr>
            <w:tcW w:w="7911" w:type="dxa"/>
            <w:gridSpan w:val="7"/>
            <w:tcBorders>
              <w:top w:val="single" w:sz="4" w:space="0" w:color="auto"/>
              <w:left w:val="single" w:sz="4" w:space="0" w:color="auto"/>
              <w:bottom w:val="single" w:sz="4" w:space="0" w:color="auto"/>
              <w:right w:val="threeDEngrave" w:sz="24" w:space="0" w:color="auto"/>
            </w:tcBorders>
            <w:vAlign w:val="center"/>
          </w:tcPr>
          <w:p w:rsidR="0095508C" w:rsidRPr="0095508C" w:rsidRDefault="0095508C" w:rsidP="00B91F9A">
            <w:pPr>
              <w:spacing w:before="2" w:after="2"/>
              <w:jc w:val="center"/>
              <w:rPr>
                <w:rFonts w:asciiTheme="minorHAnsi" w:hAnsiTheme="minorHAnsi"/>
                <w:b/>
                <w:bCs/>
                <w:sz w:val="18"/>
                <w:szCs w:val="18"/>
              </w:rPr>
            </w:pPr>
            <w:r w:rsidRPr="0095508C">
              <w:rPr>
                <w:rFonts w:asciiTheme="minorHAnsi" w:hAnsiTheme="minorHAnsi"/>
                <w:b/>
                <w:sz w:val="18"/>
                <w:szCs w:val="18"/>
              </w:rPr>
              <w:t>RÉSULTATS PROVISOIRES DE LA SURVEILLANCE MULTILATERALE DANS LA CEMAC AU 31 DÉCEMBRE</w:t>
            </w:r>
            <w:r w:rsidRPr="0095508C">
              <w:rPr>
                <w:rFonts w:asciiTheme="minorHAnsi" w:hAnsiTheme="minorHAnsi"/>
                <w:b/>
                <w:bCs/>
                <w:sz w:val="18"/>
                <w:szCs w:val="18"/>
              </w:rPr>
              <w:t xml:space="preserve"> 2015</w:t>
            </w:r>
          </w:p>
        </w:tc>
        <w:tc>
          <w:tcPr>
            <w:tcW w:w="2378" w:type="dxa"/>
            <w:gridSpan w:val="3"/>
            <w:tcBorders>
              <w:top w:val="threeDEngrave" w:sz="24" w:space="0" w:color="auto"/>
              <w:left w:val="threeDEngrave" w:sz="24" w:space="0" w:color="auto"/>
              <w:bottom w:val="single" w:sz="4" w:space="0" w:color="auto"/>
              <w:right w:val="threeDEmboss" w:sz="24" w:space="0" w:color="auto"/>
            </w:tcBorders>
            <w:vAlign w:val="center"/>
          </w:tcPr>
          <w:p w:rsidR="0095508C" w:rsidRPr="0095508C" w:rsidRDefault="0095508C" w:rsidP="00B91F9A">
            <w:pPr>
              <w:spacing w:before="2" w:after="2"/>
              <w:jc w:val="both"/>
              <w:rPr>
                <w:rFonts w:asciiTheme="minorHAnsi" w:hAnsiTheme="minorHAnsi"/>
                <w:sz w:val="18"/>
                <w:szCs w:val="18"/>
              </w:rPr>
            </w:pPr>
            <w:r w:rsidRPr="0095508C">
              <w:rPr>
                <w:rFonts w:asciiTheme="minorHAnsi" w:hAnsiTheme="minorHAnsi"/>
                <w:snapToGrid w:val="0"/>
                <w:sz w:val="18"/>
                <w:szCs w:val="18"/>
              </w:rPr>
              <w:t>Nombre de pays respectant le critère</w:t>
            </w:r>
          </w:p>
        </w:tc>
      </w:tr>
      <w:tr w:rsidR="0095508C" w:rsidRPr="00302E41" w:rsidTr="00D27BC6">
        <w:trPr>
          <w:cantSplit/>
          <w:trHeight w:val="274"/>
          <w:jc w:val="center"/>
        </w:trPr>
        <w:tc>
          <w:tcPr>
            <w:tcW w:w="4588" w:type="dxa"/>
            <w:gridSpan w:val="2"/>
            <w:tcBorders>
              <w:top w:val="single" w:sz="4" w:space="0" w:color="auto"/>
              <w:left w:val="single" w:sz="4" w:space="0" w:color="auto"/>
              <w:bottom w:val="single" w:sz="4" w:space="0" w:color="auto"/>
              <w:right w:val="single" w:sz="4" w:space="0" w:color="auto"/>
            </w:tcBorders>
          </w:tcPr>
          <w:p w:rsidR="0095508C" w:rsidRPr="0095508C" w:rsidRDefault="0095508C" w:rsidP="00B91F9A">
            <w:pPr>
              <w:spacing w:before="2" w:after="2"/>
              <w:jc w:val="both"/>
              <w:rPr>
                <w:rFonts w:asciiTheme="minorHAnsi" w:hAnsiTheme="minorHAnsi"/>
                <w:sz w:val="18"/>
                <w:szCs w:val="18"/>
              </w:rPr>
            </w:pPr>
          </w:p>
        </w:tc>
        <w:tc>
          <w:tcPr>
            <w:tcW w:w="1213"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Cameroun</w:t>
            </w:r>
          </w:p>
        </w:tc>
        <w:tc>
          <w:tcPr>
            <w:tcW w:w="1261"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Centrafrique</w:t>
            </w:r>
          </w:p>
        </w:tc>
        <w:tc>
          <w:tcPr>
            <w:tcW w:w="993"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Congo</w:t>
            </w:r>
          </w:p>
        </w:tc>
        <w:tc>
          <w:tcPr>
            <w:tcW w:w="1003"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Gabon</w:t>
            </w:r>
          </w:p>
        </w:tc>
        <w:tc>
          <w:tcPr>
            <w:tcW w:w="1280"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Guinée Équatoriale</w:t>
            </w:r>
          </w:p>
        </w:tc>
        <w:tc>
          <w:tcPr>
            <w:tcW w:w="1046"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Tchad</w:t>
            </w:r>
          </w:p>
        </w:tc>
        <w:tc>
          <w:tcPr>
            <w:tcW w:w="1115" w:type="dxa"/>
            <w:tcBorders>
              <w:top w:val="single" w:sz="4" w:space="0" w:color="auto"/>
              <w:left w:val="single" w:sz="4" w:space="0" w:color="auto"/>
              <w:bottom w:val="single" w:sz="4" w:space="0" w:color="auto"/>
              <w:right w:val="threeDEngrave" w:sz="24" w:space="0" w:color="auto"/>
            </w:tcBorders>
            <w:vAlign w:val="center"/>
          </w:tcPr>
          <w:p w:rsidR="0095508C" w:rsidRPr="0095508C" w:rsidRDefault="0095508C"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CEMAC</w:t>
            </w:r>
          </w:p>
        </w:tc>
        <w:tc>
          <w:tcPr>
            <w:tcW w:w="788" w:type="dxa"/>
            <w:tcBorders>
              <w:top w:val="single" w:sz="4" w:space="0" w:color="auto"/>
              <w:left w:val="threeDEngrave" w:sz="24" w:space="0" w:color="auto"/>
              <w:bottom w:val="single" w:sz="4" w:space="0" w:color="auto"/>
              <w:right w:val="single" w:sz="4" w:space="0" w:color="auto"/>
            </w:tcBorders>
            <w:vAlign w:val="center"/>
          </w:tcPr>
          <w:p w:rsidR="0095508C" w:rsidRPr="0095508C" w:rsidRDefault="0095508C" w:rsidP="00B91F9A">
            <w:pPr>
              <w:jc w:val="both"/>
              <w:rPr>
                <w:rFonts w:asciiTheme="minorHAnsi" w:hAnsiTheme="minorHAnsi"/>
                <w:b/>
                <w:bCs/>
                <w:sz w:val="18"/>
                <w:szCs w:val="18"/>
              </w:rPr>
            </w:pPr>
            <w:r w:rsidRPr="0095508C">
              <w:rPr>
                <w:rFonts w:asciiTheme="minorHAnsi" w:hAnsiTheme="minorHAnsi"/>
                <w:b/>
                <w:bCs/>
                <w:sz w:val="18"/>
                <w:szCs w:val="18"/>
              </w:rPr>
              <w:t>2015</w:t>
            </w:r>
          </w:p>
        </w:tc>
        <w:tc>
          <w:tcPr>
            <w:tcW w:w="814"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jc w:val="both"/>
              <w:rPr>
                <w:rFonts w:asciiTheme="minorHAnsi" w:hAnsiTheme="minorHAnsi"/>
                <w:b/>
                <w:bCs/>
                <w:sz w:val="18"/>
                <w:szCs w:val="18"/>
              </w:rPr>
            </w:pPr>
            <w:r w:rsidRPr="0095508C">
              <w:rPr>
                <w:rFonts w:asciiTheme="minorHAnsi" w:hAnsiTheme="minorHAnsi"/>
                <w:b/>
                <w:bCs/>
                <w:sz w:val="18"/>
                <w:szCs w:val="18"/>
              </w:rPr>
              <w:t>2014</w:t>
            </w:r>
          </w:p>
        </w:tc>
        <w:tc>
          <w:tcPr>
            <w:tcW w:w="776" w:type="dxa"/>
            <w:tcBorders>
              <w:top w:val="single" w:sz="4" w:space="0" w:color="auto"/>
              <w:left w:val="single" w:sz="4" w:space="0" w:color="auto"/>
              <w:bottom w:val="single" w:sz="4" w:space="0" w:color="auto"/>
              <w:right w:val="threeDEmboss" w:sz="24" w:space="0" w:color="auto"/>
            </w:tcBorders>
            <w:vAlign w:val="center"/>
          </w:tcPr>
          <w:p w:rsidR="0095508C" w:rsidRPr="00302E41" w:rsidRDefault="0095508C" w:rsidP="00B91F9A">
            <w:pPr>
              <w:jc w:val="both"/>
              <w:rPr>
                <w:b/>
                <w:bCs/>
                <w:sz w:val="18"/>
                <w:szCs w:val="18"/>
              </w:rPr>
            </w:pPr>
            <w:r w:rsidRPr="00302E41">
              <w:rPr>
                <w:b/>
                <w:bCs/>
                <w:sz w:val="18"/>
                <w:szCs w:val="18"/>
              </w:rPr>
              <w:t>2013</w:t>
            </w:r>
          </w:p>
        </w:tc>
      </w:tr>
      <w:tr w:rsidR="0095508C" w:rsidRPr="00302E41" w:rsidTr="00BD3B9B">
        <w:trPr>
          <w:trHeight w:val="552"/>
          <w:jc w:val="center"/>
        </w:trPr>
        <w:tc>
          <w:tcPr>
            <w:tcW w:w="1030" w:type="dxa"/>
            <w:vMerge w:val="restart"/>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p>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snapToGrid w:val="0"/>
                <w:sz w:val="18"/>
                <w:szCs w:val="18"/>
              </w:rPr>
              <w:t>1</w:t>
            </w:r>
          </w:p>
        </w:tc>
        <w:tc>
          <w:tcPr>
            <w:tcW w:w="3558"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Solde budgétaire de base sur PIB</w:t>
            </w:r>
          </w:p>
          <w:p w:rsidR="0095508C" w:rsidRPr="0095508C" w:rsidRDefault="0095508C"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 xml:space="preserve">(norme </w:t>
            </w:r>
            <w:r w:rsidRPr="0095508C">
              <w:rPr>
                <w:rFonts w:asciiTheme="minorHAnsi" w:hAnsiTheme="minorHAnsi"/>
                <w:sz w:val="18"/>
                <w:szCs w:val="18"/>
              </w:rPr>
              <w:t>≥</w:t>
            </w:r>
            <w:r w:rsidRPr="0095508C">
              <w:rPr>
                <w:rFonts w:asciiTheme="minorHAnsi" w:hAnsiTheme="minorHAnsi"/>
                <w:snapToGrid w:val="0"/>
                <w:sz w:val="18"/>
                <w:szCs w:val="18"/>
              </w:rPr>
              <w:t>0)</w:t>
            </w:r>
          </w:p>
        </w:tc>
        <w:tc>
          <w:tcPr>
            <w:tcW w:w="1213"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AF21E1" w:rsidP="00B91F9A">
            <w:pPr>
              <w:jc w:val="center"/>
              <w:rPr>
                <w:rFonts w:asciiTheme="minorHAnsi" w:hAnsiTheme="minorHAnsi"/>
                <w:snapToGrid w:val="0"/>
                <w:sz w:val="18"/>
                <w:szCs w:val="18"/>
              </w:rPr>
            </w:pPr>
            <w:r>
              <w:rPr>
                <w:rFonts w:asciiTheme="minorHAnsi" w:eastAsia="SimSun" w:hAnsiTheme="minorHAnsi"/>
                <w:color w:val="000000"/>
                <w:sz w:val="18"/>
                <w:szCs w:val="18"/>
                <w:lang w:eastAsia="zh-CN"/>
              </w:rPr>
              <w:t>1,8</w:t>
            </w:r>
          </w:p>
        </w:tc>
        <w:tc>
          <w:tcPr>
            <w:tcW w:w="1261" w:type="dxa"/>
            <w:tcBorders>
              <w:top w:val="single" w:sz="4" w:space="0" w:color="auto"/>
              <w:left w:val="single" w:sz="4" w:space="0" w:color="auto"/>
              <w:bottom w:val="single" w:sz="4" w:space="0" w:color="auto"/>
              <w:right w:val="single" w:sz="4" w:space="0" w:color="auto"/>
            </w:tcBorders>
            <w:shd w:val="clear" w:color="auto" w:fill="auto"/>
            <w:vAlign w:val="center"/>
          </w:tcPr>
          <w:p w:rsidR="0095508C" w:rsidRPr="0095508C" w:rsidRDefault="0095508C" w:rsidP="00B91F9A">
            <w:pPr>
              <w:jc w:val="center"/>
              <w:rPr>
                <w:rFonts w:asciiTheme="minorHAnsi" w:eastAsia="SimSun" w:hAnsiTheme="minorHAnsi"/>
                <w:color w:val="808080"/>
                <w:sz w:val="18"/>
                <w:szCs w:val="18"/>
                <w:lang w:eastAsia="zh-CN"/>
              </w:rPr>
            </w:pPr>
            <w:r w:rsidRPr="0095508C">
              <w:rPr>
                <w:rFonts w:asciiTheme="minorHAnsi" w:hAnsiTheme="minorHAnsi"/>
                <w:snapToGrid w:val="0"/>
                <w:sz w:val="18"/>
                <w:szCs w:val="18"/>
              </w:rPr>
              <w:t>-3,5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5508C" w:rsidRPr="0095508C" w:rsidRDefault="0095508C" w:rsidP="00B91F9A">
            <w:pPr>
              <w:jc w:val="center"/>
              <w:rPr>
                <w:rFonts w:asciiTheme="minorHAnsi" w:hAnsiTheme="minorHAnsi"/>
                <w:snapToGrid w:val="0"/>
                <w:sz w:val="18"/>
                <w:szCs w:val="18"/>
              </w:rPr>
            </w:pPr>
            <w:r w:rsidRPr="0095508C">
              <w:rPr>
                <w:rFonts w:asciiTheme="minorHAnsi" w:hAnsiTheme="minorHAnsi"/>
                <w:snapToGrid w:val="0"/>
                <w:sz w:val="18"/>
                <w:szCs w:val="18"/>
              </w:rPr>
              <w:t>-9,2</w:t>
            </w:r>
          </w:p>
        </w:tc>
        <w:tc>
          <w:tcPr>
            <w:tcW w:w="1003"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95508C" w:rsidP="00B91F9A">
            <w:pPr>
              <w:jc w:val="center"/>
              <w:rPr>
                <w:rFonts w:asciiTheme="minorHAnsi" w:hAnsiTheme="minorHAnsi"/>
                <w:snapToGrid w:val="0"/>
                <w:sz w:val="18"/>
                <w:szCs w:val="18"/>
              </w:rPr>
            </w:pPr>
            <w:r w:rsidRPr="0095508C">
              <w:rPr>
                <w:rFonts w:asciiTheme="minorHAnsi" w:hAnsiTheme="minorHAnsi"/>
                <w:snapToGrid w:val="0"/>
                <w:sz w:val="18"/>
                <w:szCs w:val="18"/>
              </w:rPr>
              <w:t>1,0</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rsidR="0095508C" w:rsidRPr="0095508C" w:rsidRDefault="0095508C" w:rsidP="00B91F9A">
            <w:pPr>
              <w:jc w:val="center"/>
              <w:rPr>
                <w:rFonts w:asciiTheme="minorHAnsi" w:hAnsiTheme="minorHAnsi"/>
                <w:snapToGrid w:val="0"/>
                <w:sz w:val="18"/>
                <w:szCs w:val="18"/>
              </w:rPr>
            </w:pPr>
            <w:r w:rsidRPr="0095508C">
              <w:rPr>
                <w:rFonts w:asciiTheme="minorHAnsi" w:hAnsiTheme="minorHAnsi"/>
                <w:sz w:val="18"/>
                <w:szCs w:val="18"/>
              </w:rPr>
              <w:t>-4,9</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center"/>
          </w:tcPr>
          <w:p w:rsidR="0095508C" w:rsidRPr="0095508C" w:rsidRDefault="0095508C" w:rsidP="00B91F9A">
            <w:pPr>
              <w:jc w:val="center"/>
              <w:rPr>
                <w:rFonts w:asciiTheme="minorHAnsi" w:hAnsiTheme="minorHAnsi"/>
                <w:snapToGrid w:val="0"/>
                <w:sz w:val="18"/>
                <w:szCs w:val="18"/>
              </w:rPr>
            </w:pPr>
            <w:r w:rsidRPr="0095508C">
              <w:rPr>
                <w:rFonts w:asciiTheme="minorHAnsi" w:hAnsiTheme="minorHAnsi"/>
                <w:snapToGrid w:val="0"/>
                <w:sz w:val="18"/>
                <w:szCs w:val="18"/>
              </w:rPr>
              <w:t>-</w:t>
            </w:r>
            <w:r w:rsidR="00AF21E1">
              <w:rPr>
                <w:rFonts w:asciiTheme="minorHAnsi" w:hAnsiTheme="minorHAnsi"/>
                <w:snapToGrid w:val="0"/>
                <w:sz w:val="18"/>
                <w:szCs w:val="18"/>
              </w:rPr>
              <w:t>0,7</w:t>
            </w:r>
          </w:p>
        </w:tc>
        <w:tc>
          <w:tcPr>
            <w:tcW w:w="1115" w:type="dxa"/>
            <w:tcBorders>
              <w:top w:val="single" w:sz="4" w:space="0" w:color="auto"/>
              <w:left w:val="single" w:sz="4" w:space="0" w:color="auto"/>
              <w:bottom w:val="single" w:sz="4" w:space="0" w:color="auto"/>
              <w:right w:val="threeDEngrave" w:sz="24" w:space="0" w:color="auto"/>
            </w:tcBorders>
            <w:shd w:val="clear" w:color="auto" w:fill="auto"/>
            <w:vAlign w:val="center"/>
          </w:tcPr>
          <w:p w:rsidR="0095508C" w:rsidRPr="0095508C" w:rsidRDefault="0095508C" w:rsidP="00B91F9A">
            <w:pPr>
              <w:jc w:val="center"/>
              <w:rPr>
                <w:rFonts w:asciiTheme="minorHAnsi" w:hAnsiTheme="minorHAnsi"/>
                <w:sz w:val="18"/>
                <w:szCs w:val="18"/>
              </w:rPr>
            </w:pPr>
            <w:r w:rsidRPr="0095508C">
              <w:rPr>
                <w:rFonts w:asciiTheme="minorHAnsi" w:hAnsiTheme="minorHAnsi"/>
                <w:sz w:val="18"/>
                <w:szCs w:val="18"/>
              </w:rPr>
              <w:t>-</w:t>
            </w:r>
            <w:r w:rsidR="00AF21E1">
              <w:rPr>
                <w:rFonts w:asciiTheme="minorHAnsi" w:hAnsiTheme="minorHAnsi"/>
                <w:sz w:val="18"/>
                <w:szCs w:val="18"/>
              </w:rPr>
              <w:t>1</w:t>
            </w:r>
            <w:r w:rsidRPr="0095508C">
              <w:rPr>
                <w:rFonts w:asciiTheme="minorHAnsi" w:hAnsiTheme="minorHAnsi"/>
                <w:sz w:val="18"/>
                <w:szCs w:val="18"/>
              </w:rPr>
              <w:t>,0</w:t>
            </w:r>
          </w:p>
        </w:tc>
        <w:tc>
          <w:tcPr>
            <w:tcW w:w="788" w:type="dxa"/>
            <w:vMerge w:val="restart"/>
            <w:tcBorders>
              <w:top w:val="single" w:sz="4" w:space="0" w:color="auto"/>
              <w:left w:val="threeDEngrave" w:sz="24" w:space="0" w:color="auto"/>
              <w:bottom w:val="single" w:sz="4" w:space="0" w:color="auto"/>
              <w:right w:val="single" w:sz="4" w:space="0" w:color="auto"/>
            </w:tcBorders>
            <w:vAlign w:val="center"/>
          </w:tcPr>
          <w:p w:rsidR="0095508C" w:rsidRPr="0095508C" w:rsidRDefault="00BD3B9B" w:rsidP="00B91F9A">
            <w:pPr>
              <w:spacing w:before="2" w:after="2"/>
              <w:jc w:val="center"/>
              <w:rPr>
                <w:rFonts w:asciiTheme="minorHAnsi" w:hAnsiTheme="minorHAnsi"/>
                <w:sz w:val="18"/>
                <w:szCs w:val="18"/>
              </w:rPr>
            </w:pPr>
            <w:r>
              <w:rPr>
                <w:rFonts w:asciiTheme="minorHAnsi" w:hAnsiTheme="minorHAnsi"/>
                <w:sz w:val="18"/>
                <w:szCs w:val="18"/>
              </w:rPr>
              <w:t>2</w:t>
            </w:r>
          </w:p>
        </w:tc>
        <w:tc>
          <w:tcPr>
            <w:tcW w:w="814" w:type="dxa"/>
            <w:vMerge w:val="restart"/>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z w:val="18"/>
                <w:szCs w:val="18"/>
              </w:rPr>
            </w:pPr>
            <w:r w:rsidRPr="0095508C">
              <w:rPr>
                <w:rFonts w:asciiTheme="minorHAnsi" w:hAnsiTheme="minorHAnsi"/>
                <w:sz w:val="18"/>
                <w:szCs w:val="18"/>
              </w:rPr>
              <w:t>3</w:t>
            </w:r>
          </w:p>
        </w:tc>
        <w:tc>
          <w:tcPr>
            <w:tcW w:w="776" w:type="dxa"/>
            <w:vMerge w:val="restart"/>
            <w:tcBorders>
              <w:top w:val="single" w:sz="4" w:space="0" w:color="auto"/>
              <w:left w:val="single" w:sz="4" w:space="0" w:color="auto"/>
              <w:bottom w:val="single" w:sz="4" w:space="0" w:color="auto"/>
              <w:right w:val="threeDEmboss" w:sz="24" w:space="0" w:color="auto"/>
            </w:tcBorders>
            <w:vAlign w:val="center"/>
          </w:tcPr>
          <w:p w:rsidR="0095508C" w:rsidRPr="00302E41" w:rsidRDefault="0095508C" w:rsidP="00B91F9A">
            <w:pPr>
              <w:spacing w:before="2" w:after="2"/>
              <w:jc w:val="center"/>
              <w:rPr>
                <w:sz w:val="18"/>
                <w:szCs w:val="18"/>
              </w:rPr>
            </w:pPr>
            <w:r w:rsidRPr="00302E41">
              <w:rPr>
                <w:sz w:val="18"/>
                <w:szCs w:val="18"/>
              </w:rPr>
              <w:t>2</w:t>
            </w:r>
          </w:p>
        </w:tc>
      </w:tr>
      <w:tr w:rsidR="0095508C" w:rsidRPr="00302E41" w:rsidTr="00D27BC6">
        <w:trPr>
          <w:trHeight w:val="217"/>
          <w:jc w:val="center"/>
        </w:trPr>
        <w:tc>
          <w:tcPr>
            <w:tcW w:w="1030" w:type="dxa"/>
            <w:vMerge/>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p>
        </w:tc>
        <w:tc>
          <w:tcPr>
            <w:tcW w:w="3558"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 xml:space="preserve">Solde budgétaire de base structurel rapporté au PIB nominal (norme </w:t>
            </w:r>
            <w:r w:rsidRPr="0095508C">
              <w:rPr>
                <w:rFonts w:asciiTheme="minorHAnsi" w:hAnsiTheme="minorHAnsi"/>
                <w:sz w:val="18"/>
                <w:szCs w:val="18"/>
              </w:rPr>
              <w:t>≥</w:t>
            </w:r>
            <w:r w:rsidRPr="0095508C">
              <w:rPr>
                <w:rFonts w:asciiTheme="minorHAnsi" w:hAnsiTheme="minorHAnsi"/>
                <w:snapToGrid w:val="0"/>
                <w:sz w:val="18"/>
                <w:szCs w:val="18"/>
              </w:rPr>
              <w:t>0)</w:t>
            </w:r>
            <w:r w:rsidRPr="0095508C">
              <w:rPr>
                <w:rStyle w:val="Appelnotedebasdep"/>
                <w:rFonts w:asciiTheme="minorHAnsi" w:hAnsiTheme="minorHAnsi"/>
                <w:snapToGrid w:val="0"/>
                <w:sz w:val="18"/>
                <w:szCs w:val="18"/>
              </w:rPr>
              <w:footnoteReference w:id="6"/>
            </w:r>
          </w:p>
        </w:tc>
        <w:tc>
          <w:tcPr>
            <w:tcW w:w="1213"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AF21E1" w:rsidP="00B91F9A">
            <w:pPr>
              <w:spacing w:before="2" w:after="2"/>
              <w:jc w:val="center"/>
              <w:rPr>
                <w:rFonts w:asciiTheme="minorHAnsi" w:hAnsiTheme="minorHAnsi"/>
                <w:color w:val="000000"/>
                <w:sz w:val="18"/>
                <w:szCs w:val="18"/>
              </w:rPr>
            </w:pPr>
            <w:r>
              <w:rPr>
                <w:rFonts w:asciiTheme="minorHAnsi" w:hAnsiTheme="minorHAnsi"/>
                <w:color w:val="000000"/>
                <w:sz w:val="18"/>
                <w:szCs w:val="18"/>
              </w:rPr>
              <w:t>2,5</w:t>
            </w:r>
          </w:p>
        </w:tc>
        <w:tc>
          <w:tcPr>
            <w:tcW w:w="1261"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jc w:val="center"/>
              <w:rPr>
                <w:rFonts w:asciiTheme="minorHAnsi" w:hAnsiTheme="minorHAnsi"/>
                <w:snapToGrid w:val="0"/>
                <w:sz w:val="18"/>
                <w:szCs w:val="18"/>
              </w:rPr>
            </w:pPr>
            <w:r w:rsidRPr="0095508C">
              <w:rPr>
                <w:rFonts w:asciiTheme="minorHAnsi" w:hAnsiTheme="minorHAnsi"/>
                <w:snapToGrid w:val="0"/>
                <w:sz w:val="18"/>
                <w:szCs w:val="18"/>
              </w:rPr>
              <w:t>-3,5</w:t>
            </w:r>
          </w:p>
        </w:tc>
        <w:tc>
          <w:tcPr>
            <w:tcW w:w="993"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95508C" w:rsidP="00B91F9A">
            <w:pPr>
              <w:jc w:val="center"/>
              <w:rPr>
                <w:rFonts w:asciiTheme="minorHAnsi" w:hAnsiTheme="minorHAnsi"/>
                <w:snapToGrid w:val="0"/>
                <w:sz w:val="18"/>
                <w:szCs w:val="18"/>
              </w:rPr>
            </w:pPr>
            <w:r w:rsidRPr="0095508C">
              <w:rPr>
                <w:rFonts w:asciiTheme="minorHAnsi" w:hAnsiTheme="minorHAnsi"/>
                <w:snapToGrid w:val="0"/>
                <w:sz w:val="18"/>
                <w:szCs w:val="18"/>
              </w:rPr>
              <w:t>15,8</w:t>
            </w:r>
          </w:p>
        </w:tc>
        <w:tc>
          <w:tcPr>
            <w:tcW w:w="1003"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95508C" w:rsidP="00B91F9A">
            <w:pPr>
              <w:jc w:val="center"/>
              <w:rPr>
                <w:rFonts w:asciiTheme="minorHAnsi" w:hAnsiTheme="minorHAnsi"/>
                <w:snapToGrid w:val="0"/>
                <w:sz w:val="18"/>
                <w:szCs w:val="18"/>
              </w:rPr>
            </w:pPr>
            <w:r w:rsidRPr="0095508C">
              <w:rPr>
                <w:rFonts w:asciiTheme="minorHAnsi" w:hAnsiTheme="minorHAnsi"/>
                <w:snapToGrid w:val="0"/>
                <w:sz w:val="18"/>
                <w:szCs w:val="18"/>
              </w:rPr>
              <w:t>7,1</w:t>
            </w:r>
          </w:p>
        </w:tc>
        <w:tc>
          <w:tcPr>
            <w:tcW w:w="128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95508C" w:rsidP="00B91F9A">
            <w:pPr>
              <w:spacing w:before="2" w:after="2"/>
              <w:jc w:val="center"/>
              <w:rPr>
                <w:rFonts w:asciiTheme="minorHAnsi" w:hAnsiTheme="minorHAnsi"/>
                <w:color w:val="000000"/>
                <w:sz w:val="18"/>
                <w:szCs w:val="18"/>
              </w:rPr>
            </w:pPr>
            <w:r w:rsidRPr="0095508C">
              <w:rPr>
                <w:rFonts w:asciiTheme="minorHAnsi" w:hAnsiTheme="minorHAnsi"/>
                <w:color w:val="000000"/>
                <w:sz w:val="18"/>
                <w:szCs w:val="18"/>
              </w:rPr>
              <w:t>7,5</w:t>
            </w:r>
          </w:p>
        </w:tc>
        <w:tc>
          <w:tcPr>
            <w:tcW w:w="1046"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AF21E1" w:rsidP="00B91F9A">
            <w:pPr>
              <w:jc w:val="center"/>
              <w:rPr>
                <w:rFonts w:asciiTheme="minorHAnsi" w:hAnsiTheme="minorHAnsi"/>
                <w:snapToGrid w:val="0"/>
                <w:sz w:val="18"/>
                <w:szCs w:val="18"/>
              </w:rPr>
            </w:pPr>
            <w:r>
              <w:rPr>
                <w:rFonts w:asciiTheme="minorHAnsi" w:hAnsiTheme="minorHAnsi"/>
                <w:snapToGrid w:val="0"/>
                <w:sz w:val="18"/>
                <w:szCs w:val="18"/>
              </w:rPr>
              <w:t>4,0</w:t>
            </w:r>
          </w:p>
        </w:tc>
        <w:tc>
          <w:tcPr>
            <w:tcW w:w="1115" w:type="dxa"/>
            <w:tcBorders>
              <w:top w:val="single" w:sz="4" w:space="0" w:color="auto"/>
              <w:left w:val="single" w:sz="4" w:space="0" w:color="auto"/>
              <w:bottom w:val="single" w:sz="4" w:space="0" w:color="auto"/>
              <w:right w:val="threeDEngrave" w:sz="24" w:space="0" w:color="auto"/>
            </w:tcBorders>
            <w:shd w:val="clear" w:color="auto" w:fill="C2D69B" w:themeFill="accent3" w:themeFillTint="99"/>
            <w:vAlign w:val="center"/>
          </w:tcPr>
          <w:p w:rsidR="0095508C" w:rsidRPr="0095508C" w:rsidRDefault="0095508C" w:rsidP="00B91F9A">
            <w:pPr>
              <w:jc w:val="center"/>
              <w:rPr>
                <w:rFonts w:asciiTheme="minorHAnsi" w:hAnsiTheme="minorHAnsi"/>
                <w:sz w:val="18"/>
                <w:szCs w:val="18"/>
              </w:rPr>
            </w:pPr>
            <w:r w:rsidRPr="0095508C">
              <w:rPr>
                <w:rFonts w:asciiTheme="minorHAnsi" w:hAnsiTheme="minorHAnsi"/>
                <w:sz w:val="18"/>
                <w:szCs w:val="18"/>
              </w:rPr>
              <w:t>6,0</w:t>
            </w:r>
          </w:p>
        </w:tc>
        <w:tc>
          <w:tcPr>
            <w:tcW w:w="788" w:type="dxa"/>
            <w:vMerge/>
            <w:tcBorders>
              <w:top w:val="single" w:sz="4" w:space="0" w:color="auto"/>
              <w:left w:val="threeDEngrave" w:sz="2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z w:val="18"/>
                <w:szCs w:val="18"/>
              </w:rPr>
            </w:pPr>
          </w:p>
        </w:tc>
        <w:tc>
          <w:tcPr>
            <w:tcW w:w="814" w:type="dxa"/>
            <w:vMerge/>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z w:val="18"/>
                <w:szCs w:val="18"/>
              </w:rPr>
            </w:pPr>
          </w:p>
        </w:tc>
        <w:tc>
          <w:tcPr>
            <w:tcW w:w="776" w:type="dxa"/>
            <w:vMerge/>
            <w:tcBorders>
              <w:top w:val="single" w:sz="4" w:space="0" w:color="auto"/>
              <w:left w:val="single" w:sz="4" w:space="0" w:color="auto"/>
              <w:bottom w:val="single" w:sz="4" w:space="0" w:color="auto"/>
              <w:right w:val="threeDEmboss" w:sz="24" w:space="0" w:color="auto"/>
            </w:tcBorders>
            <w:vAlign w:val="center"/>
          </w:tcPr>
          <w:p w:rsidR="0095508C" w:rsidRPr="00302E41" w:rsidRDefault="0095508C" w:rsidP="00B91F9A">
            <w:pPr>
              <w:spacing w:before="2" w:after="2"/>
              <w:jc w:val="center"/>
              <w:rPr>
                <w:sz w:val="18"/>
                <w:szCs w:val="18"/>
              </w:rPr>
            </w:pPr>
          </w:p>
        </w:tc>
      </w:tr>
      <w:tr w:rsidR="0095508C" w:rsidRPr="00302E41" w:rsidTr="00BD3B9B">
        <w:trPr>
          <w:trHeight w:val="487"/>
          <w:jc w:val="center"/>
        </w:trPr>
        <w:tc>
          <w:tcPr>
            <w:tcW w:w="1030" w:type="dxa"/>
            <w:vMerge/>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p>
        </w:tc>
        <w:tc>
          <w:tcPr>
            <w:tcW w:w="3558" w:type="dxa"/>
            <w:tcBorders>
              <w:top w:val="single" w:sz="4" w:space="0" w:color="auto"/>
              <w:left w:val="single" w:sz="4" w:space="0" w:color="auto"/>
              <w:bottom w:val="single" w:sz="4" w:space="0" w:color="auto"/>
              <w:right w:val="single" w:sz="4" w:space="0" w:color="auto"/>
            </w:tcBorders>
          </w:tcPr>
          <w:p w:rsidR="0095508C" w:rsidRPr="0095508C" w:rsidRDefault="0095508C"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 xml:space="preserve">Solde budgétaire de base hors pétrole rapporté au PIB hors pétrole (norme </w:t>
            </w:r>
            <w:r w:rsidRPr="0095508C">
              <w:rPr>
                <w:rFonts w:asciiTheme="minorHAnsi" w:hAnsiTheme="minorHAnsi"/>
                <w:sz w:val="18"/>
                <w:szCs w:val="18"/>
              </w:rPr>
              <w:t>≥</w:t>
            </w:r>
            <w:r w:rsidRPr="0095508C">
              <w:rPr>
                <w:rFonts w:asciiTheme="minorHAnsi" w:hAnsiTheme="minorHAnsi"/>
                <w:snapToGrid w:val="0"/>
                <w:sz w:val="18"/>
                <w:szCs w:val="18"/>
              </w:rPr>
              <w:t>0)</w:t>
            </w:r>
            <w:r w:rsidRPr="0095508C">
              <w:rPr>
                <w:rStyle w:val="Appelnotedebasdep"/>
                <w:rFonts w:asciiTheme="minorHAnsi" w:hAnsiTheme="minorHAnsi"/>
                <w:snapToGrid w:val="0"/>
                <w:sz w:val="18"/>
                <w:szCs w:val="18"/>
              </w:rPr>
              <w:t>1</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95508C" w:rsidRPr="0095508C" w:rsidRDefault="00AF21E1" w:rsidP="00B91F9A">
            <w:pPr>
              <w:spacing w:before="2" w:after="2"/>
              <w:jc w:val="center"/>
              <w:rPr>
                <w:rFonts w:asciiTheme="minorHAnsi" w:hAnsiTheme="minorHAnsi"/>
                <w:snapToGrid w:val="0"/>
                <w:sz w:val="18"/>
                <w:szCs w:val="18"/>
              </w:rPr>
            </w:pPr>
            <w:r>
              <w:rPr>
                <w:rFonts w:asciiTheme="minorHAnsi" w:hAnsiTheme="minorHAnsi"/>
                <w:color w:val="000000"/>
                <w:sz w:val="18"/>
                <w:szCs w:val="18"/>
              </w:rPr>
              <w:t>-0,7</w:t>
            </w:r>
          </w:p>
        </w:tc>
        <w:tc>
          <w:tcPr>
            <w:tcW w:w="1261"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color w:val="000000"/>
                <w:sz w:val="18"/>
                <w:szCs w:val="18"/>
              </w:rPr>
              <w:t>-</w:t>
            </w:r>
            <w:r w:rsidR="00AF21E1">
              <w:rPr>
                <w:rFonts w:asciiTheme="minorHAnsi" w:hAnsiTheme="minorHAnsi"/>
                <w:color w:val="000000"/>
                <w:sz w:val="18"/>
                <w:szCs w:val="18"/>
              </w:rPr>
              <w:t>3,5</w:t>
            </w:r>
          </w:p>
        </w:tc>
        <w:tc>
          <w:tcPr>
            <w:tcW w:w="993"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color w:val="000000"/>
                <w:sz w:val="18"/>
                <w:szCs w:val="18"/>
              </w:rPr>
              <w:t>-</w:t>
            </w:r>
            <w:r w:rsidR="00AF21E1">
              <w:rPr>
                <w:rFonts w:asciiTheme="minorHAnsi" w:hAnsiTheme="minorHAnsi"/>
                <w:color w:val="000000"/>
                <w:sz w:val="18"/>
                <w:szCs w:val="18"/>
              </w:rPr>
              <w:t>19,4</w:t>
            </w:r>
          </w:p>
        </w:tc>
        <w:tc>
          <w:tcPr>
            <w:tcW w:w="1003"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color w:val="000000"/>
                <w:sz w:val="18"/>
                <w:szCs w:val="18"/>
              </w:rPr>
              <w:t>-</w:t>
            </w:r>
            <w:r w:rsidR="00AF21E1">
              <w:rPr>
                <w:rFonts w:asciiTheme="minorHAnsi" w:hAnsiTheme="minorHAnsi"/>
                <w:color w:val="000000"/>
                <w:sz w:val="18"/>
                <w:szCs w:val="18"/>
              </w:rPr>
              <w:t>7,6</w:t>
            </w:r>
          </w:p>
        </w:tc>
        <w:tc>
          <w:tcPr>
            <w:tcW w:w="1280"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color w:val="000000"/>
                <w:sz w:val="18"/>
                <w:szCs w:val="18"/>
              </w:rPr>
              <w:t>-3</w:t>
            </w:r>
            <w:r w:rsidR="00AF21E1">
              <w:rPr>
                <w:rFonts w:asciiTheme="minorHAnsi" w:hAnsiTheme="minorHAnsi"/>
                <w:color w:val="000000"/>
                <w:sz w:val="18"/>
                <w:szCs w:val="18"/>
              </w:rPr>
              <w:t>7,2</w:t>
            </w:r>
          </w:p>
        </w:tc>
        <w:tc>
          <w:tcPr>
            <w:tcW w:w="1046"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eastAsia="Arial Unicode MS" w:hAnsiTheme="minorHAnsi"/>
                <w:snapToGrid w:val="0"/>
                <w:sz w:val="18"/>
                <w:szCs w:val="18"/>
              </w:rPr>
            </w:pPr>
            <w:r w:rsidRPr="0095508C">
              <w:rPr>
                <w:rFonts w:asciiTheme="minorHAnsi" w:hAnsiTheme="minorHAnsi"/>
                <w:color w:val="000000"/>
                <w:sz w:val="18"/>
                <w:szCs w:val="18"/>
              </w:rPr>
              <w:t>-</w:t>
            </w:r>
            <w:r w:rsidR="00AF21E1">
              <w:rPr>
                <w:rFonts w:asciiTheme="minorHAnsi" w:hAnsiTheme="minorHAnsi"/>
                <w:color w:val="000000"/>
                <w:sz w:val="18"/>
                <w:szCs w:val="18"/>
              </w:rPr>
              <w:t>6,8</w:t>
            </w:r>
          </w:p>
        </w:tc>
        <w:tc>
          <w:tcPr>
            <w:tcW w:w="1115" w:type="dxa"/>
            <w:tcBorders>
              <w:top w:val="single" w:sz="4" w:space="0" w:color="auto"/>
              <w:left w:val="single" w:sz="4" w:space="0" w:color="auto"/>
              <w:bottom w:val="single" w:sz="4" w:space="0" w:color="auto"/>
              <w:right w:val="threeDEngrave" w:sz="24" w:space="0" w:color="auto"/>
            </w:tcBorders>
            <w:vAlign w:val="center"/>
          </w:tcPr>
          <w:p w:rsidR="0095508C" w:rsidRPr="0095508C" w:rsidRDefault="0095508C" w:rsidP="00B91F9A">
            <w:pPr>
              <w:spacing w:before="2" w:after="2"/>
              <w:jc w:val="center"/>
              <w:rPr>
                <w:rFonts w:asciiTheme="minorHAnsi" w:eastAsia="Arial Unicode MS" w:hAnsiTheme="minorHAnsi"/>
                <w:snapToGrid w:val="0"/>
                <w:sz w:val="18"/>
                <w:szCs w:val="18"/>
              </w:rPr>
            </w:pPr>
            <w:r w:rsidRPr="0095508C">
              <w:rPr>
                <w:rFonts w:asciiTheme="minorHAnsi" w:hAnsiTheme="minorHAnsi"/>
                <w:snapToGrid w:val="0"/>
                <w:sz w:val="18"/>
                <w:szCs w:val="18"/>
              </w:rPr>
              <w:t>-1</w:t>
            </w:r>
            <w:r w:rsidR="00AF21E1">
              <w:rPr>
                <w:rFonts w:asciiTheme="minorHAnsi" w:hAnsiTheme="minorHAnsi"/>
                <w:snapToGrid w:val="0"/>
                <w:sz w:val="18"/>
                <w:szCs w:val="18"/>
              </w:rPr>
              <w:t>0,0</w:t>
            </w:r>
          </w:p>
        </w:tc>
        <w:tc>
          <w:tcPr>
            <w:tcW w:w="788" w:type="dxa"/>
            <w:vMerge/>
            <w:tcBorders>
              <w:top w:val="single" w:sz="4" w:space="0" w:color="auto"/>
              <w:left w:val="threeDEngrave" w:sz="2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z w:val="18"/>
                <w:szCs w:val="18"/>
              </w:rPr>
            </w:pPr>
          </w:p>
        </w:tc>
        <w:tc>
          <w:tcPr>
            <w:tcW w:w="814" w:type="dxa"/>
            <w:vMerge/>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z w:val="18"/>
                <w:szCs w:val="18"/>
              </w:rPr>
            </w:pPr>
          </w:p>
        </w:tc>
        <w:tc>
          <w:tcPr>
            <w:tcW w:w="776" w:type="dxa"/>
            <w:vMerge/>
            <w:tcBorders>
              <w:top w:val="single" w:sz="4" w:space="0" w:color="auto"/>
              <w:left w:val="single" w:sz="4" w:space="0" w:color="auto"/>
              <w:bottom w:val="single" w:sz="4" w:space="0" w:color="auto"/>
              <w:right w:val="threeDEmboss" w:sz="24" w:space="0" w:color="auto"/>
            </w:tcBorders>
            <w:vAlign w:val="center"/>
          </w:tcPr>
          <w:p w:rsidR="0095508C" w:rsidRPr="00302E41" w:rsidRDefault="0095508C" w:rsidP="00B91F9A">
            <w:pPr>
              <w:spacing w:before="2" w:after="2"/>
              <w:jc w:val="center"/>
              <w:rPr>
                <w:sz w:val="18"/>
                <w:szCs w:val="18"/>
              </w:rPr>
            </w:pPr>
          </w:p>
        </w:tc>
      </w:tr>
      <w:tr w:rsidR="0095508C" w:rsidRPr="00302E41" w:rsidTr="00D27BC6">
        <w:trPr>
          <w:trHeight w:val="179"/>
          <w:jc w:val="center"/>
        </w:trPr>
        <w:tc>
          <w:tcPr>
            <w:tcW w:w="1030" w:type="dxa"/>
            <w:vMerge/>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p>
        </w:tc>
        <w:tc>
          <w:tcPr>
            <w:tcW w:w="3558" w:type="dxa"/>
            <w:tcBorders>
              <w:top w:val="single" w:sz="4" w:space="0" w:color="auto"/>
              <w:left w:val="single" w:sz="4" w:space="0" w:color="auto"/>
              <w:bottom w:val="single" w:sz="4" w:space="0" w:color="auto"/>
              <w:right w:val="single" w:sz="4" w:space="0" w:color="auto"/>
            </w:tcBorders>
          </w:tcPr>
          <w:p w:rsidR="0095508C" w:rsidRPr="0095508C" w:rsidRDefault="0095508C"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Solde budgétaire primaire hors pétrole ( % PIB hors pétrole)</w:t>
            </w:r>
            <w:r w:rsidRPr="0095508C">
              <w:rPr>
                <w:rStyle w:val="Appelnotedebasdep"/>
                <w:rFonts w:asciiTheme="minorHAnsi" w:hAnsiTheme="minorHAnsi"/>
                <w:snapToGrid w:val="0"/>
                <w:sz w:val="18"/>
                <w:szCs w:val="18"/>
              </w:rPr>
              <w:t xml:space="preserve"> 1</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95508C" w:rsidRPr="0095508C" w:rsidRDefault="0095508C" w:rsidP="00B91F9A">
            <w:pPr>
              <w:spacing w:before="2" w:after="2"/>
              <w:jc w:val="center"/>
              <w:rPr>
                <w:rFonts w:asciiTheme="minorHAnsi" w:eastAsia="Arial Unicode MS" w:hAnsiTheme="minorHAnsi"/>
                <w:snapToGrid w:val="0"/>
                <w:sz w:val="18"/>
                <w:szCs w:val="18"/>
              </w:rPr>
            </w:pPr>
            <w:r w:rsidRPr="0095508C">
              <w:rPr>
                <w:rFonts w:asciiTheme="minorHAnsi" w:hAnsiTheme="minorHAnsi"/>
                <w:color w:val="000000"/>
                <w:sz w:val="18"/>
                <w:szCs w:val="18"/>
              </w:rPr>
              <w:t>-</w:t>
            </w:r>
            <w:r w:rsidR="00AF21E1">
              <w:rPr>
                <w:rFonts w:asciiTheme="minorHAnsi" w:hAnsiTheme="minorHAnsi"/>
                <w:color w:val="000000"/>
                <w:sz w:val="18"/>
                <w:szCs w:val="18"/>
              </w:rPr>
              <w:t>0,5</w:t>
            </w:r>
          </w:p>
        </w:tc>
        <w:tc>
          <w:tcPr>
            <w:tcW w:w="1261" w:type="dxa"/>
            <w:tcBorders>
              <w:top w:val="single" w:sz="4" w:space="0" w:color="auto"/>
              <w:left w:val="single" w:sz="4" w:space="0" w:color="auto"/>
              <w:bottom w:val="single" w:sz="4" w:space="0" w:color="auto"/>
              <w:right w:val="single" w:sz="4" w:space="0" w:color="auto"/>
            </w:tcBorders>
            <w:shd w:val="clear" w:color="auto" w:fill="auto"/>
            <w:vAlign w:val="center"/>
          </w:tcPr>
          <w:p w:rsidR="0095508C" w:rsidRPr="0095508C" w:rsidRDefault="0095508C" w:rsidP="00B91F9A">
            <w:pPr>
              <w:spacing w:before="2" w:after="2"/>
              <w:jc w:val="center"/>
              <w:rPr>
                <w:rFonts w:asciiTheme="minorHAnsi" w:eastAsia="Arial Unicode MS" w:hAnsiTheme="minorHAnsi"/>
                <w:snapToGrid w:val="0"/>
                <w:sz w:val="18"/>
                <w:szCs w:val="18"/>
              </w:rPr>
            </w:pPr>
            <w:r w:rsidRPr="0095508C">
              <w:rPr>
                <w:rFonts w:asciiTheme="minorHAnsi" w:hAnsiTheme="minorHAnsi"/>
                <w:color w:val="000000"/>
                <w:sz w:val="18"/>
                <w:szCs w:val="18"/>
              </w:rPr>
              <w:t>-2,6</w:t>
            </w:r>
          </w:p>
        </w:tc>
        <w:tc>
          <w:tcPr>
            <w:tcW w:w="993"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eastAsia="Arial Unicode MS" w:hAnsiTheme="minorHAnsi"/>
                <w:snapToGrid w:val="0"/>
                <w:sz w:val="18"/>
                <w:szCs w:val="18"/>
              </w:rPr>
            </w:pPr>
            <w:r w:rsidRPr="0095508C">
              <w:rPr>
                <w:rFonts w:asciiTheme="minorHAnsi" w:hAnsiTheme="minorHAnsi"/>
                <w:color w:val="000000"/>
                <w:sz w:val="18"/>
                <w:szCs w:val="18"/>
              </w:rPr>
              <w:t>-18,9</w:t>
            </w:r>
          </w:p>
        </w:tc>
        <w:tc>
          <w:tcPr>
            <w:tcW w:w="1003"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color w:val="000000"/>
                <w:sz w:val="18"/>
                <w:szCs w:val="18"/>
              </w:rPr>
              <w:t>-6,0</w:t>
            </w:r>
          </w:p>
        </w:tc>
        <w:tc>
          <w:tcPr>
            <w:tcW w:w="1280"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eastAsia="Arial Unicode MS" w:hAnsiTheme="minorHAnsi"/>
                <w:snapToGrid w:val="0"/>
                <w:sz w:val="18"/>
                <w:szCs w:val="18"/>
              </w:rPr>
            </w:pPr>
            <w:r w:rsidRPr="0095508C">
              <w:rPr>
                <w:rFonts w:asciiTheme="minorHAnsi" w:hAnsiTheme="minorHAnsi"/>
                <w:color w:val="000000"/>
                <w:sz w:val="18"/>
                <w:szCs w:val="18"/>
              </w:rPr>
              <w:t>-36,7</w:t>
            </w:r>
          </w:p>
        </w:tc>
        <w:tc>
          <w:tcPr>
            <w:tcW w:w="1046"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color w:val="000000"/>
                <w:sz w:val="18"/>
                <w:szCs w:val="18"/>
              </w:rPr>
              <w:t>-6,1</w:t>
            </w:r>
          </w:p>
        </w:tc>
        <w:tc>
          <w:tcPr>
            <w:tcW w:w="1115" w:type="dxa"/>
            <w:tcBorders>
              <w:top w:val="single" w:sz="4" w:space="0" w:color="auto"/>
              <w:left w:val="single" w:sz="4" w:space="0" w:color="auto"/>
              <w:bottom w:val="single" w:sz="4" w:space="0" w:color="auto"/>
              <w:right w:val="threeDEngrave" w:sz="2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snapToGrid w:val="0"/>
                <w:sz w:val="18"/>
                <w:szCs w:val="18"/>
              </w:rPr>
              <w:t>-8,9</w:t>
            </w:r>
          </w:p>
        </w:tc>
        <w:tc>
          <w:tcPr>
            <w:tcW w:w="788" w:type="dxa"/>
            <w:vMerge/>
            <w:tcBorders>
              <w:top w:val="single" w:sz="4" w:space="0" w:color="auto"/>
              <w:left w:val="threeDEngrave" w:sz="2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z w:val="18"/>
                <w:szCs w:val="18"/>
              </w:rPr>
            </w:pPr>
          </w:p>
        </w:tc>
        <w:tc>
          <w:tcPr>
            <w:tcW w:w="814" w:type="dxa"/>
            <w:vMerge/>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z w:val="18"/>
                <w:szCs w:val="18"/>
              </w:rPr>
            </w:pPr>
          </w:p>
        </w:tc>
        <w:tc>
          <w:tcPr>
            <w:tcW w:w="776" w:type="dxa"/>
            <w:vMerge/>
            <w:tcBorders>
              <w:top w:val="single" w:sz="4" w:space="0" w:color="auto"/>
              <w:left w:val="single" w:sz="4" w:space="0" w:color="auto"/>
              <w:bottom w:val="single" w:sz="4" w:space="0" w:color="auto"/>
              <w:right w:val="threeDEmboss" w:sz="24" w:space="0" w:color="auto"/>
            </w:tcBorders>
            <w:vAlign w:val="center"/>
          </w:tcPr>
          <w:p w:rsidR="0095508C" w:rsidRPr="00302E41" w:rsidRDefault="0095508C" w:rsidP="00B91F9A">
            <w:pPr>
              <w:spacing w:before="2" w:after="2"/>
              <w:jc w:val="center"/>
              <w:rPr>
                <w:sz w:val="18"/>
                <w:szCs w:val="18"/>
              </w:rPr>
            </w:pPr>
          </w:p>
        </w:tc>
      </w:tr>
      <w:tr w:rsidR="0095508C" w:rsidRPr="00302E41" w:rsidTr="00D27BC6">
        <w:trPr>
          <w:trHeight w:val="453"/>
          <w:jc w:val="center"/>
        </w:trPr>
        <w:tc>
          <w:tcPr>
            <w:tcW w:w="1030" w:type="dxa"/>
            <w:vMerge w:val="restart"/>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snapToGrid w:val="0"/>
                <w:sz w:val="18"/>
                <w:szCs w:val="18"/>
              </w:rPr>
              <w:t>2</w:t>
            </w:r>
          </w:p>
        </w:tc>
        <w:tc>
          <w:tcPr>
            <w:tcW w:w="3558"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Taux d’inflation annuel moyen</w:t>
            </w:r>
          </w:p>
          <w:p w:rsidR="0095508C" w:rsidRPr="0095508C" w:rsidRDefault="0095508C"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 xml:space="preserve">(Norme </w:t>
            </w:r>
            <w:r w:rsidRPr="0095508C">
              <w:rPr>
                <w:rFonts w:asciiTheme="minorHAnsi" w:hAnsiTheme="minorHAnsi"/>
                <w:sz w:val="18"/>
                <w:szCs w:val="18"/>
              </w:rPr>
              <w:t xml:space="preserve">≤ </w:t>
            </w:r>
            <w:r w:rsidRPr="0095508C">
              <w:rPr>
                <w:rFonts w:asciiTheme="minorHAnsi" w:hAnsiTheme="minorHAnsi"/>
                <w:snapToGrid w:val="0"/>
                <w:sz w:val="18"/>
                <w:szCs w:val="18"/>
              </w:rPr>
              <w:t>3  %)</w:t>
            </w:r>
          </w:p>
        </w:tc>
        <w:tc>
          <w:tcPr>
            <w:tcW w:w="1213"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eastAsia="SimSun" w:hAnsiTheme="minorHAnsi"/>
                <w:color w:val="000000"/>
                <w:sz w:val="18"/>
                <w:szCs w:val="18"/>
                <w:lang w:eastAsia="zh-CN"/>
              </w:rPr>
              <w:t>2, 7</w:t>
            </w:r>
          </w:p>
        </w:tc>
        <w:tc>
          <w:tcPr>
            <w:tcW w:w="1261"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snapToGrid w:val="0"/>
                <w:sz w:val="18"/>
                <w:szCs w:val="18"/>
              </w:rPr>
              <w:t>2,0</w:t>
            </w:r>
          </w:p>
        </w:tc>
        <w:tc>
          <w:tcPr>
            <w:tcW w:w="993"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snapToGrid w:val="0"/>
                <w:sz w:val="18"/>
                <w:szCs w:val="18"/>
              </w:rPr>
              <w:t>1,8</w:t>
            </w:r>
          </w:p>
        </w:tc>
        <w:tc>
          <w:tcPr>
            <w:tcW w:w="1003"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snapToGrid w:val="0"/>
                <w:sz w:val="18"/>
                <w:szCs w:val="18"/>
              </w:rPr>
              <w:t>-0,3</w:t>
            </w:r>
          </w:p>
        </w:tc>
        <w:tc>
          <w:tcPr>
            <w:tcW w:w="128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AF21E1" w:rsidP="00B91F9A">
            <w:pPr>
              <w:spacing w:before="2" w:after="2"/>
              <w:jc w:val="center"/>
              <w:rPr>
                <w:rFonts w:asciiTheme="minorHAnsi" w:hAnsiTheme="minorHAnsi"/>
                <w:snapToGrid w:val="0"/>
                <w:sz w:val="18"/>
                <w:szCs w:val="18"/>
              </w:rPr>
            </w:pPr>
            <w:r>
              <w:rPr>
                <w:rFonts w:asciiTheme="minorHAnsi" w:hAnsiTheme="minorHAnsi"/>
                <w:snapToGrid w:val="0"/>
                <w:sz w:val="18"/>
                <w:szCs w:val="18"/>
              </w:rPr>
              <w:t>1,7</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snapToGrid w:val="0"/>
                <w:sz w:val="18"/>
                <w:szCs w:val="18"/>
              </w:rPr>
              <w:t>3,7</w:t>
            </w:r>
          </w:p>
        </w:tc>
        <w:tc>
          <w:tcPr>
            <w:tcW w:w="1115" w:type="dxa"/>
            <w:tcBorders>
              <w:top w:val="single" w:sz="4" w:space="0" w:color="auto"/>
              <w:left w:val="single" w:sz="4" w:space="0" w:color="auto"/>
              <w:bottom w:val="single" w:sz="4" w:space="0" w:color="auto"/>
              <w:right w:val="threeDEngrave" w:sz="24" w:space="0" w:color="auto"/>
            </w:tcBorders>
            <w:shd w:val="clear" w:color="auto" w:fill="C2D69B" w:themeFill="accent3" w:themeFillTint="99"/>
            <w:vAlign w:val="center"/>
          </w:tcPr>
          <w:p w:rsidR="0095508C" w:rsidRPr="0095508C" w:rsidRDefault="0095508C" w:rsidP="00B91F9A">
            <w:pPr>
              <w:spacing w:before="2" w:after="2"/>
              <w:jc w:val="center"/>
              <w:rPr>
                <w:rFonts w:asciiTheme="minorHAnsi" w:hAnsiTheme="minorHAnsi"/>
                <w:sz w:val="18"/>
                <w:szCs w:val="18"/>
              </w:rPr>
            </w:pPr>
            <w:r w:rsidRPr="0095508C">
              <w:rPr>
                <w:rFonts w:asciiTheme="minorHAnsi" w:hAnsiTheme="minorHAnsi"/>
                <w:sz w:val="18"/>
                <w:szCs w:val="18"/>
              </w:rPr>
              <w:t>2,3</w:t>
            </w:r>
          </w:p>
        </w:tc>
        <w:tc>
          <w:tcPr>
            <w:tcW w:w="788" w:type="dxa"/>
            <w:vMerge w:val="restart"/>
            <w:tcBorders>
              <w:top w:val="single" w:sz="4" w:space="0" w:color="auto"/>
              <w:left w:val="threeDEngrave" w:sz="24" w:space="0" w:color="auto"/>
              <w:bottom w:val="single" w:sz="4" w:space="0" w:color="auto"/>
              <w:right w:val="single" w:sz="4" w:space="0" w:color="auto"/>
            </w:tcBorders>
            <w:vAlign w:val="center"/>
          </w:tcPr>
          <w:p w:rsidR="0095508C" w:rsidRPr="0095508C" w:rsidRDefault="0095508C" w:rsidP="00B91F9A">
            <w:pPr>
              <w:jc w:val="center"/>
              <w:rPr>
                <w:rFonts w:asciiTheme="minorHAnsi" w:hAnsiTheme="minorHAnsi"/>
                <w:sz w:val="18"/>
                <w:szCs w:val="18"/>
              </w:rPr>
            </w:pPr>
            <w:r w:rsidRPr="0095508C">
              <w:rPr>
                <w:rFonts w:asciiTheme="minorHAnsi" w:hAnsiTheme="minorHAnsi"/>
                <w:sz w:val="18"/>
                <w:szCs w:val="18"/>
              </w:rPr>
              <w:t>5</w:t>
            </w:r>
          </w:p>
        </w:tc>
        <w:tc>
          <w:tcPr>
            <w:tcW w:w="814" w:type="dxa"/>
            <w:vMerge w:val="restart"/>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jc w:val="center"/>
              <w:rPr>
                <w:rFonts w:asciiTheme="minorHAnsi" w:hAnsiTheme="minorHAnsi"/>
                <w:sz w:val="18"/>
                <w:szCs w:val="18"/>
              </w:rPr>
            </w:pPr>
            <w:r w:rsidRPr="0095508C">
              <w:rPr>
                <w:rFonts w:asciiTheme="minorHAnsi" w:hAnsiTheme="minorHAnsi"/>
                <w:sz w:val="18"/>
                <w:szCs w:val="18"/>
              </w:rPr>
              <w:t>3</w:t>
            </w:r>
          </w:p>
        </w:tc>
        <w:tc>
          <w:tcPr>
            <w:tcW w:w="776" w:type="dxa"/>
            <w:vMerge w:val="restart"/>
            <w:tcBorders>
              <w:top w:val="single" w:sz="4" w:space="0" w:color="auto"/>
              <w:left w:val="single" w:sz="4" w:space="0" w:color="auto"/>
              <w:bottom w:val="single" w:sz="4" w:space="0" w:color="auto"/>
              <w:right w:val="threeDEmboss" w:sz="24" w:space="0" w:color="auto"/>
            </w:tcBorders>
            <w:vAlign w:val="center"/>
          </w:tcPr>
          <w:p w:rsidR="0095508C" w:rsidRPr="00302E41" w:rsidRDefault="0095508C" w:rsidP="00B91F9A">
            <w:pPr>
              <w:jc w:val="center"/>
              <w:rPr>
                <w:sz w:val="18"/>
                <w:szCs w:val="18"/>
              </w:rPr>
            </w:pPr>
            <w:r w:rsidRPr="00302E41">
              <w:rPr>
                <w:sz w:val="18"/>
                <w:szCs w:val="18"/>
              </w:rPr>
              <w:t>4</w:t>
            </w:r>
          </w:p>
        </w:tc>
      </w:tr>
      <w:tr w:rsidR="0095508C" w:rsidRPr="00302E41" w:rsidTr="00D27BC6">
        <w:trPr>
          <w:trHeight w:val="559"/>
          <w:jc w:val="center"/>
        </w:trPr>
        <w:tc>
          <w:tcPr>
            <w:tcW w:w="1030" w:type="dxa"/>
            <w:vMerge/>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p>
        </w:tc>
        <w:tc>
          <w:tcPr>
            <w:tcW w:w="3558"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Taux d’inflation sous-jacente)</w:t>
            </w:r>
            <w:r w:rsidRPr="0095508C">
              <w:rPr>
                <w:rStyle w:val="Appelnotedebasdep"/>
                <w:rFonts w:asciiTheme="minorHAnsi" w:hAnsiTheme="minorHAnsi"/>
                <w:snapToGrid w:val="0"/>
                <w:sz w:val="18"/>
                <w:szCs w:val="18"/>
              </w:rPr>
              <w:t xml:space="preserve"> 1</w:t>
            </w:r>
          </w:p>
          <w:p w:rsidR="0095508C" w:rsidRPr="0095508C" w:rsidRDefault="0095508C"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 xml:space="preserve">(Norme </w:t>
            </w:r>
            <w:r w:rsidRPr="0095508C">
              <w:rPr>
                <w:rFonts w:asciiTheme="minorHAnsi" w:hAnsiTheme="minorHAnsi"/>
                <w:sz w:val="18"/>
                <w:szCs w:val="18"/>
              </w:rPr>
              <w:t xml:space="preserve">≤ </w:t>
            </w:r>
            <w:r w:rsidRPr="0095508C">
              <w:rPr>
                <w:rFonts w:asciiTheme="minorHAnsi" w:hAnsiTheme="minorHAnsi"/>
                <w:snapToGrid w:val="0"/>
                <w:sz w:val="18"/>
                <w:szCs w:val="18"/>
              </w:rPr>
              <w:t>3  %)</w:t>
            </w:r>
          </w:p>
        </w:tc>
        <w:tc>
          <w:tcPr>
            <w:tcW w:w="1213" w:type="dxa"/>
            <w:tcBorders>
              <w:top w:val="single" w:sz="4" w:space="0" w:color="auto"/>
              <w:left w:val="single" w:sz="4" w:space="0" w:color="auto"/>
              <w:bottom w:val="single" w:sz="4" w:space="0" w:color="auto"/>
              <w:right w:val="single" w:sz="4" w:space="0" w:color="auto"/>
            </w:tcBorders>
            <w:vAlign w:val="center"/>
          </w:tcPr>
          <w:p w:rsidR="0095508C" w:rsidRPr="0095508C" w:rsidDel="00460F39" w:rsidRDefault="0095508C" w:rsidP="00B91F9A">
            <w:pPr>
              <w:spacing w:before="2" w:after="2"/>
              <w:jc w:val="center"/>
              <w:rPr>
                <w:rFonts w:asciiTheme="minorHAnsi" w:eastAsia="SimSun" w:hAnsiTheme="minorHAnsi"/>
                <w:color w:val="000000"/>
                <w:sz w:val="18"/>
                <w:szCs w:val="18"/>
                <w:lang w:eastAsia="zh-CN"/>
              </w:rPr>
            </w:pPr>
          </w:p>
        </w:tc>
        <w:tc>
          <w:tcPr>
            <w:tcW w:w="1261"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p>
        </w:tc>
        <w:tc>
          <w:tcPr>
            <w:tcW w:w="1003"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p>
        </w:tc>
        <w:tc>
          <w:tcPr>
            <w:tcW w:w="1280"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p>
        </w:tc>
        <w:tc>
          <w:tcPr>
            <w:tcW w:w="1046"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p>
        </w:tc>
        <w:tc>
          <w:tcPr>
            <w:tcW w:w="1115" w:type="dxa"/>
            <w:tcBorders>
              <w:top w:val="single" w:sz="4" w:space="0" w:color="auto"/>
              <w:left w:val="single" w:sz="4" w:space="0" w:color="auto"/>
              <w:bottom w:val="single" w:sz="4" w:space="0" w:color="auto"/>
              <w:right w:val="threeDEngrave" w:sz="24" w:space="0" w:color="auto"/>
            </w:tcBorders>
            <w:vAlign w:val="center"/>
          </w:tcPr>
          <w:p w:rsidR="0095508C" w:rsidRPr="0095508C" w:rsidRDefault="0095508C" w:rsidP="00B91F9A">
            <w:pPr>
              <w:spacing w:before="2" w:after="2"/>
              <w:jc w:val="center"/>
              <w:rPr>
                <w:rFonts w:asciiTheme="minorHAnsi" w:hAnsiTheme="minorHAnsi"/>
                <w:sz w:val="18"/>
                <w:szCs w:val="18"/>
              </w:rPr>
            </w:pPr>
          </w:p>
        </w:tc>
        <w:tc>
          <w:tcPr>
            <w:tcW w:w="788" w:type="dxa"/>
            <w:vMerge/>
            <w:tcBorders>
              <w:top w:val="single" w:sz="4" w:space="0" w:color="auto"/>
              <w:left w:val="threeDEngrave" w:sz="2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z w:val="18"/>
                <w:szCs w:val="18"/>
              </w:rPr>
            </w:pPr>
          </w:p>
        </w:tc>
        <w:tc>
          <w:tcPr>
            <w:tcW w:w="814" w:type="dxa"/>
            <w:vMerge/>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z w:val="18"/>
                <w:szCs w:val="18"/>
              </w:rPr>
            </w:pPr>
          </w:p>
        </w:tc>
        <w:tc>
          <w:tcPr>
            <w:tcW w:w="776" w:type="dxa"/>
            <w:vMerge/>
            <w:tcBorders>
              <w:top w:val="single" w:sz="4" w:space="0" w:color="auto"/>
              <w:left w:val="single" w:sz="4" w:space="0" w:color="auto"/>
              <w:bottom w:val="single" w:sz="4" w:space="0" w:color="auto"/>
              <w:right w:val="threeDEmboss" w:sz="24" w:space="0" w:color="auto"/>
            </w:tcBorders>
            <w:vAlign w:val="center"/>
          </w:tcPr>
          <w:p w:rsidR="0095508C" w:rsidRPr="00302E41" w:rsidRDefault="0095508C" w:rsidP="00B91F9A">
            <w:pPr>
              <w:spacing w:before="2" w:after="2"/>
              <w:jc w:val="center"/>
              <w:rPr>
                <w:sz w:val="18"/>
                <w:szCs w:val="18"/>
              </w:rPr>
            </w:pPr>
          </w:p>
        </w:tc>
      </w:tr>
      <w:tr w:rsidR="0095508C" w:rsidRPr="00302E41" w:rsidTr="00D27BC6">
        <w:trPr>
          <w:cantSplit/>
          <w:trHeight w:val="284"/>
          <w:jc w:val="center"/>
        </w:trPr>
        <w:tc>
          <w:tcPr>
            <w:tcW w:w="1030"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snapToGrid w:val="0"/>
                <w:sz w:val="18"/>
                <w:szCs w:val="18"/>
              </w:rPr>
              <w:t>3</w:t>
            </w:r>
          </w:p>
        </w:tc>
        <w:tc>
          <w:tcPr>
            <w:tcW w:w="3558"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 xml:space="preserve">Encours de la dette publique totale rapporté au PIB nominal (norme </w:t>
            </w:r>
            <w:r w:rsidRPr="0095508C">
              <w:rPr>
                <w:rFonts w:asciiTheme="minorHAnsi" w:hAnsiTheme="minorHAnsi"/>
                <w:sz w:val="18"/>
                <w:szCs w:val="18"/>
              </w:rPr>
              <w:t>≤</w:t>
            </w:r>
            <w:r w:rsidRPr="0095508C">
              <w:rPr>
                <w:rFonts w:asciiTheme="minorHAnsi" w:hAnsiTheme="minorHAnsi"/>
                <w:snapToGrid w:val="0"/>
                <w:sz w:val="18"/>
                <w:szCs w:val="18"/>
              </w:rPr>
              <w:t>70  %)</w:t>
            </w:r>
          </w:p>
        </w:tc>
        <w:tc>
          <w:tcPr>
            <w:tcW w:w="1213"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eastAsia="SimSun" w:hAnsiTheme="minorHAnsi"/>
                <w:color w:val="000000"/>
                <w:sz w:val="18"/>
                <w:szCs w:val="18"/>
                <w:lang w:eastAsia="zh-CN"/>
              </w:rPr>
              <w:t>2</w:t>
            </w:r>
            <w:r w:rsidR="00BD3B9B">
              <w:rPr>
                <w:rFonts w:asciiTheme="minorHAnsi" w:eastAsia="SimSun" w:hAnsiTheme="minorHAnsi"/>
                <w:color w:val="000000"/>
                <w:sz w:val="18"/>
                <w:szCs w:val="18"/>
                <w:lang w:eastAsia="zh-CN"/>
              </w:rPr>
              <w:t>3,6</w:t>
            </w:r>
          </w:p>
        </w:tc>
        <w:tc>
          <w:tcPr>
            <w:tcW w:w="1261"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snapToGrid w:val="0"/>
                <w:sz w:val="18"/>
                <w:szCs w:val="18"/>
              </w:rPr>
              <w:t>49</w:t>
            </w:r>
          </w:p>
        </w:tc>
        <w:tc>
          <w:tcPr>
            <w:tcW w:w="993"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snapToGrid w:val="0"/>
                <w:sz w:val="18"/>
                <w:szCs w:val="18"/>
              </w:rPr>
              <w:t>5</w:t>
            </w:r>
            <w:r w:rsidR="00BD3B9B">
              <w:rPr>
                <w:rFonts w:asciiTheme="minorHAnsi" w:hAnsiTheme="minorHAnsi"/>
                <w:snapToGrid w:val="0"/>
                <w:sz w:val="18"/>
                <w:szCs w:val="18"/>
              </w:rPr>
              <w:t>2,5</w:t>
            </w:r>
          </w:p>
        </w:tc>
        <w:tc>
          <w:tcPr>
            <w:tcW w:w="1003"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95508C" w:rsidP="00B91F9A">
            <w:pPr>
              <w:spacing w:before="2" w:after="2"/>
              <w:jc w:val="center"/>
              <w:rPr>
                <w:rFonts w:asciiTheme="minorHAnsi" w:eastAsia="Arial Unicode MS" w:hAnsiTheme="minorHAnsi"/>
                <w:snapToGrid w:val="0"/>
                <w:sz w:val="18"/>
                <w:szCs w:val="18"/>
              </w:rPr>
            </w:pPr>
            <w:r w:rsidRPr="0095508C">
              <w:rPr>
                <w:rFonts w:asciiTheme="minorHAnsi" w:hAnsiTheme="minorHAnsi"/>
                <w:snapToGrid w:val="0"/>
                <w:sz w:val="18"/>
                <w:szCs w:val="18"/>
              </w:rPr>
              <w:t>35,9</w:t>
            </w:r>
          </w:p>
        </w:tc>
        <w:tc>
          <w:tcPr>
            <w:tcW w:w="128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snapToGrid w:val="0"/>
                <w:sz w:val="18"/>
                <w:szCs w:val="18"/>
              </w:rPr>
              <w:t>18,7</w:t>
            </w:r>
          </w:p>
        </w:tc>
        <w:tc>
          <w:tcPr>
            <w:tcW w:w="1046"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snapToGrid w:val="0"/>
                <w:sz w:val="18"/>
                <w:szCs w:val="18"/>
              </w:rPr>
              <w:t>3</w:t>
            </w:r>
            <w:r w:rsidR="00BD3B9B">
              <w:rPr>
                <w:rFonts w:asciiTheme="minorHAnsi" w:hAnsiTheme="minorHAnsi"/>
                <w:snapToGrid w:val="0"/>
                <w:sz w:val="18"/>
                <w:szCs w:val="18"/>
              </w:rPr>
              <w:t>2,5</w:t>
            </w:r>
          </w:p>
        </w:tc>
        <w:tc>
          <w:tcPr>
            <w:tcW w:w="1115" w:type="dxa"/>
            <w:tcBorders>
              <w:top w:val="single" w:sz="4" w:space="0" w:color="auto"/>
              <w:left w:val="single" w:sz="4" w:space="0" w:color="auto"/>
              <w:bottom w:val="single" w:sz="4" w:space="0" w:color="auto"/>
              <w:right w:val="threeDEngrave" w:sz="24" w:space="0" w:color="auto"/>
            </w:tcBorders>
            <w:shd w:val="clear" w:color="auto" w:fill="C2D69B" w:themeFill="accent3" w:themeFillTint="99"/>
            <w:vAlign w:val="center"/>
          </w:tcPr>
          <w:p w:rsidR="0095508C" w:rsidRPr="0095508C" w:rsidRDefault="0095508C" w:rsidP="00B91F9A">
            <w:pPr>
              <w:spacing w:before="2" w:after="2"/>
              <w:jc w:val="center"/>
              <w:rPr>
                <w:rFonts w:asciiTheme="minorHAnsi" w:hAnsiTheme="minorHAnsi"/>
                <w:sz w:val="18"/>
                <w:szCs w:val="18"/>
              </w:rPr>
            </w:pPr>
            <w:r w:rsidRPr="0095508C">
              <w:rPr>
                <w:rFonts w:asciiTheme="minorHAnsi" w:eastAsia="SimSun" w:hAnsiTheme="minorHAnsi"/>
                <w:color w:val="000000"/>
                <w:sz w:val="18"/>
                <w:szCs w:val="18"/>
                <w:lang w:eastAsia="zh-CN"/>
              </w:rPr>
              <w:t>30,</w:t>
            </w:r>
            <w:r w:rsidR="00BD3B9B">
              <w:rPr>
                <w:rFonts w:asciiTheme="minorHAnsi" w:eastAsia="SimSun" w:hAnsiTheme="minorHAnsi"/>
                <w:color w:val="000000"/>
                <w:sz w:val="18"/>
                <w:szCs w:val="18"/>
                <w:lang w:eastAsia="zh-CN"/>
              </w:rPr>
              <w:t>8</w:t>
            </w:r>
          </w:p>
        </w:tc>
        <w:tc>
          <w:tcPr>
            <w:tcW w:w="788" w:type="dxa"/>
            <w:tcBorders>
              <w:top w:val="single" w:sz="4" w:space="0" w:color="auto"/>
              <w:left w:val="threeDEngrave" w:sz="24" w:space="0" w:color="auto"/>
              <w:bottom w:val="single" w:sz="4" w:space="0" w:color="auto"/>
              <w:right w:val="single" w:sz="4" w:space="0" w:color="auto"/>
            </w:tcBorders>
            <w:vAlign w:val="center"/>
          </w:tcPr>
          <w:p w:rsidR="0095508C" w:rsidRPr="0095508C" w:rsidRDefault="0095508C" w:rsidP="00B91F9A">
            <w:pPr>
              <w:jc w:val="center"/>
              <w:rPr>
                <w:rFonts w:asciiTheme="minorHAnsi" w:hAnsiTheme="minorHAnsi"/>
                <w:sz w:val="18"/>
                <w:szCs w:val="18"/>
              </w:rPr>
            </w:pPr>
            <w:r w:rsidRPr="0095508C">
              <w:rPr>
                <w:rFonts w:asciiTheme="minorHAnsi" w:hAnsiTheme="minorHAnsi"/>
                <w:sz w:val="18"/>
                <w:szCs w:val="18"/>
              </w:rPr>
              <w:t>6</w:t>
            </w:r>
          </w:p>
        </w:tc>
        <w:tc>
          <w:tcPr>
            <w:tcW w:w="814" w:type="dxa"/>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jc w:val="center"/>
              <w:rPr>
                <w:rFonts w:asciiTheme="minorHAnsi" w:hAnsiTheme="minorHAnsi"/>
                <w:sz w:val="18"/>
                <w:szCs w:val="18"/>
              </w:rPr>
            </w:pPr>
            <w:r w:rsidRPr="0095508C">
              <w:rPr>
                <w:rFonts w:asciiTheme="minorHAnsi" w:hAnsiTheme="minorHAnsi"/>
                <w:sz w:val="18"/>
                <w:szCs w:val="18"/>
              </w:rPr>
              <w:t>6</w:t>
            </w:r>
          </w:p>
        </w:tc>
        <w:tc>
          <w:tcPr>
            <w:tcW w:w="776" w:type="dxa"/>
            <w:tcBorders>
              <w:top w:val="single" w:sz="4" w:space="0" w:color="auto"/>
              <w:left w:val="single" w:sz="4" w:space="0" w:color="auto"/>
              <w:bottom w:val="single" w:sz="4" w:space="0" w:color="auto"/>
              <w:right w:val="threeDEmboss" w:sz="24" w:space="0" w:color="auto"/>
            </w:tcBorders>
            <w:vAlign w:val="center"/>
          </w:tcPr>
          <w:p w:rsidR="0095508C" w:rsidRPr="00302E41" w:rsidRDefault="0095508C" w:rsidP="00B91F9A">
            <w:pPr>
              <w:jc w:val="center"/>
              <w:rPr>
                <w:sz w:val="18"/>
                <w:szCs w:val="18"/>
              </w:rPr>
            </w:pPr>
            <w:r w:rsidRPr="00302E41">
              <w:rPr>
                <w:sz w:val="18"/>
                <w:szCs w:val="18"/>
              </w:rPr>
              <w:t>6</w:t>
            </w:r>
          </w:p>
        </w:tc>
      </w:tr>
      <w:tr w:rsidR="0095508C" w:rsidRPr="00302E41" w:rsidTr="0027185F">
        <w:trPr>
          <w:cantSplit/>
          <w:trHeight w:val="348"/>
          <w:jc w:val="center"/>
        </w:trPr>
        <w:tc>
          <w:tcPr>
            <w:tcW w:w="1030" w:type="dxa"/>
            <w:vMerge w:val="restart"/>
            <w:tcBorders>
              <w:top w:val="single" w:sz="4" w:space="0" w:color="auto"/>
              <w:left w:val="single" w:sz="4" w:space="0" w:color="auto"/>
              <w:bottom w:val="single" w:sz="4" w:space="0" w:color="auto"/>
              <w:right w:val="single" w:sz="4" w:space="0" w:color="auto"/>
            </w:tcBorders>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snapToGrid w:val="0"/>
                <w:sz w:val="18"/>
                <w:szCs w:val="18"/>
              </w:rPr>
              <w:t>4</w:t>
            </w:r>
          </w:p>
        </w:tc>
        <w:tc>
          <w:tcPr>
            <w:tcW w:w="3558" w:type="dxa"/>
            <w:tcBorders>
              <w:top w:val="single" w:sz="4" w:space="0" w:color="auto"/>
              <w:left w:val="single" w:sz="4" w:space="0" w:color="auto"/>
              <w:bottom w:val="single" w:sz="4" w:space="0" w:color="auto"/>
              <w:right w:val="single" w:sz="4" w:space="0" w:color="auto"/>
            </w:tcBorders>
          </w:tcPr>
          <w:p w:rsidR="0095508C" w:rsidRPr="0095508C" w:rsidRDefault="0095508C"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Arriérés de paiements intérieurs (en milliards)</w:t>
            </w:r>
          </w:p>
        </w:tc>
        <w:tc>
          <w:tcPr>
            <w:tcW w:w="1213"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BD3B9B" w:rsidP="00B91F9A">
            <w:pPr>
              <w:spacing w:before="2" w:after="2"/>
              <w:jc w:val="center"/>
              <w:rPr>
                <w:rFonts w:asciiTheme="minorHAnsi" w:hAnsiTheme="minorHAnsi"/>
                <w:snapToGrid w:val="0"/>
                <w:sz w:val="18"/>
                <w:szCs w:val="18"/>
                <w:lang w:val="de-DE"/>
              </w:rPr>
            </w:pPr>
            <w:r>
              <w:rPr>
                <w:rFonts w:asciiTheme="minorHAnsi" w:hAnsiTheme="minorHAnsi"/>
                <w:snapToGrid w:val="0"/>
                <w:sz w:val="18"/>
                <w:szCs w:val="18"/>
                <w:lang w:val="de-DE"/>
              </w:rPr>
              <w:t>=</w:t>
            </w:r>
            <w:r w:rsidR="0095508C" w:rsidRPr="0095508C">
              <w:rPr>
                <w:rFonts w:asciiTheme="minorHAnsi" w:hAnsiTheme="minorHAnsi"/>
                <w:snapToGrid w:val="0"/>
                <w:sz w:val="18"/>
                <w:szCs w:val="18"/>
                <w:lang w:val="de-DE"/>
              </w:rPr>
              <w:t>0</w:t>
            </w:r>
          </w:p>
        </w:tc>
        <w:tc>
          <w:tcPr>
            <w:tcW w:w="1261" w:type="dxa"/>
            <w:tcBorders>
              <w:top w:val="single" w:sz="4" w:space="0" w:color="auto"/>
              <w:left w:val="single" w:sz="4" w:space="0" w:color="auto"/>
              <w:bottom w:val="single" w:sz="4" w:space="0" w:color="auto"/>
              <w:right w:val="single" w:sz="4" w:space="0" w:color="auto"/>
            </w:tcBorders>
            <w:shd w:val="clear" w:color="auto" w:fill="auto"/>
            <w:vAlign w:val="center"/>
          </w:tcPr>
          <w:p w:rsidR="0095508C" w:rsidRPr="0095508C" w:rsidRDefault="0095508C" w:rsidP="00B91F9A">
            <w:pPr>
              <w:spacing w:before="2" w:after="2"/>
              <w:jc w:val="center"/>
              <w:rPr>
                <w:rFonts w:asciiTheme="minorHAnsi" w:hAnsiTheme="minorHAnsi"/>
                <w:snapToGrid w:val="0"/>
                <w:sz w:val="18"/>
                <w:szCs w:val="18"/>
                <w:lang w:val="de-DE"/>
              </w:rPr>
            </w:pPr>
            <w:r w:rsidRPr="0095508C">
              <w:rPr>
                <w:rFonts w:asciiTheme="minorHAnsi" w:hAnsiTheme="minorHAnsi"/>
                <w:snapToGrid w:val="0"/>
                <w:sz w:val="18"/>
                <w:szCs w:val="18"/>
                <w:lang w:val="de-DE"/>
              </w:rPr>
              <w:t>&gt;0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5508C" w:rsidRPr="0095508C" w:rsidRDefault="0095508C" w:rsidP="00B91F9A">
            <w:pPr>
              <w:spacing w:before="2" w:after="2"/>
              <w:jc w:val="center"/>
              <w:rPr>
                <w:rFonts w:asciiTheme="minorHAnsi" w:hAnsiTheme="minorHAnsi"/>
                <w:snapToGrid w:val="0"/>
                <w:sz w:val="18"/>
                <w:szCs w:val="18"/>
                <w:lang w:val="de-DE"/>
              </w:rPr>
            </w:pPr>
            <w:r w:rsidRPr="0095508C">
              <w:rPr>
                <w:rFonts w:asciiTheme="minorHAnsi" w:hAnsiTheme="minorHAnsi"/>
                <w:snapToGrid w:val="0"/>
                <w:sz w:val="18"/>
                <w:szCs w:val="18"/>
                <w:lang w:val="de-DE"/>
              </w:rPr>
              <w:t>&gt;0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95508C" w:rsidRPr="0095508C" w:rsidRDefault="0095508C" w:rsidP="00B91F9A">
            <w:pPr>
              <w:spacing w:before="2" w:after="2"/>
              <w:jc w:val="center"/>
              <w:rPr>
                <w:rFonts w:asciiTheme="minorHAnsi" w:hAnsiTheme="minorHAnsi"/>
                <w:snapToGrid w:val="0"/>
                <w:sz w:val="18"/>
                <w:szCs w:val="18"/>
                <w:lang w:val="de-DE"/>
              </w:rPr>
            </w:pPr>
            <w:r w:rsidRPr="0095508C">
              <w:rPr>
                <w:rFonts w:asciiTheme="minorHAnsi" w:hAnsiTheme="minorHAnsi"/>
                <w:snapToGrid w:val="0"/>
                <w:sz w:val="18"/>
                <w:szCs w:val="18"/>
                <w:lang w:val="de-DE"/>
              </w:rPr>
              <w:t>&gt;0</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rsidR="0095508C" w:rsidRPr="0095508C" w:rsidRDefault="0095508C" w:rsidP="00B91F9A">
            <w:pPr>
              <w:spacing w:before="2" w:after="2"/>
              <w:jc w:val="center"/>
              <w:rPr>
                <w:rFonts w:asciiTheme="minorHAnsi" w:hAnsiTheme="minorHAnsi"/>
                <w:snapToGrid w:val="0"/>
                <w:sz w:val="18"/>
                <w:szCs w:val="18"/>
                <w:lang w:val="de-DE"/>
              </w:rPr>
            </w:pPr>
            <w:r w:rsidRPr="0095508C">
              <w:rPr>
                <w:rFonts w:asciiTheme="minorHAnsi" w:hAnsiTheme="minorHAnsi"/>
                <w:snapToGrid w:val="0"/>
                <w:sz w:val="18"/>
                <w:szCs w:val="18"/>
                <w:lang w:val="de-DE"/>
              </w:rPr>
              <w:t>&gt;0</w:t>
            </w:r>
          </w:p>
        </w:tc>
        <w:tc>
          <w:tcPr>
            <w:tcW w:w="1046"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95508C" w:rsidRPr="0095508C" w:rsidRDefault="00BD3B9B" w:rsidP="00B91F9A">
            <w:pPr>
              <w:spacing w:before="2" w:after="2"/>
              <w:jc w:val="center"/>
              <w:rPr>
                <w:rFonts w:asciiTheme="minorHAnsi" w:hAnsiTheme="minorHAnsi"/>
                <w:snapToGrid w:val="0"/>
                <w:sz w:val="18"/>
                <w:szCs w:val="18"/>
                <w:lang w:val="de-DE"/>
              </w:rPr>
            </w:pPr>
            <w:r>
              <w:rPr>
                <w:rFonts w:asciiTheme="minorHAnsi" w:hAnsiTheme="minorHAnsi"/>
                <w:snapToGrid w:val="0"/>
                <w:sz w:val="18"/>
                <w:szCs w:val="18"/>
                <w:lang w:val="de-DE"/>
              </w:rPr>
              <w:t>=</w:t>
            </w:r>
            <w:r w:rsidR="0095508C" w:rsidRPr="0095508C">
              <w:rPr>
                <w:rFonts w:asciiTheme="minorHAnsi" w:hAnsiTheme="minorHAnsi"/>
                <w:snapToGrid w:val="0"/>
                <w:sz w:val="18"/>
                <w:szCs w:val="18"/>
                <w:lang w:val="de-DE"/>
              </w:rPr>
              <w:t>0</w:t>
            </w:r>
          </w:p>
        </w:tc>
        <w:tc>
          <w:tcPr>
            <w:tcW w:w="1115" w:type="dxa"/>
            <w:tcBorders>
              <w:top w:val="single" w:sz="4" w:space="0" w:color="auto"/>
              <w:left w:val="single" w:sz="4" w:space="0" w:color="auto"/>
              <w:bottom w:val="single" w:sz="4" w:space="0" w:color="auto"/>
              <w:right w:val="threeDEngrave" w:sz="24" w:space="0" w:color="auto"/>
            </w:tcBorders>
            <w:shd w:val="clear" w:color="auto" w:fill="auto"/>
            <w:vAlign w:val="center"/>
          </w:tcPr>
          <w:p w:rsidR="0095508C" w:rsidRPr="0095508C" w:rsidRDefault="0095508C" w:rsidP="00B91F9A">
            <w:pPr>
              <w:spacing w:before="2" w:after="2"/>
              <w:jc w:val="center"/>
              <w:rPr>
                <w:rFonts w:asciiTheme="minorHAnsi" w:hAnsiTheme="minorHAnsi"/>
                <w:snapToGrid w:val="0"/>
                <w:sz w:val="18"/>
                <w:szCs w:val="18"/>
              </w:rPr>
            </w:pPr>
            <w:r w:rsidRPr="0095508C">
              <w:rPr>
                <w:rFonts w:asciiTheme="minorHAnsi" w:hAnsiTheme="minorHAnsi"/>
                <w:snapToGrid w:val="0"/>
                <w:sz w:val="18"/>
                <w:szCs w:val="18"/>
                <w:lang w:val="de-DE"/>
              </w:rPr>
              <w:t>&gt;0</w:t>
            </w:r>
          </w:p>
        </w:tc>
        <w:tc>
          <w:tcPr>
            <w:tcW w:w="788" w:type="dxa"/>
            <w:vMerge w:val="restart"/>
            <w:tcBorders>
              <w:top w:val="single" w:sz="4" w:space="0" w:color="auto"/>
              <w:left w:val="threeDEngrave" w:sz="24" w:space="0" w:color="auto"/>
              <w:bottom w:val="threeDEmboss" w:sz="24" w:space="0" w:color="auto"/>
              <w:right w:val="single" w:sz="4" w:space="0" w:color="auto"/>
            </w:tcBorders>
            <w:vAlign w:val="center"/>
          </w:tcPr>
          <w:p w:rsidR="0095508C" w:rsidRPr="0095508C" w:rsidRDefault="00BD3B9B" w:rsidP="00B91F9A">
            <w:pPr>
              <w:jc w:val="center"/>
              <w:rPr>
                <w:rFonts w:asciiTheme="minorHAnsi" w:hAnsiTheme="minorHAnsi"/>
                <w:sz w:val="18"/>
                <w:szCs w:val="18"/>
              </w:rPr>
            </w:pPr>
            <w:r>
              <w:rPr>
                <w:rFonts w:asciiTheme="minorHAnsi" w:hAnsiTheme="minorHAnsi"/>
                <w:sz w:val="18"/>
                <w:szCs w:val="18"/>
              </w:rPr>
              <w:t>2</w:t>
            </w:r>
          </w:p>
        </w:tc>
        <w:tc>
          <w:tcPr>
            <w:tcW w:w="814" w:type="dxa"/>
            <w:vMerge w:val="restart"/>
            <w:tcBorders>
              <w:top w:val="single" w:sz="4" w:space="0" w:color="auto"/>
              <w:left w:val="single" w:sz="4" w:space="0" w:color="auto"/>
              <w:bottom w:val="threeDEmboss" w:sz="24" w:space="0" w:color="auto"/>
              <w:right w:val="single" w:sz="4" w:space="0" w:color="auto"/>
            </w:tcBorders>
            <w:vAlign w:val="center"/>
          </w:tcPr>
          <w:p w:rsidR="0095508C" w:rsidRPr="0095508C" w:rsidRDefault="0095508C" w:rsidP="00B91F9A">
            <w:pPr>
              <w:jc w:val="center"/>
              <w:rPr>
                <w:rFonts w:asciiTheme="minorHAnsi" w:hAnsiTheme="minorHAnsi"/>
                <w:sz w:val="18"/>
                <w:szCs w:val="18"/>
              </w:rPr>
            </w:pPr>
            <w:r w:rsidRPr="0095508C">
              <w:rPr>
                <w:rFonts w:asciiTheme="minorHAnsi" w:hAnsiTheme="minorHAnsi"/>
                <w:sz w:val="18"/>
                <w:szCs w:val="18"/>
              </w:rPr>
              <w:t>5</w:t>
            </w:r>
          </w:p>
        </w:tc>
        <w:tc>
          <w:tcPr>
            <w:tcW w:w="776" w:type="dxa"/>
            <w:vMerge w:val="restart"/>
            <w:tcBorders>
              <w:top w:val="single" w:sz="4" w:space="0" w:color="auto"/>
              <w:left w:val="single" w:sz="4" w:space="0" w:color="auto"/>
              <w:bottom w:val="threeDEmboss" w:sz="24" w:space="0" w:color="auto"/>
              <w:right w:val="threeDEmboss" w:sz="24" w:space="0" w:color="auto"/>
            </w:tcBorders>
            <w:vAlign w:val="center"/>
          </w:tcPr>
          <w:p w:rsidR="0095508C" w:rsidRPr="00302E41" w:rsidRDefault="0095508C" w:rsidP="00B91F9A">
            <w:pPr>
              <w:jc w:val="center"/>
              <w:rPr>
                <w:sz w:val="18"/>
                <w:szCs w:val="18"/>
              </w:rPr>
            </w:pPr>
            <w:r w:rsidRPr="00302E41">
              <w:rPr>
                <w:sz w:val="18"/>
                <w:szCs w:val="18"/>
              </w:rPr>
              <w:t>2</w:t>
            </w:r>
          </w:p>
        </w:tc>
      </w:tr>
      <w:tr w:rsidR="00D27BC6" w:rsidRPr="00302E41" w:rsidTr="0027185F">
        <w:trPr>
          <w:cantSplit/>
          <w:trHeight w:val="337"/>
          <w:jc w:val="center"/>
        </w:trPr>
        <w:tc>
          <w:tcPr>
            <w:tcW w:w="1030" w:type="dxa"/>
            <w:vMerge/>
            <w:tcBorders>
              <w:top w:val="single" w:sz="4" w:space="0" w:color="auto"/>
              <w:left w:val="single" w:sz="4" w:space="0" w:color="auto"/>
              <w:bottom w:val="single" w:sz="4" w:space="0" w:color="auto"/>
              <w:right w:val="single" w:sz="4" w:space="0" w:color="auto"/>
            </w:tcBorders>
            <w:vAlign w:val="center"/>
          </w:tcPr>
          <w:p w:rsidR="00D27BC6" w:rsidRPr="0095508C" w:rsidRDefault="00D27BC6" w:rsidP="00D27BC6">
            <w:pPr>
              <w:spacing w:before="2" w:after="2"/>
              <w:jc w:val="both"/>
              <w:rPr>
                <w:rFonts w:asciiTheme="minorHAnsi" w:hAnsiTheme="minorHAnsi"/>
                <w:snapToGrid w:val="0"/>
                <w:sz w:val="18"/>
                <w:szCs w:val="18"/>
              </w:rPr>
            </w:pPr>
          </w:p>
        </w:tc>
        <w:tc>
          <w:tcPr>
            <w:tcW w:w="3558" w:type="dxa"/>
            <w:tcBorders>
              <w:top w:val="single" w:sz="4" w:space="0" w:color="auto"/>
              <w:left w:val="single" w:sz="4" w:space="0" w:color="auto"/>
              <w:bottom w:val="single" w:sz="4" w:space="0" w:color="auto"/>
              <w:right w:val="single" w:sz="4" w:space="0" w:color="auto"/>
            </w:tcBorders>
          </w:tcPr>
          <w:p w:rsidR="00D27BC6" w:rsidRPr="0095508C" w:rsidRDefault="00D27BC6" w:rsidP="00D27BC6">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Arriérés de paiements extérieurs (en milliards)</w:t>
            </w:r>
          </w:p>
        </w:tc>
        <w:tc>
          <w:tcPr>
            <w:tcW w:w="1213" w:type="dxa"/>
            <w:tcBorders>
              <w:top w:val="single" w:sz="4" w:space="0" w:color="auto"/>
              <w:left w:val="single" w:sz="4" w:space="0" w:color="auto"/>
              <w:bottom w:val="threeDEmboss" w:sz="24" w:space="0" w:color="auto"/>
              <w:right w:val="single" w:sz="4" w:space="0" w:color="auto"/>
            </w:tcBorders>
            <w:shd w:val="clear" w:color="auto" w:fill="C2D69B" w:themeFill="accent3" w:themeFillTint="99"/>
            <w:vAlign w:val="center"/>
          </w:tcPr>
          <w:p w:rsidR="00D27BC6" w:rsidRPr="0095508C" w:rsidRDefault="00D27BC6">
            <w:pPr>
              <w:spacing w:before="2" w:after="2"/>
              <w:jc w:val="center"/>
              <w:rPr>
                <w:rFonts w:asciiTheme="minorHAnsi" w:hAnsiTheme="minorHAnsi"/>
                <w:snapToGrid w:val="0"/>
                <w:sz w:val="18"/>
                <w:szCs w:val="18"/>
                <w:lang w:val="de-DE"/>
              </w:rPr>
            </w:pPr>
            <w:r>
              <w:rPr>
                <w:rFonts w:asciiTheme="minorHAnsi" w:hAnsiTheme="minorHAnsi"/>
                <w:snapToGrid w:val="0"/>
                <w:sz w:val="18"/>
                <w:szCs w:val="18"/>
                <w:lang w:val="de-DE"/>
              </w:rPr>
              <w:t>=</w:t>
            </w:r>
            <w:r w:rsidRPr="0095508C">
              <w:rPr>
                <w:rFonts w:asciiTheme="minorHAnsi" w:hAnsiTheme="minorHAnsi"/>
                <w:snapToGrid w:val="0"/>
                <w:sz w:val="18"/>
                <w:szCs w:val="18"/>
                <w:lang w:val="de-DE"/>
              </w:rPr>
              <w:t>0</w:t>
            </w:r>
          </w:p>
        </w:tc>
        <w:tc>
          <w:tcPr>
            <w:tcW w:w="1261" w:type="dxa"/>
            <w:tcBorders>
              <w:top w:val="single" w:sz="4" w:space="0" w:color="auto"/>
              <w:left w:val="single" w:sz="4" w:space="0" w:color="auto"/>
              <w:bottom w:val="threeDEmboss" w:sz="24" w:space="0" w:color="auto"/>
              <w:right w:val="single" w:sz="4" w:space="0" w:color="auto"/>
            </w:tcBorders>
            <w:shd w:val="clear" w:color="auto" w:fill="auto"/>
            <w:vAlign w:val="center"/>
          </w:tcPr>
          <w:p w:rsidR="00D27BC6" w:rsidRPr="0095508C" w:rsidRDefault="00D27BC6" w:rsidP="00D27BC6">
            <w:pPr>
              <w:spacing w:before="2" w:after="2"/>
              <w:jc w:val="center"/>
              <w:rPr>
                <w:rFonts w:asciiTheme="minorHAnsi" w:hAnsiTheme="minorHAnsi"/>
                <w:snapToGrid w:val="0"/>
                <w:sz w:val="18"/>
                <w:szCs w:val="18"/>
                <w:lang w:val="de-DE"/>
              </w:rPr>
            </w:pPr>
            <w:r>
              <w:rPr>
                <w:rFonts w:asciiTheme="minorHAnsi" w:hAnsiTheme="minorHAnsi"/>
                <w:snapToGrid w:val="0"/>
                <w:sz w:val="18"/>
                <w:szCs w:val="18"/>
                <w:lang w:val="de-DE"/>
              </w:rPr>
              <w:t>=</w:t>
            </w:r>
            <w:r w:rsidRPr="0095508C">
              <w:rPr>
                <w:rFonts w:asciiTheme="minorHAnsi" w:hAnsiTheme="minorHAnsi"/>
                <w:snapToGrid w:val="0"/>
                <w:sz w:val="18"/>
                <w:szCs w:val="18"/>
                <w:lang w:val="de-DE"/>
              </w:rPr>
              <w:t>0</w:t>
            </w:r>
          </w:p>
        </w:tc>
        <w:tc>
          <w:tcPr>
            <w:tcW w:w="993" w:type="dxa"/>
            <w:tcBorders>
              <w:top w:val="single" w:sz="4" w:space="0" w:color="auto"/>
              <w:left w:val="single" w:sz="4" w:space="0" w:color="auto"/>
              <w:bottom w:val="threeDEmboss" w:sz="24" w:space="0" w:color="auto"/>
              <w:right w:val="single" w:sz="4" w:space="0" w:color="auto"/>
            </w:tcBorders>
            <w:shd w:val="clear" w:color="auto" w:fill="auto"/>
            <w:vAlign w:val="center"/>
          </w:tcPr>
          <w:p w:rsidR="00D27BC6" w:rsidRPr="0095508C" w:rsidRDefault="00D27BC6" w:rsidP="00D27BC6">
            <w:pPr>
              <w:spacing w:before="2" w:after="2"/>
              <w:jc w:val="center"/>
              <w:rPr>
                <w:rFonts w:asciiTheme="minorHAnsi" w:hAnsiTheme="minorHAnsi"/>
                <w:snapToGrid w:val="0"/>
                <w:sz w:val="18"/>
                <w:szCs w:val="18"/>
                <w:lang w:val="de-DE"/>
              </w:rPr>
            </w:pPr>
            <w:r>
              <w:rPr>
                <w:rFonts w:asciiTheme="minorHAnsi" w:hAnsiTheme="minorHAnsi"/>
                <w:snapToGrid w:val="0"/>
                <w:sz w:val="18"/>
                <w:szCs w:val="18"/>
                <w:lang w:val="de-DE"/>
              </w:rPr>
              <w:t>=</w:t>
            </w:r>
            <w:r w:rsidRPr="0095508C">
              <w:rPr>
                <w:rFonts w:asciiTheme="minorHAnsi" w:hAnsiTheme="minorHAnsi"/>
                <w:snapToGrid w:val="0"/>
                <w:sz w:val="18"/>
                <w:szCs w:val="18"/>
                <w:lang w:val="de-DE"/>
              </w:rPr>
              <w:t>0</w:t>
            </w:r>
          </w:p>
        </w:tc>
        <w:tc>
          <w:tcPr>
            <w:tcW w:w="1003" w:type="dxa"/>
            <w:tcBorders>
              <w:top w:val="single" w:sz="4" w:space="0" w:color="auto"/>
              <w:left w:val="single" w:sz="4" w:space="0" w:color="auto"/>
              <w:bottom w:val="threeDEmboss" w:sz="24" w:space="0" w:color="auto"/>
              <w:right w:val="single" w:sz="4" w:space="0" w:color="auto"/>
            </w:tcBorders>
            <w:shd w:val="clear" w:color="auto" w:fill="auto"/>
            <w:vAlign w:val="center"/>
          </w:tcPr>
          <w:p w:rsidR="00D27BC6" w:rsidRPr="0095508C" w:rsidRDefault="00D27BC6" w:rsidP="00D27BC6">
            <w:pPr>
              <w:spacing w:before="2" w:after="2"/>
              <w:jc w:val="center"/>
              <w:rPr>
                <w:rFonts w:asciiTheme="minorHAnsi" w:hAnsiTheme="minorHAnsi"/>
                <w:snapToGrid w:val="0"/>
                <w:sz w:val="18"/>
                <w:szCs w:val="18"/>
                <w:lang w:val="de-DE"/>
              </w:rPr>
            </w:pPr>
            <w:r>
              <w:rPr>
                <w:rFonts w:asciiTheme="minorHAnsi" w:hAnsiTheme="minorHAnsi"/>
                <w:snapToGrid w:val="0"/>
                <w:sz w:val="18"/>
                <w:szCs w:val="18"/>
                <w:lang w:val="de-DE"/>
              </w:rPr>
              <w:t>=</w:t>
            </w:r>
            <w:r w:rsidRPr="0095508C">
              <w:rPr>
                <w:rFonts w:asciiTheme="minorHAnsi" w:hAnsiTheme="minorHAnsi"/>
                <w:snapToGrid w:val="0"/>
                <w:sz w:val="18"/>
                <w:szCs w:val="18"/>
                <w:lang w:val="de-DE"/>
              </w:rPr>
              <w:t>0</w:t>
            </w:r>
          </w:p>
        </w:tc>
        <w:tc>
          <w:tcPr>
            <w:tcW w:w="1280" w:type="dxa"/>
            <w:tcBorders>
              <w:top w:val="single" w:sz="4" w:space="0" w:color="auto"/>
              <w:left w:val="single" w:sz="4" w:space="0" w:color="auto"/>
              <w:bottom w:val="threeDEmboss" w:sz="24" w:space="0" w:color="auto"/>
              <w:right w:val="single" w:sz="4" w:space="0" w:color="auto"/>
            </w:tcBorders>
            <w:shd w:val="clear" w:color="auto" w:fill="auto"/>
            <w:vAlign w:val="center"/>
          </w:tcPr>
          <w:p w:rsidR="00D27BC6" w:rsidRPr="0095508C" w:rsidRDefault="00D27BC6" w:rsidP="00D27BC6">
            <w:pPr>
              <w:spacing w:before="2" w:after="2"/>
              <w:jc w:val="center"/>
              <w:rPr>
                <w:rFonts w:asciiTheme="minorHAnsi" w:hAnsiTheme="minorHAnsi"/>
                <w:snapToGrid w:val="0"/>
                <w:sz w:val="18"/>
                <w:szCs w:val="18"/>
                <w:lang w:val="de-DE"/>
              </w:rPr>
            </w:pPr>
            <w:r>
              <w:rPr>
                <w:rFonts w:asciiTheme="minorHAnsi" w:hAnsiTheme="minorHAnsi"/>
                <w:snapToGrid w:val="0"/>
                <w:sz w:val="18"/>
                <w:szCs w:val="18"/>
                <w:lang w:val="de-DE"/>
              </w:rPr>
              <w:t>=</w:t>
            </w:r>
            <w:r w:rsidRPr="0095508C">
              <w:rPr>
                <w:rFonts w:asciiTheme="minorHAnsi" w:hAnsiTheme="minorHAnsi"/>
                <w:snapToGrid w:val="0"/>
                <w:sz w:val="18"/>
                <w:szCs w:val="18"/>
                <w:lang w:val="de-DE"/>
              </w:rPr>
              <w:t>0</w:t>
            </w:r>
          </w:p>
        </w:tc>
        <w:tc>
          <w:tcPr>
            <w:tcW w:w="1046" w:type="dxa"/>
            <w:tcBorders>
              <w:top w:val="single" w:sz="4" w:space="0" w:color="auto"/>
              <w:left w:val="single" w:sz="4" w:space="0" w:color="auto"/>
              <w:bottom w:val="threeDEmboss" w:sz="24" w:space="0" w:color="auto"/>
              <w:right w:val="single" w:sz="4" w:space="0" w:color="auto"/>
            </w:tcBorders>
            <w:shd w:val="clear" w:color="auto" w:fill="C2D69B" w:themeFill="accent3" w:themeFillTint="99"/>
            <w:vAlign w:val="center"/>
          </w:tcPr>
          <w:p w:rsidR="00D27BC6" w:rsidRPr="0095508C" w:rsidRDefault="00D27BC6" w:rsidP="00D27BC6">
            <w:pPr>
              <w:spacing w:before="2" w:after="2"/>
              <w:jc w:val="center"/>
              <w:rPr>
                <w:rFonts w:asciiTheme="minorHAnsi" w:hAnsiTheme="minorHAnsi"/>
                <w:snapToGrid w:val="0"/>
                <w:sz w:val="18"/>
                <w:szCs w:val="18"/>
                <w:lang w:val="de-DE"/>
              </w:rPr>
            </w:pPr>
            <w:r>
              <w:rPr>
                <w:rFonts w:asciiTheme="minorHAnsi" w:hAnsiTheme="minorHAnsi"/>
                <w:snapToGrid w:val="0"/>
                <w:sz w:val="18"/>
                <w:szCs w:val="18"/>
                <w:lang w:val="de-DE"/>
              </w:rPr>
              <w:t>=</w:t>
            </w:r>
            <w:r w:rsidRPr="0095508C">
              <w:rPr>
                <w:rFonts w:asciiTheme="minorHAnsi" w:hAnsiTheme="minorHAnsi"/>
                <w:snapToGrid w:val="0"/>
                <w:sz w:val="18"/>
                <w:szCs w:val="18"/>
                <w:lang w:val="de-DE"/>
              </w:rPr>
              <w:t>0</w:t>
            </w:r>
          </w:p>
        </w:tc>
        <w:tc>
          <w:tcPr>
            <w:tcW w:w="1115" w:type="dxa"/>
            <w:tcBorders>
              <w:top w:val="single" w:sz="4" w:space="0" w:color="auto"/>
              <w:left w:val="single" w:sz="4" w:space="0" w:color="auto"/>
              <w:bottom w:val="threeDEmboss" w:sz="24" w:space="0" w:color="auto"/>
              <w:right w:val="threeDEngrave" w:sz="24" w:space="0" w:color="auto"/>
            </w:tcBorders>
            <w:shd w:val="clear" w:color="auto" w:fill="auto"/>
            <w:vAlign w:val="center"/>
          </w:tcPr>
          <w:p w:rsidR="00D27BC6" w:rsidRPr="0095508C" w:rsidRDefault="00D27BC6" w:rsidP="00D27BC6">
            <w:pPr>
              <w:spacing w:before="2" w:after="2"/>
              <w:jc w:val="center"/>
              <w:rPr>
                <w:rFonts w:asciiTheme="minorHAnsi" w:hAnsiTheme="minorHAnsi"/>
                <w:snapToGrid w:val="0"/>
                <w:sz w:val="18"/>
                <w:szCs w:val="18"/>
              </w:rPr>
            </w:pPr>
            <w:r>
              <w:rPr>
                <w:rFonts w:asciiTheme="minorHAnsi" w:hAnsiTheme="minorHAnsi"/>
                <w:snapToGrid w:val="0"/>
                <w:sz w:val="18"/>
                <w:szCs w:val="18"/>
                <w:lang w:val="de-DE"/>
              </w:rPr>
              <w:t>=</w:t>
            </w:r>
            <w:r w:rsidRPr="0095508C">
              <w:rPr>
                <w:rFonts w:asciiTheme="minorHAnsi" w:hAnsiTheme="minorHAnsi"/>
                <w:snapToGrid w:val="0"/>
                <w:sz w:val="18"/>
                <w:szCs w:val="18"/>
                <w:lang w:val="de-DE"/>
              </w:rPr>
              <w:t>0</w:t>
            </w:r>
          </w:p>
        </w:tc>
        <w:tc>
          <w:tcPr>
            <w:tcW w:w="788" w:type="dxa"/>
            <w:vMerge/>
            <w:tcBorders>
              <w:top w:val="single" w:sz="4" w:space="0" w:color="auto"/>
              <w:left w:val="threeDEngrave" w:sz="24" w:space="0" w:color="auto"/>
              <w:bottom w:val="threeDEmboss" w:sz="24" w:space="0" w:color="auto"/>
              <w:right w:val="single" w:sz="4" w:space="0" w:color="auto"/>
            </w:tcBorders>
            <w:vAlign w:val="center"/>
          </w:tcPr>
          <w:p w:rsidR="00D27BC6" w:rsidRPr="0095508C" w:rsidRDefault="00D27BC6" w:rsidP="00D27BC6">
            <w:pPr>
              <w:spacing w:before="2" w:after="2"/>
              <w:jc w:val="both"/>
              <w:rPr>
                <w:rFonts w:asciiTheme="minorHAnsi" w:hAnsiTheme="minorHAnsi"/>
                <w:snapToGrid w:val="0"/>
                <w:sz w:val="18"/>
                <w:szCs w:val="18"/>
              </w:rPr>
            </w:pPr>
          </w:p>
        </w:tc>
        <w:tc>
          <w:tcPr>
            <w:tcW w:w="814" w:type="dxa"/>
            <w:vMerge/>
            <w:tcBorders>
              <w:top w:val="single" w:sz="4" w:space="0" w:color="auto"/>
              <w:left w:val="single" w:sz="4" w:space="0" w:color="auto"/>
              <w:bottom w:val="threeDEmboss" w:sz="24" w:space="0" w:color="auto"/>
              <w:right w:val="single" w:sz="4" w:space="0" w:color="auto"/>
            </w:tcBorders>
            <w:vAlign w:val="center"/>
          </w:tcPr>
          <w:p w:rsidR="00D27BC6" w:rsidRPr="0095508C" w:rsidRDefault="00D27BC6" w:rsidP="00D27BC6">
            <w:pPr>
              <w:spacing w:before="2" w:after="2"/>
              <w:jc w:val="both"/>
              <w:rPr>
                <w:rFonts w:asciiTheme="minorHAnsi" w:hAnsiTheme="minorHAnsi"/>
                <w:snapToGrid w:val="0"/>
                <w:sz w:val="18"/>
                <w:szCs w:val="18"/>
              </w:rPr>
            </w:pPr>
          </w:p>
        </w:tc>
        <w:tc>
          <w:tcPr>
            <w:tcW w:w="776" w:type="dxa"/>
            <w:vMerge/>
            <w:tcBorders>
              <w:top w:val="single" w:sz="4" w:space="0" w:color="auto"/>
              <w:left w:val="single" w:sz="4" w:space="0" w:color="auto"/>
              <w:bottom w:val="threeDEmboss" w:sz="24" w:space="0" w:color="auto"/>
              <w:right w:val="threeDEmboss" w:sz="24" w:space="0" w:color="auto"/>
            </w:tcBorders>
            <w:vAlign w:val="center"/>
          </w:tcPr>
          <w:p w:rsidR="00D27BC6" w:rsidRPr="00302E41" w:rsidRDefault="00D27BC6" w:rsidP="00D27BC6">
            <w:pPr>
              <w:spacing w:before="2" w:after="2"/>
              <w:jc w:val="both"/>
              <w:rPr>
                <w:snapToGrid w:val="0"/>
                <w:sz w:val="18"/>
                <w:szCs w:val="18"/>
              </w:rPr>
            </w:pPr>
          </w:p>
        </w:tc>
      </w:tr>
      <w:tr w:rsidR="005F293B" w:rsidRPr="00302E41" w:rsidTr="00D27BC6">
        <w:trPr>
          <w:cantSplit/>
          <w:trHeight w:val="363"/>
          <w:jc w:val="center"/>
        </w:trPr>
        <w:tc>
          <w:tcPr>
            <w:tcW w:w="1030" w:type="dxa"/>
            <w:vMerge w:val="restart"/>
            <w:tcBorders>
              <w:top w:val="threeDEmboss" w:sz="24" w:space="0" w:color="auto"/>
              <w:left w:val="threeDEmboss" w:sz="24" w:space="0" w:color="auto"/>
              <w:bottom w:val="single" w:sz="4" w:space="0" w:color="auto"/>
              <w:right w:val="single" w:sz="4" w:space="0" w:color="auto"/>
            </w:tcBorders>
            <w:textDirection w:val="btLr"/>
            <w:vAlign w:val="center"/>
          </w:tcPr>
          <w:p w:rsidR="005F293B" w:rsidRPr="0095508C" w:rsidRDefault="005F293B" w:rsidP="00B91F9A">
            <w:pPr>
              <w:spacing w:before="2" w:after="2"/>
              <w:jc w:val="both"/>
              <w:rPr>
                <w:rFonts w:asciiTheme="minorHAnsi" w:hAnsiTheme="minorHAnsi"/>
                <w:snapToGrid w:val="0"/>
                <w:sz w:val="18"/>
                <w:szCs w:val="18"/>
              </w:rPr>
            </w:pPr>
            <w:r w:rsidRPr="0095508C">
              <w:rPr>
                <w:rFonts w:asciiTheme="minorHAnsi" w:hAnsiTheme="minorHAnsi"/>
                <w:snapToGrid w:val="0"/>
                <w:sz w:val="18"/>
                <w:szCs w:val="18"/>
              </w:rPr>
              <w:t>Nombre de critères respectés par pays</w:t>
            </w:r>
          </w:p>
        </w:tc>
        <w:tc>
          <w:tcPr>
            <w:tcW w:w="3558" w:type="dxa"/>
            <w:tcBorders>
              <w:top w:val="threeDEmboss" w:sz="24" w:space="0" w:color="auto"/>
              <w:left w:val="single" w:sz="4" w:space="0" w:color="auto"/>
              <w:bottom w:val="single" w:sz="4" w:space="0" w:color="auto"/>
              <w:right w:val="single" w:sz="4" w:space="0" w:color="auto"/>
            </w:tcBorders>
            <w:vAlign w:val="center"/>
          </w:tcPr>
          <w:p w:rsidR="005F293B" w:rsidRPr="0095508C" w:rsidRDefault="005F293B" w:rsidP="00B91F9A">
            <w:pPr>
              <w:jc w:val="both"/>
              <w:rPr>
                <w:rFonts w:asciiTheme="minorHAnsi" w:hAnsiTheme="minorHAnsi"/>
                <w:b/>
                <w:bCs/>
                <w:sz w:val="18"/>
                <w:szCs w:val="18"/>
              </w:rPr>
            </w:pPr>
            <w:r w:rsidRPr="0095508C">
              <w:rPr>
                <w:rFonts w:asciiTheme="minorHAnsi" w:hAnsiTheme="minorHAnsi"/>
                <w:b/>
                <w:bCs/>
                <w:sz w:val="18"/>
                <w:szCs w:val="18"/>
              </w:rPr>
              <w:t>2015</w:t>
            </w:r>
          </w:p>
        </w:tc>
        <w:tc>
          <w:tcPr>
            <w:tcW w:w="1213" w:type="dxa"/>
            <w:tcBorders>
              <w:top w:val="threeDEmboss" w:sz="24" w:space="0" w:color="auto"/>
              <w:left w:val="single" w:sz="4" w:space="0" w:color="auto"/>
              <w:bottom w:val="single" w:sz="4" w:space="0" w:color="auto"/>
              <w:right w:val="single" w:sz="4" w:space="0" w:color="auto"/>
            </w:tcBorders>
            <w:vAlign w:val="center"/>
          </w:tcPr>
          <w:p w:rsidR="005F293B" w:rsidRPr="0095508C" w:rsidRDefault="00BD3B9B" w:rsidP="00B91F9A">
            <w:pPr>
              <w:jc w:val="center"/>
              <w:rPr>
                <w:rFonts w:asciiTheme="minorHAnsi" w:hAnsiTheme="minorHAnsi"/>
                <w:sz w:val="18"/>
                <w:szCs w:val="18"/>
              </w:rPr>
            </w:pPr>
            <w:r>
              <w:rPr>
                <w:rFonts w:asciiTheme="minorHAnsi" w:hAnsiTheme="minorHAnsi"/>
                <w:sz w:val="18"/>
                <w:szCs w:val="18"/>
              </w:rPr>
              <w:t>4</w:t>
            </w:r>
          </w:p>
        </w:tc>
        <w:tc>
          <w:tcPr>
            <w:tcW w:w="1261" w:type="dxa"/>
            <w:tcBorders>
              <w:top w:val="threeDEmboss" w:sz="24" w:space="0" w:color="auto"/>
              <w:left w:val="single" w:sz="4" w:space="0" w:color="auto"/>
              <w:bottom w:val="single" w:sz="4" w:space="0" w:color="auto"/>
              <w:right w:val="single" w:sz="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2</w:t>
            </w:r>
          </w:p>
        </w:tc>
        <w:tc>
          <w:tcPr>
            <w:tcW w:w="993" w:type="dxa"/>
            <w:tcBorders>
              <w:top w:val="threeDEmboss" w:sz="24" w:space="0" w:color="auto"/>
              <w:left w:val="single" w:sz="4" w:space="0" w:color="auto"/>
              <w:bottom w:val="single" w:sz="4" w:space="0" w:color="auto"/>
              <w:right w:val="single" w:sz="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2</w:t>
            </w:r>
          </w:p>
        </w:tc>
        <w:tc>
          <w:tcPr>
            <w:tcW w:w="1003" w:type="dxa"/>
            <w:tcBorders>
              <w:top w:val="threeDEmboss" w:sz="24" w:space="0" w:color="auto"/>
              <w:left w:val="single" w:sz="4" w:space="0" w:color="auto"/>
              <w:bottom w:val="single" w:sz="4" w:space="0" w:color="auto"/>
              <w:right w:val="single" w:sz="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3</w:t>
            </w:r>
          </w:p>
        </w:tc>
        <w:tc>
          <w:tcPr>
            <w:tcW w:w="1280" w:type="dxa"/>
            <w:tcBorders>
              <w:top w:val="threeDEmboss" w:sz="24" w:space="0" w:color="auto"/>
              <w:left w:val="single" w:sz="4" w:space="0" w:color="auto"/>
              <w:bottom w:val="single" w:sz="4" w:space="0" w:color="auto"/>
              <w:right w:val="single" w:sz="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2</w:t>
            </w:r>
          </w:p>
        </w:tc>
        <w:tc>
          <w:tcPr>
            <w:tcW w:w="1046" w:type="dxa"/>
            <w:tcBorders>
              <w:top w:val="threeDEmboss" w:sz="24" w:space="0" w:color="auto"/>
              <w:left w:val="single" w:sz="4" w:space="0" w:color="auto"/>
              <w:bottom w:val="single" w:sz="4" w:space="0" w:color="auto"/>
              <w:right w:val="single" w:sz="4" w:space="0" w:color="auto"/>
            </w:tcBorders>
            <w:vAlign w:val="center"/>
          </w:tcPr>
          <w:p w:rsidR="005F293B" w:rsidRPr="0095508C" w:rsidRDefault="00BD3B9B">
            <w:pPr>
              <w:jc w:val="center"/>
              <w:rPr>
                <w:rFonts w:asciiTheme="minorHAnsi" w:hAnsiTheme="minorHAnsi"/>
                <w:sz w:val="18"/>
                <w:szCs w:val="18"/>
              </w:rPr>
            </w:pPr>
            <w:r>
              <w:rPr>
                <w:rFonts w:asciiTheme="minorHAnsi" w:hAnsiTheme="minorHAnsi"/>
                <w:sz w:val="18"/>
                <w:szCs w:val="18"/>
              </w:rPr>
              <w:t>2</w:t>
            </w:r>
          </w:p>
        </w:tc>
        <w:tc>
          <w:tcPr>
            <w:tcW w:w="1115" w:type="dxa"/>
            <w:tcBorders>
              <w:top w:val="threeDEmboss" w:sz="24" w:space="0" w:color="auto"/>
              <w:left w:val="single" w:sz="4" w:space="0" w:color="auto"/>
              <w:bottom w:val="single" w:sz="4" w:space="0" w:color="auto"/>
              <w:right w:val="threeDEngrave" w:sz="2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2</w:t>
            </w:r>
          </w:p>
        </w:tc>
        <w:tc>
          <w:tcPr>
            <w:tcW w:w="1602" w:type="dxa"/>
            <w:gridSpan w:val="2"/>
            <w:tcBorders>
              <w:top w:val="threeDEmboss" w:sz="24" w:space="0" w:color="auto"/>
              <w:left w:val="threeDEngrave" w:sz="24" w:space="0" w:color="auto"/>
              <w:bottom w:val="nil"/>
              <w:right w:val="nil"/>
            </w:tcBorders>
            <w:vAlign w:val="center"/>
          </w:tcPr>
          <w:p w:rsidR="005F293B" w:rsidRPr="0095508C" w:rsidRDefault="005F293B" w:rsidP="00B91F9A">
            <w:pPr>
              <w:spacing w:before="2" w:after="2"/>
              <w:jc w:val="both"/>
              <w:rPr>
                <w:rFonts w:asciiTheme="minorHAnsi" w:hAnsiTheme="minorHAnsi"/>
                <w:snapToGrid w:val="0"/>
                <w:sz w:val="18"/>
                <w:szCs w:val="18"/>
              </w:rPr>
            </w:pPr>
          </w:p>
        </w:tc>
        <w:tc>
          <w:tcPr>
            <w:tcW w:w="776" w:type="dxa"/>
            <w:tcBorders>
              <w:top w:val="threeDEmboss" w:sz="24" w:space="0" w:color="auto"/>
              <w:left w:val="nil"/>
              <w:bottom w:val="nil"/>
              <w:right w:val="nil"/>
            </w:tcBorders>
            <w:vAlign w:val="center"/>
          </w:tcPr>
          <w:p w:rsidR="005F293B" w:rsidRPr="00302E41" w:rsidRDefault="005F293B" w:rsidP="00B91F9A">
            <w:pPr>
              <w:spacing w:before="2" w:after="2"/>
              <w:jc w:val="both"/>
              <w:rPr>
                <w:snapToGrid w:val="0"/>
                <w:sz w:val="18"/>
                <w:szCs w:val="18"/>
              </w:rPr>
            </w:pPr>
          </w:p>
        </w:tc>
      </w:tr>
      <w:tr w:rsidR="005F293B" w:rsidRPr="00302E41" w:rsidTr="00D27BC6">
        <w:trPr>
          <w:cantSplit/>
          <w:trHeight w:val="424"/>
          <w:jc w:val="center"/>
        </w:trPr>
        <w:tc>
          <w:tcPr>
            <w:tcW w:w="1030" w:type="dxa"/>
            <w:vMerge/>
            <w:tcBorders>
              <w:top w:val="single" w:sz="4" w:space="0" w:color="auto"/>
              <w:left w:val="threeDEmboss" w:sz="24" w:space="0" w:color="auto"/>
              <w:bottom w:val="single" w:sz="4" w:space="0" w:color="auto"/>
              <w:right w:val="single" w:sz="4" w:space="0" w:color="auto"/>
            </w:tcBorders>
            <w:textDirection w:val="btLr"/>
          </w:tcPr>
          <w:p w:rsidR="005F293B" w:rsidRPr="0095508C" w:rsidRDefault="005F293B" w:rsidP="00B91F9A">
            <w:pPr>
              <w:spacing w:before="2" w:after="2"/>
              <w:jc w:val="both"/>
              <w:rPr>
                <w:rFonts w:asciiTheme="minorHAnsi" w:hAnsiTheme="minorHAnsi"/>
                <w:snapToGrid w:val="0"/>
                <w:sz w:val="18"/>
                <w:szCs w:val="18"/>
              </w:rPr>
            </w:pPr>
          </w:p>
        </w:tc>
        <w:tc>
          <w:tcPr>
            <w:tcW w:w="3558" w:type="dxa"/>
            <w:tcBorders>
              <w:top w:val="single" w:sz="4" w:space="0" w:color="auto"/>
              <w:left w:val="single" w:sz="4" w:space="0" w:color="auto"/>
              <w:bottom w:val="single" w:sz="4" w:space="0" w:color="auto"/>
              <w:right w:val="single" w:sz="4" w:space="0" w:color="auto"/>
            </w:tcBorders>
            <w:vAlign w:val="center"/>
          </w:tcPr>
          <w:p w:rsidR="005F293B" w:rsidRPr="0095508C" w:rsidRDefault="005F293B" w:rsidP="00B91F9A">
            <w:pPr>
              <w:jc w:val="both"/>
              <w:rPr>
                <w:rFonts w:asciiTheme="minorHAnsi" w:hAnsiTheme="minorHAnsi"/>
                <w:b/>
                <w:bCs/>
                <w:sz w:val="18"/>
                <w:szCs w:val="18"/>
              </w:rPr>
            </w:pPr>
            <w:r w:rsidRPr="0095508C">
              <w:rPr>
                <w:rFonts w:asciiTheme="minorHAnsi" w:hAnsiTheme="minorHAnsi"/>
                <w:b/>
                <w:bCs/>
                <w:sz w:val="18"/>
                <w:szCs w:val="18"/>
              </w:rPr>
              <w:t>2014</w:t>
            </w:r>
          </w:p>
        </w:tc>
        <w:tc>
          <w:tcPr>
            <w:tcW w:w="1213" w:type="dxa"/>
            <w:tcBorders>
              <w:top w:val="single" w:sz="4" w:space="0" w:color="auto"/>
              <w:left w:val="single" w:sz="4" w:space="0" w:color="auto"/>
              <w:bottom w:val="single" w:sz="4" w:space="0" w:color="auto"/>
              <w:right w:val="single" w:sz="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4</w:t>
            </w:r>
          </w:p>
        </w:tc>
        <w:tc>
          <w:tcPr>
            <w:tcW w:w="1261" w:type="dxa"/>
            <w:tcBorders>
              <w:top w:val="single" w:sz="4" w:space="0" w:color="auto"/>
              <w:left w:val="single" w:sz="4" w:space="0" w:color="auto"/>
              <w:bottom w:val="single" w:sz="4" w:space="0" w:color="auto"/>
              <w:right w:val="single" w:sz="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1</w:t>
            </w:r>
          </w:p>
        </w:tc>
        <w:tc>
          <w:tcPr>
            <w:tcW w:w="993" w:type="dxa"/>
            <w:tcBorders>
              <w:top w:val="single" w:sz="4" w:space="0" w:color="auto"/>
              <w:left w:val="single" w:sz="4" w:space="0" w:color="auto"/>
              <w:bottom w:val="single" w:sz="4" w:space="0" w:color="auto"/>
              <w:right w:val="single" w:sz="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4</w:t>
            </w:r>
          </w:p>
        </w:tc>
        <w:tc>
          <w:tcPr>
            <w:tcW w:w="1003" w:type="dxa"/>
            <w:tcBorders>
              <w:top w:val="single" w:sz="4" w:space="0" w:color="auto"/>
              <w:left w:val="single" w:sz="4" w:space="0" w:color="auto"/>
              <w:bottom w:val="single" w:sz="4" w:space="0" w:color="auto"/>
              <w:right w:val="single" w:sz="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3</w:t>
            </w:r>
          </w:p>
        </w:tc>
        <w:tc>
          <w:tcPr>
            <w:tcW w:w="1280" w:type="dxa"/>
            <w:tcBorders>
              <w:top w:val="single" w:sz="4" w:space="0" w:color="auto"/>
              <w:left w:val="single" w:sz="4" w:space="0" w:color="auto"/>
              <w:bottom w:val="single" w:sz="4" w:space="0" w:color="auto"/>
              <w:right w:val="single" w:sz="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2</w:t>
            </w:r>
          </w:p>
        </w:tc>
        <w:tc>
          <w:tcPr>
            <w:tcW w:w="1046" w:type="dxa"/>
            <w:tcBorders>
              <w:top w:val="single" w:sz="4" w:space="0" w:color="auto"/>
              <w:left w:val="single" w:sz="4" w:space="0" w:color="auto"/>
              <w:bottom w:val="single" w:sz="4" w:space="0" w:color="auto"/>
              <w:right w:val="single" w:sz="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3</w:t>
            </w:r>
          </w:p>
        </w:tc>
        <w:tc>
          <w:tcPr>
            <w:tcW w:w="1115" w:type="dxa"/>
            <w:tcBorders>
              <w:top w:val="single" w:sz="4" w:space="0" w:color="auto"/>
              <w:left w:val="single" w:sz="4" w:space="0" w:color="auto"/>
              <w:bottom w:val="single" w:sz="4" w:space="0" w:color="auto"/>
              <w:right w:val="threeDEngrave" w:sz="2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2</w:t>
            </w:r>
          </w:p>
        </w:tc>
        <w:tc>
          <w:tcPr>
            <w:tcW w:w="1602" w:type="dxa"/>
            <w:gridSpan w:val="2"/>
            <w:tcBorders>
              <w:top w:val="nil"/>
              <w:left w:val="threeDEngrave" w:sz="24" w:space="0" w:color="auto"/>
              <w:bottom w:val="nil"/>
              <w:right w:val="nil"/>
            </w:tcBorders>
            <w:vAlign w:val="center"/>
          </w:tcPr>
          <w:p w:rsidR="005F293B" w:rsidRPr="0095508C" w:rsidRDefault="005F293B" w:rsidP="00B91F9A">
            <w:pPr>
              <w:spacing w:before="2" w:after="2"/>
              <w:jc w:val="both"/>
              <w:rPr>
                <w:rFonts w:asciiTheme="minorHAnsi" w:hAnsiTheme="minorHAnsi"/>
                <w:snapToGrid w:val="0"/>
                <w:sz w:val="18"/>
                <w:szCs w:val="18"/>
              </w:rPr>
            </w:pPr>
          </w:p>
        </w:tc>
        <w:tc>
          <w:tcPr>
            <w:tcW w:w="776" w:type="dxa"/>
            <w:tcBorders>
              <w:top w:val="nil"/>
              <w:left w:val="nil"/>
              <w:bottom w:val="nil"/>
              <w:right w:val="nil"/>
            </w:tcBorders>
            <w:vAlign w:val="center"/>
          </w:tcPr>
          <w:p w:rsidR="005F293B" w:rsidRPr="00302E41" w:rsidRDefault="005F293B" w:rsidP="00B91F9A">
            <w:pPr>
              <w:spacing w:before="2" w:after="2"/>
              <w:jc w:val="both"/>
              <w:rPr>
                <w:snapToGrid w:val="0"/>
                <w:sz w:val="18"/>
                <w:szCs w:val="18"/>
              </w:rPr>
            </w:pPr>
          </w:p>
        </w:tc>
      </w:tr>
      <w:tr w:rsidR="005F293B" w:rsidRPr="00302E41" w:rsidTr="00D27BC6">
        <w:trPr>
          <w:cantSplit/>
          <w:trHeight w:val="268"/>
          <w:jc w:val="center"/>
        </w:trPr>
        <w:tc>
          <w:tcPr>
            <w:tcW w:w="1030" w:type="dxa"/>
            <w:vMerge/>
            <w:tcBorders>
              <w:top w:val="single" w:sz="4" w:space="0" w:color="auto"/>
              <w:left w:val="threeDEmboss" w:sz="24" w:space="0" w:color="auto"/>
              <w:bottom w:val="threeDEngrave" w:sz="24" w:space="0" w:color="auto"/>
              <w:right w:val="single" w:sz="4" w:space="0" w:color="auto"/>
            </w:tcBorders>
          </w:tcPr>
          <w:p w:rsidR="005F293B" w:rsidRPr="0095508C" w:rsidRDefault="005F293B" w:rsidP="00B91F9A">
            <w:pPr>
              <w:spacing w:before="2" w:after="2"/>
              <w:jc w:val="both"/>
              <w:rPr>
                <w:rFonts w:asciiTheme="minorHAnsi" w:hAnsiTheme="minorHAnsi"/>
                <w:snapToGrid w:val="0"/>
                <w:sz w:val="18"/>
                <w:szCs w:val="18"/>
              </w:rPr>
            </w:pPr>
          </w:p>
        </w:tc>
        <w:tc>
          <w:tcPr>
            <w:tcW w:w="3558" w:type="dxa"/>
            <w:tcBorders>
              <w:top w:val="single" w:sz="4" w:space="0" w:color="auto"/>
              <w:left w:val="single" w:sz="4" w:space="0" w:color="auto"/>
              <w:bottom w:val="threeDEngrave" w:sz="24" w:space="0" w:color="auto"/>
              <w:right w:val="single" w:sz="4" w:space="0" w:color="auto"/>
            </w:tcBorders>
            <w:vAlign w:val="center"/>
          </w:tcPr>
          <w:p w:rsidR="005F293B" w:rsidRPr="0095508C" w:rsidRDefault="005F293B" w:rsidP="00B91F9A">
            <w:pPr>
              <w:jc w:val="both"/>
              <w:rPr>
                <w:rFonts w:asciiTheme="minorHAnsi" w:hAnsiTheme="minorHAnsi"/>
                <w:b/>
                <w:bCs/>
                <w:sz w:val="18"/>
                <w:szCs w:val="18"/>
              </w:rPr>
            </w:pPr>
            <w:r w:rsidRPr="0095508C">
              <w:rPr>
                <w:rFonts w:asciiTheme="minorHAnsi" w:hAnsiTheme="minorHAnsi"/>
                <w:b/>
                <w:bCs/>
                <w:sz w:val="18"/>
                <w:szCs w:val="18"/>
              </w:rPr>
              <w:t>2013</w:t>
            </w:r>
          </w:p>
        </w:tc>
        <w:tc>
          <w:tcPr>
            <w:tcW w:w="1213" w:type="dxa"/>
            <w:tcBorders>
              <w:top w:val="single" w:sz="4" w:space="0" w:color="auto"/>
              <w:left w:val="single" w:sz="4" w:space="0" w:color="auto"/>
              <w:bottom w:val="threeDEngrave" w:sz="24" w:space="0" w:color="auto"/>
              <w:right w:val="single" w:sz="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4</w:t>
            </w:r>
          </w:p>
        </w:tc>
        <w:tc>
          <w:tcPr>
            <w:tcW w:w="1261" w:type="dxa"/>
            <w:tcBorders>
              <w:top w:val="single" w:sz="4" w:space="0" w:color="auto"/>
              <w:left w:val="single" w:sz="4" w:space="0" w:color="auto"/>
              <w:bottom w:val="threeDEngrave" w:sz="24" w:space="0" w:color="auto"/>
              <w:right w:val="single" w:sz="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1</w:t>
            </w:r>
          </w:p>
        </w:tc>
        <w:tc>
          <w:tcPr>
            <w:tcW w:w="993" w:type="dxa"/>
            <w:tcBorders>
              <w:top w:val="single" w:sz="4" w:space="0" w:color="auto"/>
              <w:left w:val="single" w:sz="4" w:space="0" w:color="auto"/>
              <w:bottom w:val="threeDEngrave" w:sz="24" w:space="0" w:color="auto"/>
              <w:right w:val="single" w:sz="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2</w:t>
            </w:r>
          </w:p>
        </w:tc>
        <w:tc>
          <w:tcPr>
            <w:tcW w:w="1003" w:type="dxa"/>
            <w:tcBorders>
              <w:top w:val="single" w:sz="4" w:space="0" w:color="auto"/>
              <w:left w:val="single" w:sz="4" w:space="0" w:color="auto"/>
              <w:bottom w:val="threeDEngrave" w:sz="24" w:space="0" w:color="auto"/>
              <w:right w:val="single" w:sz="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3</w:t>
            </w:r>
          </w:p>
        </w:tc>
        <w:tc>
          <w:tcPr>
            <w:tcW w:w="1280" w:type="dxa"/>
            <w:tcBorders>
              <w:top w:val="single" w:sz="4" w:space="0" w:color="auto"/>
              <w:left w:val="single" w:sz="4" w:space="0" w:color="auto"/>
              <w:bottom w:val="threeDEngrave" w:sz="24" w:space="0" w:color="auto"/>
              <w:right w:val="single" w:sz="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2</w:t>
            </w:r>
          </w:p>
        </w:tc>
        <w:tc>
          <w:tcPr>
            <w:tcW w:w="1046" w:type="dxa"/>
            <w:tcBorders>
              <w:top w:val="single" w:sz="4" w:space="0" w:color="auto"/>
              <w:left w:val="single" w:sz="4" w:space="0" w:color="auto"/>
              <w:bottom w:val="threeDEngrave" w:sz="24" w:space="0" w:color="auto"/>
              <w:right w:val="single" w:sz="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2</w:t>
            </w:r>
          </w:p>
        </w:tc>
        <w:tc>
          <w:tcPr>
            <w:tcW w:w="1115" w:type="dxa"/>
            <w:tcBorders>
              <w:top w:val="single" w:sz="4" w:space="0" w:color="auto"/>
              <w:left w:val="single" w:sz="4" w:space="0" w:color="auto"/>
              <w:bottom w:val="threeDEngrave" w:sz="24" w:space="0" w:color="auto"/>
              <w:right w:val="threeDEngrave" w:sz="24" w:space="0" w:color="auto"/>
            </w:tcBorders>
            <w:vAlign w:val="center"/>
          </w:tcPr>
          <w:p w:rsidR="005F293B" w:rsidRPr="0095508C" w:rsidRDefault="005F293B" w:rsidP="00B91F9A">
            <w:pPr>
              <w:jc w:val="center"/>
              <w:rPr>
                <w:rFonts w:asciiTheme="minorHAnsi" w:hAnsiTheme="minorHAnsi"/>
                <w:sz w:val="18"/>
                <w:szCs w:val="18"/>
              </w:rPr>
            </w:pPr>
            <w:r w:rsidRPr="0095508C">
              <w:rPr>
                <w:rFonts w:asciiTheme="minorHAnsi" w:hAnsiTheme="minorHAnsi"/>
                <w:sz w:val="18"/>
                <w:szCs w:val="18"/>
              </w:rPr>
              <w:t>3</w:t>
            </w:r>
          </w:p>
        </w:tc>
        <w:tc>
          <w:tcPr>
            <w:tcW w:w="1602" w:type="dxa"/>
            <w:gridSpan w:val="2"/>
            <w:tcBorders>
              <w:top w:val="nil"/>
              <w:left w:val="threeDEngrave" w:sz="24" w:space="0" w:color="auto"/>
              <w:bottom w:val="nil"/>
              <w:right w:val="nil"/>
            </w:tcBorders>
            <w:vAlign w:val="center"/>
          </w:tcPr>
          <w:p w:rsidR="005F293B" w:rsidRPr="0095508C" w:rsidRDefault="005F293B" w:rsidP="00B91F9A">
            <w:pPr>
              <w:spacing w:before="2" w:after="2"/>
              <w:jc w:val="both"/>
              <w:rPr>
                <w:rFonts w:asciiTheme="minorHAnsi" w:hAnsiTheme="minorHAnsi"/>
                <w:snapToGrid w:val="0"/>
                <w:sz w:val="18"/>
                <w:szCs w:val="18"/>
              </w:rPr>
            </w:pPr>
          </w:p>
        </w:tc>
        <w:tc>
          <w:tcPr>
            <w:tcW w:w="776" w:type="dxa"/>
            <w:tcBorders>
              <w:top w:val="nil"/>
              <w:left w:val="nil"/>
              <w:bottom w:val="nil"/>
              <w:right w:val="nil"/>
            </w:tcBorders>
            <w:vAlign w:val="center"/>
          </w:tcPr>
          <w:p w:rsidR="005F293B" w:rsidRPr="00302E41" w:rsidRDefault="005F293B" w:rsidP="00B91F9A">
            <w:pPr>
              <w:spacing w:before="2" w:after="2"/>
              <w:jc w:val="both"/>
              <w:rPr>
                <w:snapToGrid w:val="0"/>
                <w:sz w:val="18"/>
                <w:szCs w:val="18"/>
              </w:rPr>
            </w:pPr>
          </w:p>
        </w:tc>
      </w:tr>
    </w:tbl>
    <w:p w:rsidR="00BC46C1" w:rsidRPr="00804DE6" w:rsidRDefault="00BC46C1" w:rsidP="00BC46C1">
      <w:pPr>
        <w:jc w:val="center"/>
        <w:rPr>
          <w:rFonts w:asciiTheme="minorHAnsi" w:hAnsiTheme="minorHAnsi"/>
          <w:b/>
          <w:bCs/>
          <w:sz w:val="20"/>
          <w:szCs w:val="20"/>
          <w:highlight w:val="yellow"/>
          <w:u w:val="single"/>
          <w:lang w:eastAsia="en-US" w:bidi="en-US"/>
        </w:rPr>
      </w:pPr>
    </w:p>
    <w:p w:rsidR="008B4644" w:rsidRPr="008B4644" w:rsidRDefault="008B4644" w:rsidP="00350FEA">
      <w:pPr>
        <w:ind w:left="709"/>
        <w:jc w:val="both"/>
        <w:rPr>
          <w:rFonts w:eastAsia="Arial Unicode MS"/>
          <w:i/>
          <w:snapToGrid w:val="0"/>
          <w:sz w:val="18"/>
          <w:szCs w:val="18"/>
          <w:lang w:eastAsia="en-US"/>
        </w:rPr>
      </w:pPr>
      <w:r w:rsidRPr="008B4644">
        <w:rPr>
          <w:rFonts w:eastAsia="Arial Unicode MS"/>
          <w:i/>
          <w:snapToGrid w:val="0"/>
          <w:sz w:val="18"/>
          <w:szCs w:val="18"/>
          <w:u w:val="single"/>
          <w:lang w:eastAsia="en-US"/>
        </w:rPr>
        <w:t>Sources</w:t>
      </w:r>
      <w:r w:rsidRPr="008B4644">
        <w:rPr>
          <w:rFonts w:eastAsia="Arial Unicode MS"/>
          <w:i/>
          <w:snapToGrid w:val="0"/>
          <w:sz w:val="18"/>
          <w:szCs w:val="18"/>
          <w:lang w:eastAsia="en-US"/>
        </w:rPr>
        <w:t xml:space="preserve"> : Commission de la CEMAC.</w:t>
      </w:r>
    </w:p>
    <w:p w:rsidR="002926B0" w:rsidRPr="002926B0" w:rsidRDefault="002926B0" w:rsidP="00235A3E">
      <w:pPr>
        <w:jc w:val="both"/>
        <w:rPr>
          <w:rFonts w:asciiTheme="minorHAnsi" w:hAnsiTheme="minorHAnsi"/>
          <w:bCs/>
          <w:sz w:val="20"/>
          <w:szCs w:val="20"/>
          <w:u w:val="single"/>
          <w:lang w:eastAsia="en-US" w:bidi="en-US"/>
        </w:rPr>
        <w:sectPr w:rsidR="002926B0" w:rsidRPr="002926B0" w:rsidSect="00654DCF">
          <w:pgSz w:w="16840" w:h="11907" w:orient="landscape" w:code="9"/>
          <w:pgMar w:top="1418" w:right="567" w:bottom="1418" w:left="567" w:header="720" w:footer="720" w:gutter="0"/>
          <w:cols w:space="720"/>
          <w:docGrid w:linePitch="299"/>
        </w:sectPr>
      </w:pPr>
    </w:p>
    <w:p w:rsidR="00796AF1" w:rsidRDefault="00796AF1" w:rsidP="00796AF1">
      <w:pPr>
        <w:pStyle w:val="cocozof1"/>
        <w:rPr>
          <w:rStyle w:val="lev"/>
          <w:rFonts w:asciiTheme="minorHAnsi" w:hAnsiTheme="minorHAnsi"/>
          <w:b/>
          <w:bCs/>
        </w:rPr>
      </w:pPr>
      <w:bookmarkStart w:id="327" w:name="_Toc335329602"/>
      <w:bookmarkStart w:id="328" w:name="_Toc26074929"/>
      <w:bookmarkStart w:id="329" w:name="_Toc26175944"/>
      <w:bookmarkStart w:id="330" w:name="_Toc45612687"/>
      <w:bookmarkStart w:id="331" w:name="_Toc73244227"/>
      <w:bookmarkStart w:id="332" w:name="_Toc73245155"/>
      <w:bookmarkStart w:id="333" w:name="_Toc73246120"/>
      <w:bookmarkStart w:id="334" w:name="_Toc73246294"/>
      <w:bookmarkStart w:id="335" w:name="_Toc73246659"/>
      <w:bookmarkStart w:id="336" w:name="_Toc73250492"/>
      <w:bookmarkStart w:id="337" w:name="_Toc73770014"/>
      <w:bookmarkStart w:id="338" w:name="_Toc74112469"/>
      <w:bookmarkStart w:id="339" w:name="_Toc74553382"/>
      <w:bookmarkStart w:id="340" w:name="_Toc264442579"/>
    </w:p>
    <w:p w:rsidR="004C5551" w:rsidRDefault="004C5551" w:rsidP="004C5551">
      <w:pPr>
        <w:pStyle w:val="cocozof1"/>
        <w:jc w:val="center"/>
        <w:rPr>
          <w:rStyle w:val="lev"/>
          <w:rFonts w:asciiTheme="minorHAnsi" w:hAnsiTheme="minorHAnsi"/>
          <w:b/>
          <w:bCs/>
        </w:rPr>
      </w:pPr>
    </w:p>
    <w:p w:rsidR="004C5551" w:rsidRDefault="004C5551" w:rsidP="004C5551">
      <w:pPr>
        <w:pStyle w:val="cocozof1"/>
        <w:jc w:val="center"/>
        <w:rPr>
          <w:rStyle w:val="lev"/>
          <w:rFonts w:asciiTheme="minorHAnsi" w:hAnsiTheme="minorHAnsi"/>
          <w:b/>
          <w:bCs/>
        </w:rPr>
      </w:pPr>
    </w:p>
    <w:p w:rsidR="004C5551" w:rsidRDefault="004C5551" w:rsidP="004C5551">
      <w:pPr>
        <w:pStyle w:val="cocozof1"/>
        <w:jc w:val="center"/>
        <w:rPr>
          <w:rStyle w:val="lev"/>
          <w:rFonts w:asciiTheme="minorHAnsi" w:hAnsiTheme="minorHAnsi"/>
          <w:b/>
          <w:bCs/>
        </w:rPr>
      </w:pPr>
    </w:p>
    <w:p w:rsidR="004C5551" w:rsidRDefault="004C5551" w:rsidP="004C5551">
      <w:pPr>
        <w:pStyle w:val="cocozof1"/>
        <w:jc w:val="center"/>
        <w:rPr>
          <w:rStyle w:val="lev"/>
          <w:rFonts w:asciiTheme="minorHAnsi" w:hAnsiTheme="minorHAnsi"/>
          <w:b/>
          <w:bCs/>
        </w:rPr>
      </w:pPr>
    </w:p>
    <w:p w:rsidR="004C5551" w:rsidRDefault="004C5551" w:rsidP="004C5551">
      <w:pPr>
        <w:pStyle w:val="cocozof1"/>
        <w:jc w:val="center"/>
        <w:rPr>
          <w:rStyle w:val="lev"/>
          <w:rFonts w:asciiTheme="minorHAnsi" w:hAnsiTheme="minorHAnsi"/>
          <w:b/>
          <w:bCs/>
        </w:rPr>
      </w:pPr>
    </w:p>
    <w:p w:rsidR="004C5551" w:rsidRDefault="004C5551" w:rsidP="004C5551">
      <w:pPr>
        <w:pStyle w:val="cocozof1"/>
        <w:jc w:val="center"/>
        <w:rPr>
          <w:rStyle w:val="lev"/>
          <w:rFonts w:asciiTheme="minorHAnsi" w:hAnsiTheme="minorHAnsi"/>
          <w:b/>
          <w:bCs/>
        </w:rPr>
      </w:pPr>
    </w:p>
    <w:p w:rsidR="00551408" w:rsidRDefault="00440764" w:rsidP="004C5551">
      <w:pPr>
        <w:pStyle w:val="cocozof1"/>
        <w:jc w:val="center"/>
        <w:rPr>
          <w:rFonts w:asciiTheme="minorHAnsi" w:hAnsiTheme="minorHAnsi"/>
          <w:b w:val="0"/>
          <w:bCs w:val="0"/>
          <w:u w:val="single"/>
          <w:lang w:eastAsia="en-US" w:bidi="en-US"/>
        </w:rPr>
      </w:pPr>
      <w:bookmarkStart w:id="341" w:name="_Toc444614025"/>
      <w:r w:rsidRPr="00440764">
        <w:rPr>
          <w:rStyle w:val="lev"/>
          <w:rFonts w:asciiTheme="minorHAnsi" w:hAnsiTheme="minorHAnsi"/>
          <w:b/>
          <w:bCs/>
        </w:rPr>
        <w:t>ANNEXE 2 : La situation économique et financière des pays membres de l’UEMOA</w:t>
      </w:r>
      <w:bookmarkEnd w:id="327"/>
      <w:bookmarkEnd w:id="341"/>
    </w:p>
    <w:p w:rsidR="00551408" w:rsidRDefault="00551408" w:rsidP="00551408">
      <w:pPr>
        <w:rPr>
          <w:rFonts w:asciiTheme="minorHAnsi" w:hAnsiTheme="minorHAnsi"/>
          <w:b/>
          <w:bCs/>
          <w:sz w:val="20"/>
          <w:szCs w:val="20"/>
          <w:u w:val="single"/>
          <w:lang w:eastAsia="en-US" w:bidi="en-US"/>
        </w:rPr>
      </w:pPr>
    </w:p>
    <w:p w:rsidR="00551408" w:rsidRDefault="00551408" w:rsidP="00551408">
      <w:pPr>
        <w:rPr>
          <w:rFonts w:asciiTheme="minorHAnsi" w:hAnsiTheme="minorHAnsi"/>
          <w:b/>
          <w:bCs/>
          <w:sz w:val="20"/>
          <w:szCs w:val="20"/>
          <w:u w:val="single"/>
          <w:lang w:eastAsia="en-US" w:bidi="en-US"/>
        </w:rPr>
      </w:pPr>
    </w:p>
    <w:p w:rsidR="0077119B" w:rsidRDefault="0077119B">
      <w:pPr>
        <w:rPr>
          <w:rFonts w:asciiTheme="minorHAnsi" w:hAnsiTheme="minorHAnsi"/>
          <w:b/>
          <w:bCs/>
          <w:sz w:val="20"/>
          <w:szCs w:val="20"/>
          <w:u w:val="single"/>
          <w:lang w:eastAsia="en-US" w:bidi="en-US"/>
        </w:rPr>
      </w:pPr>
    </w:p>
    <w:p w:rsidR="00BF6FC7" w:rsidRDefault="00BF6FC7" w:rsidP="00350FEA">
      <w:pPr>
        <w:ind w:left="567"/>
        <w:rPr>
          <w:rFonts w:asciiTheme="minorHAnsi" w:hAnsiTheme="minorHAnsi"/>
          <w:b/>
          <w:bCs/>
          <w:sz w:val="20"/>
          <w:szCs w:val="20"/>
          <w:u w:val="single"/>
          <w:lang w:eastAsia="en-US" w:bidi="en-US"/>
        </w:rPr>
      </w:pPr>
    </w:p>
    <w:p w:rsidR="00BF6FC7" w:rsidRDefault="00BF6FC7" w:rsidP="00350FEA">
      <w:pPr>
        <w:ind w:left="567"/>
        <w:rPr>
          <w:rFonts w:asciiTheme="minorHAnsi" w:hAnsiTheme="minorHAnsi"/>
          <w:b/>
          <w:bCs/>
          <w:sz w:val="20"/>
          <w:szCs w:val="20"/>
          <w:u w:val="single"/>
          <w:lang w:eastAsia="en-US" w:bidi="en-US"/>
        </w:rPr>
      </w:pPr>
    </w:p>
    <w:p w:rsidR="00BF6FC7" w:rsidRDefault="00BF6FC7" w:rsidP="00350FEA">
      <w:pPr>
        <w:ind w:left="567"/>
        <w:rPr>
          <w:rFonts w:asciiTheme="minorHAnsi" w:hAnsiTheme="minorHAnsi"/>
          <w:b/>
          <w:bCs/>
          <w:sz w:val="20"/>
          <w:szCs w:val="20"/>
          <w:u w:val="single"/>
          <w:lang w:eastAsia="en-US" w:bidi="en-US"/>
        </w:rPr>
      </w:pPr>
    </w:p>
    <w:p w:rsidR="00BF6FC7" w:rsidRDefault="00BF6FC7" w:rsidP="00350FEA">
      <w:pPr>
        <w:ind w:left="567"/>
        <w:rPr>
          <w:rFonts w:asciiTheme="minorHAnsi" w:hAnsiTheme="minorHAnsi"/>
          <w:b/>
          <w:bCs/>
          <w:sz w:val="20"/>
          <w:szCs w:val="20"/>
          <w:u w:val="single"/>
          <w:lang w:eastAsia="en-US" w:bidi="en-US"/>
        </w:rPr>
      </w:pPr>
    </w:p>
    <w:p w:rsidR="00BF6FC7" w:rsidRDefault="00BF6FC7" w:rsidP="00350FEA">
      <w:pPr>
        <w:ind w:left="567"/>
        <w:rPr>
          <w:rFonts w:asciiTheme="minorHAnsi" w:hAnsiTheme="minorHAnsi"/>
          <w:b/>
          <w:bCs/>
          <w:sz w:val="20"/>
          <w:szCs w:val="20"/>
          <w:u w:val="single"/>
          <w:lang w:eastAsia="en-US" w:bidi="en-US"/>
        </w:rPr>
      </w:pPr>
    </w:p>
    <w:p w:rsidR="00BF6FC7" w:rsidRDefault="00BF6FC7" w:rsidP="00350FEA">
      <w:pPr>
        <w:ind w:left="567"/>
        <w:rPr>
          <w:rFonts w:asciiTheme="minorHAnsi" w:hAnsiTheme="minorHAnsi"/>
          <w:b/>
          <w:bCs/>
          <w:sz w:val="20"/>
          <w:szCs w:val="20"/>
          <w:u w:val="single"/>
          <w:lang w:eastAsia="en-US" w:bidi="en-US"/>
        </w:rPr>
      </w:pPr>
    </w:p>
    <w:p w:rsidR="00BF6FC7" w:rsidRDefault="00BF6FC7" w:rsidP="00350FEA">
      <w:pPr>
        <w:ind w:left="567"/>
        <w:rPr>
          <w:rFonts w:asciiTheme="minorHAnsi" w:hAnsiTheme="minorHAnsi"/>
          <w:b/>
          <w:bCs/>
          <w:sz w:val="20"/>
          <w:szCs w:val="20"/>
          <w:u w:val="single"/>
          <w:lang w:eastAsia="en-US" w:bidi="en-US"/>
        </w:rPr>
      </w:pPr>
    </w:p>
    <w:p w:rsidR="00BF6FC7" w:rsidRDefault="00BF6FC7"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7E3A3A" w:rsidP="00350FEA">
      <w:pPr>
        <w:ind w:left="567"/>
        <w:rPr>
          <w:noProof/>
        </w:rPr>
      </w:pPr>
      <w:r w:rsidRPr="007E3A3A">
        <w:rPr>
          <w:noProof/>
          <w:lang w:val="de-DE" w:eastAsia="de-DE"/>
        </w:rPr>
        <w:lastRenderedPageBreak/>
        <w:drawing>
          <wp:inline distT="0" distB="0" distL="0" distR="0">
            <wp:extent cx="6186012" cy="8995145"/>
            <wp:effectExtent l="0" t="0" r="571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86929" cy="8996478"/>
                    </a:xfrm>
                    <a:prstGeom prst="rect">
                      <a:avLst/>
                    </a:prstGeom>
                    <a:noFill/>
                    <a:ln>
                      <a:noFill/>
                    </a:ln>
                  </pic:spPr>
                </pic:pic>
              </a:graphicData>
            </a:graphic>
          </wp:inline>
        </w:drawing>
      </w: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3B2FC2" w:rsidP="00350FEA">
      <w:pPr>
        <w:ind w:left="567"/>
        <w:rPr>
          <w:noProof/>
        </w:rPr>
      </w:pPr>
      <w:r w:rsidRPr="003B2FC2">
        <w:rPr>
          <w:noProof/>
          <w:lang w:val="de-DE" w:eastAsia="de-DE"/>
        </w:rPr>
        <w:lastRenderedPageBreak/>
        <w:drawing>
          <wp:inline distT="0" distB="0" distL="0" distR="0">
            <wp:extent cx="6191355" cy="9707526"/>
            <wp:effectExtent l="0" t="0" r="0" b="825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91958" cy="9708471"/>
                    </a:xfrm>
                    <a:prstGeom prst="rect">
                      <a:avLst/>
                    </a:prstGeom>
                    <a:noFill/>
                    <a:ln>
                      <a:noFill/>
                    </a:ln>
                  </pic:spPr>
                </pic:pic>
              </a:graphicData>
            </a:graphic>
          </wp:inline>
        </w:drawing>
      </w:r>
    </w:p>
    <w:p w:rsidR="00FB4A0B" w:rsidRDefault="003B2FC2" w:rsidP="00350FEA">
      <w:pPr>
        <w:ind w:left="567"/>
      </w:pPr>
      <w:r w:rsidRPr="003B2FC2">
        <w:rPr>
          <w:noProof/>
          <w:lang w:val="de-DE" w:eastAsia="de-DE"/>
        </w:rPr>
        <w:lastRenderedPageBreak/>
        <w:drawing>
          <wp:inline distT="0" distB="0" distL="0" distR="0">
            <wp:extent cx="6174990" cy="9569303"/>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76932" cy="9572312"/>
                    </a:xfrm>
                    <a:prstGeom prst="rect">
                      <a:avLst/>
                    </a:prstGeom>
                    <a:noFill/>
                    <a:ln>
                      <a:noFill/>
                    </a:ln>
                  </pic:spPr>
                </pic:pic>
              </a:graphicData>
            </a:graphic>
          </wp:inline>
        </w:drawing>
      </w:r>
    </w:p>
    <w:p w:rsidR="003B2FC2" w:rsidRDefault="003B2FC2" w:rsidP="00350FEA">
      <w:pPr>
        <w:ind w:left="567"/>
      </w:pPr>
    </w:p>
    <w:p w:rsidR="00FB4A0B" w:rsidRDefault="003B2FC2" w:rsidP="00350FEA">
      <w:pPr>
        <w:ind w:left="567"/>
        <w:rPr>
          <w:noProof/>
        </w:rPr>
      </w:pPr>
      <w:r w:rsidRPr="003B2FC2">
        <w:rPr>
          <w:noProof/>
          <w:lang w:val="de-DE" w:eastAsia="de-DE"/>
        </w:rPr>
        <w:lastRenderedPageBreak/>
        <w:drawing>
          <wp:inline distT="0" distB="0" distL="0" distR="0">
            <wp:extent cx="6156252" cy="8754253"/>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53563" cy="8750429"/>
                    </a:xfrm>
                    <a:prstGeom prst="rect">
                      <a:avLst/>
                    </a:prstGeom>
                    <a:noFill/>
                    <a:ln>
                      <a:noFill/>
                    </a:ln>
                  </pic:spPr>
                </pic:pic>
              </a:graphicData>
            </a:graphic>
          </wp:inline>
        </w:drawing>
      </w: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3B2FC2" w:rsidP="00350FEA">
      <w:pPr>
        <w:ind w:left="567"/>
        <w:rPr>
          <w:noProof/>
        </w:rPr>
      </w:pPr>
      <w:r w:rsidRPr="003B2FC2">
        <w:rPr>
          <w:noProof/>
          <w:lang w:val="de-DE" w:eastAsia="de-DE"/>
        </w:rPr>
        <w:lastRenderedPageBreak/>
        <w:drawing>
          <wp:inline distT="0" distB="0" distL="0" distR="0">
            <wp:extent cx="5773479" cy="9677932"/>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80029" cy="9688911"/>
                    </a:xfrm>
                    <a:prstGeom prst="rect">
                      <a:avLst/>
                    </a:prstGeom>
                    <a:noFill/>
                    <a:ln>
                      <a:noFill/>
                    </a:ln>
                  </pic:spPr>
                </pic:pic>
              </a:graphicData>
            </a:graphic>
          </wp:inline>
        </w:drawing>
      </w:r>
    </w:p>
    <w:p w:rsidR="00FB4A0B" w:rsidRDefault="003B2FC2" w:rsidP="00350FEA">
      <w:pPr>
        <w:ind w:left="567"/>
        <w:rPr>
          <w:noProof/>
        </w:rPr>
      </w:pPr>
      <w:r w:rsidRPr="003B2FC2">
        <w:rPr>
          <w:noProof/>
          <w:lang w:val="de-DE" w:eastAsia="de-DE"/>
        </w:rPr>
        <w:lastRenderedPageBreak/>
        <w:drawing>
          <wp:inline distT="0" distB="0" distL="0" distR="0">
            <wp:extent cx="6189801" cy="9292856"/>
            <wp:effectExtent l="0" t="0" r="1905" b="381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94162" cy="9299404"/>
                    </a:xfrm>
                    <a:prstGeom prst="rect">
                      <a:avLst/>
                    </a:prstGeom>
                    <a:noFill/>
                    <a:ln>
                      <a:noFill/>
                    </a:ln>
                  </pic:spPr>
                </pic:pic>
              </a:graphicData>
            </a:graphic>
          </wp:inline>
        </w:drawing>
      </w:r>
    </w:p>
    <w:p w:rsidR="00FB4A0B" w:rsidRDefault="00FB4A0B" w:rsidP="00350FEA">
      <w:pPr>
        <w:ind w:left="567"/>
        <w:rPr>
          <w:noProof/>
        </w:rPr>
      </w:pPr>
    </w:p>
    <w:p w:rsidR="00FB4A0B" w:rsidRDefault="00FB4A0B" w:rsidP="00350FEA">
      <w:pPr>
        <w:ind w:left="567"/>
        <w:rPr>
          <w:noProof/>
        </w:rPr>
      </w:pPr>
    </w:p>
    <w:p w:rsidR="00FB4A0B" w:rsidRDefault="003B2FC2" w:rsidP="00350FEA">
      <w:pPr>
        <w:ind w:left="567"/>
        <w:rPr>
          <w:noProof/>
        </w:rPr>
      </w:pPr>
      <w:r w:rsidRPr="003B2FC2">
        <w:rPr>
          <w:noProof/>
          <w:lang w:val="de-DE" w:eastAsia="de-DE"/>
        </w:rPr>
        <w:lastRenderedPageBreak/>
        <w:drawing>
          <wp:inline distT="0" distB="0" distL="0" distR="0">
            <wp:extent cx="6154964" cy="9473609"/>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55392" cy="9474268"/>
                    </a:xfrm>
                    <a:prstGeom prst="rect">
                      <a:avLst/>
                    </a:prstGeom>
                    <a:noFill/>
                    <a:ln>
                      <a:noFill/>
                    </a:ln>
                  </pic:spPr>
                </pic:pic>
              </a:graphicData>
            </a:graphic>
          </wp:inline>
        </w:drawing>
      </w:r>
    </w:p>
    <w:p w:rsidR="00FB4A0B" w:rsidRDefault="00FB4A0B" w:rsidP="00350FEA">
      <w:pPr>
        <w:ind w:left="567"/>
        <w:rPr>
          <w:noProof/>
        </w:rPr>
      </w:pPr>
    </w:p>
    <w:p w:rsidR="00FB4A0B" w:rsidRDefault="003B2FC2" w:rsidP="00350FEA">
      <w:pPr>
        <w:ind w:left="567"/>
        <w:rPr>
          <w:noProof/>
        </w:rPr>
      </w:pPr>
      <w:r w:rsidRPr="003B2FC2">
        <w:rPr>
          <w:noProof/>
          <w:lang w:val="de-DE" w:eastAsia="de-DE"/>
        </w:rPr>
        <w:lastRenderedPageBreak/>
        <w:drawing>
          <wp:inline distT="0" distB="0" distL="0" distR="0">
            <wp:extent cx="6066271" cy="9058939"/>
            <wp:effectExtent l="0" t="0" r="0" b="889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065537" cy="9057842"/>
                    </a:xfrm>
                    <a:prstGeom prst="rect">
                      <a:avLst/>
                    </a:prstGeom>
                    <a:noFill/>
                    <a:ln>
                      <a:noFill/>
                    </a:ln>
                  </pic:spPr>
                </pic:pic>
              </a:graphicData>
            </a:graphic>
          </wp:inline>
        </w:drawing>
      </w: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FB4A0B" w:rsidP="00350FEA">
      <w:pPr>
        <w:ind w:left="567"/>
        <w:rPr>
          <w:noProof/>
        </w:rPr>
      </w:pPr>
    </w:p>
    <w:p w:rsidR="00FB4A0B" w:rsidRDefault="003B2FC2" w:rsidP="00350FEA">
      <w:pPr>
        <w:ind w:left="567"/>
        <w:rPr>
          <w:noProof/>
        </w:rPr>
      </w:pPr>
      <w:r w:rsidRPr="003B2FC2">
        <w:rPr>
          <w:noProof/>
          <w:lang w:val="de-DE" w:eastAsia="de-DE"/>
        </w:rPr>
        <w:lastRenderedPageBreak/>
        <w:drawing>
          <wp:inline distT="0" distB="0" distL="0" distR="0">
            <wp:extent cx="5886308" cy="9346019"/>
            <wp:effectExtent l="0" t="0" r="635" b="762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85349" cy="9344496"/>
                    </a:xfrm>
                    <a:prstGeom prst="rect">
                      <a:avLst/>
                    </a:prstGeom>
                    <a:noFill/>
                    <a:ln>
                      <a:noFill/>
                    </a:ln>
                  </pic:spPr>
                </pic:pic>
              </a:graphicData>
            </a:graphic>
          </wp:inline>
        </w:drawing>
      </w:r>
    </w:p>
    <w:p w:rsidR="00FB4A0B" w:rsidRDefault="00FB4A0B" w:rsidP="00350FEA">
      <w:pPr>
        <w:ind w:left="567"/>
        <w:rPr>
          <w:noProof/>
        </w:rPr>
      </w:pPr>
    </w:p>
    <w:p w:rsidR="00FB4A0B" w:rsidRDefault="00FB4A0B" w:rsidP="00350FEA">
      <w:pPr>
        <w:ind w:left="567"/>
        <w:rPr>
          <w:noProof/>
        </w:rPr>
      </w:pPr>
    </w:p>
    <w:p w:rsidR="00053AF1" w:rsidRDefault="00053AF1">
      <w:pPr>
        <w:rPr>
          <w:rFonts w:asciiTheme="minorHAnsi" w:hAnsiTheme="minorHAnsi"/>
          <w:b/>
          <w:bCs/>
          <w:sz w:val="24"/>
          <w:szCs w:val="24"/>
          <w:u w:val="single"/>
          <w:lang w:eastAsia="en-US" w:bidi="en-US"/>
        </w:rPr>
      </w:pPr>
    </w:p>
    <w:p w:rsidR="00053AF1" w:rsidRDefault="00053AF1">
      <w:pPr>
        <w:rPr>
          <w:rFonts w:asciiTheme="minorHAnsi" w:hAnsiTheme="minorHAnsi"/>
          <w:b/>
          <w:bCs/>
          <w:sz w:val="24"/>
          <w:szCs w:val="24"/>
          <w:u w:val="single"/>
          <w:lang w:eastAsia="en-US" w:bidi="en-US"/>
        </w:rPr>
      </w:pPr>
    </w:p>
    <w:p w:rsidR="00053AF1" w:rsidRDefault="00053AF1">
      <w:pPr>
        <w:rPr>
          <w:rFonts w:asciiTheme="minorHAnsi" w:hAnsiTheme="minorHAnsi"/>
          <w:b/>
          <w:bCs/>
          <w:sz w:val="24"/>
          <w:szCs w:val="24"/>
          <w:u w:val="single"/>
          <w:lang w:eastAsia="en-US" w:bidi="en-US"/>
        </w:rPr>
      </w:pPr>
    </w:p>
    <w:p w:rsidR="00053AF1" w:rsidRDefault="00053AF1">
      <w:pPr>
        <w:rPr>
          <w:rFonts w:asciiTheme="minorHAnsi" w:hAnsiTheme="minorHAnsi"/>
          <w:b/>
          <w:bCs/>
          <w:sz w:val="24"/>
          <w:szCs w:val="24"/>
          <w:u w:val="single"/>
          <w:lang w:eastAsia="en-US" w:bidi="en-US"/>
        </w:rPr>
      </w:pPr>
    </w:p>
    <w:p w:rsidR="00053AF1" w:rsidRDefault="00053AF1">
      <w:pPr>
        <w:rPr>
          <w:rFonts w:asciiTheme="minorHAnsi" w:hAnsiTheme="minorHAnsi"/>
          <w:b/>
          <w:bCs/>
          <w:sz w:val="24"/>
          <w:szCs w:val="24"/>
          <w:u w:val="single"/>
          <w:lang w:eastAsia="en-US" w:bidi="en-US"/>
        </w:rPr>
      </w:pPr>
    </w:p>
    <w:p w:rsidR="00053AF1" w:rsidRDefault="00053AF1">
      <w:pPr>
        <w:rPr>
          <w:rFonts w:asciiTheme="minorHAnsi" w:hAnsiTheme="minorHAnsi"/>
          <w:b/>
          <w:bCs/>
          <w:sz w:val="24"/>
          <w:szCs w:val="24"/>
          <w:u w:val="single"/>
          <w:lang w:eastAsia="en-US" w:bidi="en-US"/>
        </w:rPr>
      </w:pPr>
    </w:p>
    <w:p w:rsidR="00053AF1" w:rsidRPr="00053AF1" w:rsidRDefault="00053AF1" w:rsidP="00053AF1">
      <w:pPr>
        <w:keepNext/>
        <w:pBdr>
          <w:bottom w:val="single" w:sz="12" w:space="1" w:color="548DD4"/>
        </w:pBdr>
        <w:spacing w:after="120" w:line="276" w:lineRule="auto"/>
        <w:jc w:val="center"/>
        <w:outlineLvl w:val="0"/>
        <w:rPr>
          <w:rFonts w:asciiTheme="minorHAnsi" w:hAnsiTheme="minorHAnsi"/>
          <w:b/>
          <w:bCs/>
          <w:sz w:val="20"/>
          <w:szCs w:val="20"/>
        </w:rPr>
      </w:pPr>
    </w:p>
    <w:p w:rsidR="00053AF1" w:rsidRPr="00053AF1" w:rsidRDefault="00053AF1" w:rsidP="00053AF1">
      <w:pPr>
        <w:keepNext/>
        <w:pBdr>
          <w:bottom w:val="single" w:sz="12" w:space="1" w:color="548DD4"/>
        </w:pBdr>
        <w:spacing w:after="120" w:line="276" w:lineRule="auto"/>
        <w:jc w:val="center"/>
        <w:outlineLvl w:val="0"/>
        <w:rPr>
          <w:rFonts w:asciiTheme="minorHAnsi" w:hAnsiTheme="minorHAnsi"/>
          <w:b/>
          <w:bCs/>
          <w:sz w:val="20"/>
          <w:szCs w:val="20"/>
        </w:rPr>
      </w:pPr>
    </w:p>
    <w:p w:rsidR="00053AF1" w:rsidRPr="00053AF1" w:rsidRDefault="00053AF1" w:rsidP="00053AF1">
      <w:pPr>
        <w:keepNext/>
        <w:pBdr>
          <w:bottom w:val="single" w:sz="12" w:space="1" w:color="548DD4"/>
        </w:pBdr>
        <w:spacing w:after="120" w:line="276" w:lineRule="auto"/>
        <w:jc w:val="center"/>
        <w:outlineLvl w:val="0"/>
        <w:rPr>
          <w:rFonts w:asciiTheme="minorHAnsi" w:hAnsiTheme="minorHAnsi"/>
          <w:b/>
          <w:bCs/>
          <w:sz w:val="20"/>
          <w:szCs w:val="20"/>
        </w:rPr>
      </w:pPr>
    </w:p>
    <w:p w:rsidR="00053AF1" w:rsidRPr="00053AF1" w:rsidRDefault="00053AF1" w:rsidP="00053AF1">
      <w:pPr>
        <w:keepNext/>
        <w:pBdr>
          <w:bottom w:val="single" w:sz="12" w:space="1" w:color="548DD4"/>
        </w:pBdr>
        <w:spacing w:after="120" w:line="276" w:lineRule="auto"/>
        <w:jc w:val="center"/>
        <w:outlineLvl w:val="0"/>
        <w:rPr>
          <w:rFonts w:asciiTheme="minorHAnsi" w:hAnsiTheme="minorHAnsi"/>
          <w:b/>
          <w:bCs/>
          <w:sz w:val="20"/>
          <w:szCs w:val="20"/>
        </w:rPr>
      </w:pPr>
    </w:p>
    <w:p w:rsidR="00053AF1" w:rsidRPr="00053AF1" w:rsidRDefault="00053AF1" w:rsidP="00053AF1">
      <w:pPr>
        <w:keepNext/>
        <w:pBdr>
          <w:bottom w:val="single" w:sz="12" w:space="1" w:color="548DD4"/>
        </w:pBdr>
        <w:spacing w:after="120" w:line="276" w:lineRule="auto"/>
        <w:jc w:val="center"/>
        <w:outlineLvl w:val="0"/>
        <w:rPr>
          <w:rFonts w:asciiTheme="minorHAnsi" w:hAnsiTheme="minorHAnsi"/>
          <w:b/>
          <w:bCs/>
          <w:sz w:val="20"/>
          <w:szCs w:val="20"/>
        </w:rPr>
      </w:pPr>
    </w:p>
    <w:p w:rsidR="00053AF1" w:rsidRPr="00053AF1" w:rsidRDefault="00053AF1" w:rsidP="00053AF1">
      <w:pPr>
        <w:keepNext/>
        <w:pBdr>
          <w:bottom w:val="single" w:sz="12" w:space="1" w:color="548DD4"/>
        </w:pBdr>
        <w:spacing w:after="120" w:line="276" w:lineRule="auto"/>
        <w:jc w:val="center"/>
        <w:outlineLvl w:val="0"/>
        <w:rPr>
          <w:rFonts w:asciiTheme="minorHAnsi" w:hAnsiTheme="minorHAnsi"/>
          <w:b/>
          <w:bCs/>
          <w:sz w:val="20"/>
          <w:szCs w:val="20"/>
        </w:rPr>
      </w:pPr>
    </w:p>
    <w:p w:rsidR="00053AF1" w:rsidRPr="00053AF1" w:rsidRDefault="00053AF1" w:rsidP="00053AF1">
      <w:pPr>
        <w:keepNext/>
        <w:pBdr>
          <w:bottom w:val="single" w:sz="12" w:space="1" w:color="548DD4"/>
        </w:pBdr>
        <w:spacing w:after="120" w:line="276" w:lineRule="auto"/>
        <w:jc w:val="center"/>
        <w:outlineLvl w:val="0"/>
        <w:rPr>
          <w:rFonts w:asciiTheme="minorHAnsi" w:hAnsiTheme="minorHAnsi"/>
          <w:sz w:val="20"/>
          <w:szCs w:val="20"/>
          <w:u w:val="single"/>
          <w:lang w:eastAsia="en-US" w:bidi="en-US"/>
        </w:rPr>
      </w:pPr>
      <w:bookmarkStart w:id="342" w:name="_Toc444614026"/>
      <w:r w:rsidRPr="00053AF1">
        <w:rPr>
          <w:rFonts w:asciiTheme="minorHAnsi" w:hAnsiTheme="minorHAnsi"/>
          <w:sz w:val="20"/>
          <w:szCs w:val="20"/>
        </w:rPr>
        <w:t xml:space="preserve">ANNEXE </w:t>
      </w:r>
      <w:r>
        <w:rPr>
          <w:rFonts w:asciiTheme="minorHAnsi" w:hAnsiTheme="minorHAnsi"/>
          <w:sz w:val="20"/>
          <w:szCs w:val="20"/>
        </w:rPr>
        <w:t>3</w:t>
      </w:r>
      <w:r w:rsidRPr="00053AF1">
        <w:rPr>
          <w:rFonts w:asciiTheme="minorHAnsi" w:hAnsiTheme="minorHAnsi"/>
          <w:sz w:val="20"/>
          <w:szCs w:val="20"/>
        </w:rPr>
        <w:t xml:space="preserve"> : La situation économique et financière des pays membres </w:t>
      </w:r>
      <w:r>
        <w:rPr>
          <w:rFonts w:asciiTheme="minorHAnsi" w:hAnsiTheme="minorHAnsi"/>
          <w:sz w:val="20"/>
          <w:szCs w:val="20"/>
        </w:rPr>
        <w:t>de la CEMAC</w:t>
      </w:r>
      <w:bookmarkEnd w:id="342"/>
    </w:p>
    <w:p w:rsidR="0002665D" w:rsidRDefault="0002665D">
      <w:pPr>
        <w:rPr>
          <w:sz w:val="20"/>
        </w:rPr>
      </w:pPr>
      <w:bookmarkStart w:id="343" w:name="_Toc444335780"/>
      <w:r>
        <w:rPr>
          <w:b/>
        </w:rPr>
        <w:br w:type="page"/>
      </w:r>
    </w:p>
    <w:p w:rsidR="00BD3B9B" w:rsidRPr="00544154" w:rsidRDefault="00BD3B9B" w:rsidP="00BD3B9B">
      <w:pPr>
        <w:pStyle w:val="Lgende"/>
        <w:jc w:val="both"/>
        <w:rPr>
          <w:rFonts w:ascii="Times New Roman" w:hAnsi="Times New Roman"/>
          <w:b w:val="0"/>
          <w:bCs/>
        </w:rPr>
      </w:pPr>
      <w:r w:rsidRPr="00544154">
        <w:rPr>
          <w:rFonts w:ascii="Times New Roman" w:hAnsi="Times New Roman"/>
          <w:b w:val="0"/>
        </w:rPr>
        <w:lastRenderedPageBreak/>
        <w:t>Vue d’ensemble de l’économie mondiale : PIB et Prix à la consommation (variation annuelle, en  %)</w:t>
      </w:r>
    </w:p>
    <w:tbl>
      <w:tblPr>
        <w:tblStyle w:val="Tableauclassique1"/>
        <w:tblW w:w="9300" w:type="dxa"/>
        <w:tblLayout w:type="fixed"/>
        <w:tblLook w:val="0000" w:firstRow="0" w:lastRow="0" w:firstColumn="0" w:lastColumn="0" w:noHBand="0" w:noVBand="0"/>
      </w:tblPr>
      <w:tblGrid>
        <w:gridCol w:w="3369"/>
        <w:gridCol w:w="850"/>
        <w:gridCol w:w="788"/>
        <w:gridCol w:w="749"/>
        <w:gridCol w:w="709"/>
        <w:gridCol w:w="709"/>
        <w:gridCol w:w="708"/>
        <w:gridCol w:w="709"/>
        <w:gridCol w:w="709"/>
      </w:tblGrid>
      <w:tr w:rsidR="00BD3B9B" w:rsidRPr="00544154" w:rsidTr="002E7809">
        <w:trPr>
          <w:trHeight w:val="223"/>
        </w:trPr>
        <w:tc>
          <w:tcPr>
            <w:tcW w:w="3369" w:type="dxa"/>
          </w:tcPr>
          <w:p w:rsidR="00BD3B9B" w:rsidRPr="00544154" w:rsidRDefault="00BD3B9B" w:rsidP="002E7809">
            <w:pPr>
              <w:ind w:firstLine="0"/>
              <w:rPr>
                <w:rFonts w:ascii="Times New Roman" w:hAnsi="Times New Roman"/>
                <w:sz w:val="20"/>
                <w:szCs w:val="20"/>
              </w:rPr>
            </w:pPr>
          </w:p>
        </w:tc>
        <w:tc>
          <w:tcPr>
            <w:tcW w:w="3096" w:type="dxa"/>
            <w:gridSpan w:val="4"/>
            <w:tcBorders>
              <w:bottom w:val="single" w:sz="4" w:space="0" w:color="auto"/>
              <w:right w:val="single" w:sz="4" w:space="0" w:color="auto"/>
            </w:tcBorders>
            <w:vAlign w:val="center"/>
          </w:tcPr>
          <w:p w:rsidR="00BD3B9B" w:rsidRPr="00544154" w:rsidRDefault="00BD3B9B" w:rsidP="002E7809">
            <w:pPr>
              <w:ind w:firstLine="0"/>
              <w:jc w:val="center"/>
              <w:rPr>
                <w:rFonts w:ascii="Times New Roman" w:hAnsi="Times New Roman"/>
                <w:sz w:val="20"/>
                <w:szCs w:val="20"/>
              </w:rPr>
            </w:pPr>
            <w:r w:rsidRPr="00544154">
              <w:rPr>
                <w:rFonts w:ascii="Times New Roman" w:hAnsi="Times New Roman"/>
                <w:sz w:val="20"/>
                <w:szCs w:val="20"/>
              </w:rPr>
              <w:t>PIB</w:t>
            </w:r>
          </w:p>
        </w:tc>
        <w:tc>
          <w:tcPr>
            <w:tcW w:w="2835" w:type="dxa"/>
            <w:gridSpan w:val="4"/>
            <w:tcBorders>
              <w:left w:val="single" w:sz="4" w:space="0" w:color="auto"/>
              <w:bottom w:val="single" w:sz="4" w:space="0" w:color="auto"/>
            </w:tcBorders>
            <w:vAlign w:val="center"/>
          </w:tcPr>
          <w:p w:rsidR="00BD3B9B" w:rsidRPr="00544154" w:rsidRDefault="00BD3B9B" w:rsidP="002E7809">
            <w:pPr>
              <w:ind w:firstLine="0"/>
              <w:jc w:val="center"/>
              <w:rPr>
                <w:rFonts w:ascii="Times New Roman" w:hAnsi="Times New Roman"/>
                <w:sz w:val="20"/>
                <w:szCs w:val="20"/>
              </w:rPr>
            </w:pPr>
            <w:r w:rsidRPr="00544154">
              <w:rPr>
                <w:rFonts w:ascii="Times New Roman" w:hAnsi="Times New Roman"/>
                <w:sz w:val="20"/>
                <w:szCs w:val="20"/>
              </w:rPr>
              <w:t>PRIX</w:t>
            </w:r>
          </w:p>
        </w:tc>
      </w:tr>
      <w:tr w:rsidR="00BD3B9B" w:rsidRPr="00544154" w:rsidTr="002E7809">
        <w:trPr>
          <w:trHeight w:val="223"/>
        </w:trPr>
        <w:tc>
          <w:tcPr>
            <w:tcW w:w="3369" w:type="dxa"/>
          </w:tcPr>
          <w:p w:rsidR="00BD3B9B" w:rsidRPr="00544154" w:rsidRDefault="00BD3B9B" w:rsidP="002E7809">
            <w:pPr>
              <w:ind w:firstLine="0"/>
              <w:rPr>
                <w:rFonts w:ascii="Times New Roman" w:hAnsi="Times New Roman"/>
                <w:sz w:val="20"/>
                <w:szCs w:val="20"/>
              </w:rPr>
            </w:pPr>
          </w:p>
        </w:tc>
        <w:tc>
          <w:tcPr>
            <w:tcW w:w="850" w:type="dxa"/>
            <w:tcBorders>
              <w:top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2012</w:t>
            </w:r>
          </w:p>
        </w:tc>
        <w:tc>
          <w:tcPr>
            <w:tcW w:w="788" w:type="dxa"/>
            <w:tcBorders>
              <w:top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2013</w:t>
            </w:r>
          </w:p>
        </w:tc>
        <w:tc>
          <w:tcPr>
            <w:tcW w:w="749" w:type="dxa"/>
            <w:tcBorders>
              <w:top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2014</w:t>
            </w:r>
          </w:p>
        </w:tc>
        <w:tc>
          <w:tcPr>
            <w:tcW w:w="709" w:type="dxa"/>
            <w:tcBorders>
              <w:top w:val="single" w:sz="4" w:space="0" w:color="auto"/>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2015 estim.</w:t>
            </w:r>
          </w:p>
        </w:tc>
        <w:tc>
          <w:tcPr>
            <w:tcW w:w="709" w:type="dxa"/>
            <w:tcBorders>
              <w:top w:val="single" w:sz="4" w:space="0" w:color="auto"/>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2012</w:t>
            </w:r>
          </w:p>
        </w:tc>
        <w:tc>
          <w:tcPr>
            <w:tcW w:w="708" w:type="dxa"/>
            <w:tcBorders>
              <w:top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2013</w:t>
            </w:r>
          </w:p>
        </w:tc>
        <w:tc>
          <w:tcPr>
            <w:tcW w:w="709" w:type="dxa"/>
            <w:tcBorders>
              <w:top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2014</w:t>
            </w:r>
          </w:p>
        </w:tc>
        <w:tc>
          <w:tcPr>
            <w:tcW w:w="709" w:type="dxa"/>
            <w:tcBorders>
              <w:top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2015 estim.</w:t>
            </w:r>
          </w:p>
        </w:tc>
      </w:tr>
      <w:tr w:rsidR="00BD3B9B" w:rsidRPr="00544154" w:rsidTr="002E7809">
        <w:trPr>
          <w:trHeight w:val="223"/>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Monde</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3,4</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3,3</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3,4</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3,1</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4,2</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3,9</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3,6</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3,3</w:t>
            </w:r>
          </w:p>
        </w:tc>
      </w:tr>
      <w:tr w:rsidR="00BD3B9B" w:rsidRPr="00544154" w:rsidTr="002E7809">
        <w:trPr>
          <w:trHeight w:val="223"/>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Pays avancés</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1,2</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1,1</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1,8</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1,4</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1,4</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0,3</w:t>
            </w:r>
          </w:p>
        </w:tc>
      </w:tr>
      <w:tr w:rsidR="00BD3B9B" w:rsidRPr="00544154" w:rsidTr="002E7809">
        <w:trPr>
          <w:trHeight w:val="223"/>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États-Unis</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2,2</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1,5</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2,4</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2,6</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2,1</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1,5</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1,6</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0,1</w:t>
            </w:r>
          </w:p>
        </w:tc>
      </w:tr>
      <w:tr w:rsidR="00BD3B9B" w:rsidRPr="00544154" w:rsidTr="002E7809">
        <w:trPr>
          <w:trHeight w:val="235"/>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Zone Euro</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-0,8</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-0,3</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0,9</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1,5</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2,5</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1,3</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0,4</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0,2</w:t>
            </w:r>
          </w:p>
        </w:tc>
      </w:tr>
      <w:tr w:rsidR="00BD3B9B" w:rsidRPr="00544154" w:rsidTr="002E7809">
        <w:trPr>
          <w:trHeight w:val="223"/>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Japon</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1,7</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1,6</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-0,1</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0,6</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0,0</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0,4</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2,7</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0,7</w:t>
            </w:r>
          </w:p>
        </w:tc>
      </w:tr>
      <w:tr w:rsidR="00BD3B9B" w:rsidRPr="00544154" w:rsidTr="002E7809">
        <w:trPr>
          <w:trHeight w:val="223"/>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Autres pays avancés</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2,2</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2,8</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2,3</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1,5</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1,4</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0,7</w:t>
            </w:r>
          </w:p>
        </w:tc>
      </w:tr>
      <w:tr w:rsidR="00BD3B9B" w:rsidRPr="00544154" w:rsidTr="002E7809">
        <w:trPr>
          <w:trHeight w:val="80"/>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Afr. Sub-saharienne</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4,3</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5,2</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5,0</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3,8</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9,4</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6,6</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6,4</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6,9</w:t>
            </w:r>
          </w:p>
        </w:tc>
      </w:tr>
      <w:tr w:rsidR="00BD3B9B" w:rsidRPr="00544154" w:rsidTr="002E7809">
        <w:trPr>
          <w:trHeight w:val="223"/>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Afrique du Sud</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2,2</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2,2</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1,5</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1,4</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5,7</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5,8</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6,1</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4,8</w:t>
            </w:r>
          </w:p>
        </w:tc>
      </w:tr>
      <w:tr w:rsidR="00BD3B9B" w:rsidRPr="00544154" w:rsidTr="002E7809">
        <w:trPr>
          <w:trHeight w:val="223"/>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Nigeria</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4,3</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5,4</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6,3</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4,0</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12,2</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8,5</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8,1</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9,1</w:t>
            </w:r>
          </w:p>
        </w:tc>
      </w:tr>
      <w:tr w:rsidR="00BD3B9B" w:rsidRPr="00544154" w:rsidTr="002E7809">
        <w:trPr>
          <w:trHeight w:val="223"/>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Asie en développement</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6,8</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7,0</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6,8</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6,5</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4,7</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4,8</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3,5</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3,0</w:t>
            </w:r>
          </w:p>
        </w:tc>
      </w:tr>
      <w:tr w:rsidR="00BD3B9B" w:rsidRPr="00544154" w:rsidTr="002E7809">
        <w:trPr>
          <w:trHeight w:val="176"/>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Chine</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7,7</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7,7</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7,3</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6,8</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2,6</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2,6</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1,5</w:t>
            </w:r>
          </w:p>
        </w:tc>
      </w:tr>
      <w:tr w:rsidR="00BD3B9B" w:rsidRPr="00544154" w:rsidTr="002E7809">
        <w:trPr>
          <w:trHeight w:val="272"/>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Inde</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5,1</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6,9</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7,2</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7,3</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10,2</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10,0</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5,9</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5,4</w:t>
            </w:r>
          </w:p>
        </w:tc>
      </w:tr>
      <w:tr w:rsidR="00BD3B9B" w:rsidRPr="00544154" w:rsidTr="002E7809">
        <w:trPr>
          <w:trHeight w:val="223"/>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Amérique latine et Caraïbes</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3,1</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2,9</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1,3</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-0,3</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5,7</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6,7</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7,9</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11,2</w:t>
            </w:r>
          </w:p>
        </w:tc>
      </w:tr>
      <w:tr w:rsidR="00BD3B9B" w:rsidRPr="00544154" w:rsidTr="002E7809">
        <w:trPr>
          <w:trHeight w:val="223"/>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Brésil</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1,8</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2,7</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0,1</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-3,0</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5,4</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6,2</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6,3</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8,8</w:t>
            </w:r>
          </w:p>
        </w:tc>
      </w:tr>
      <w:tr w:rsidR="00BD3B9B" w:rsidRPr="00544154" w:rsidTr="002E7809">
        <w:trPr>
          <w:trHeight w:val="223"/>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Chili</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5,5</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4,3</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1,8</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2,3</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3,0</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1,9</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4,4</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4,3</w:t>
            </w:r>
          </w:p>
        </w:tc>
      </w:tr>
      <w:tr w:rsidR="00BD3B9B" w:rsidRPr="00544154" w:rsidTr="002E7809">
        <w:trPr>
          <w:trHeight w:val="223"/>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Mexique</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4,0</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1,4</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2,1</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2,3</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4,1</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3,8</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4,0</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2,8</w:t>
            </w:r>
          </w:p>
        </w:tc>
      </w:tr>
      <w:tr w:rsidR="00BD3B9B" w:rsidRPr="00544154" w:rsidTr="002E7809">
        <w:trPr>
          <w:trHeight w:val="223"/>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Europe émergente </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1,3</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2,9</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2,8</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3,0</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6,0</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4,3</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3,8</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2,9</w:t>
            </w:r>
          </w:p>
        </w:tc>
      </w:tr>
      <w:tr w:rsidR="00BD3B9B" w:rsidRPr="00544154" w:rsidTr="002E7809">
        <w:trPr>
          <w:trHeight w:val="212"/>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Turquie</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2,1</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4,2</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2,9</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3,0</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8,9</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7,5</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8,9</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7,4</w:t>
            </w:r>
          </w:p>
        </w:tc>
      </w:tr>
      <w:tr w:rsidR="00BD3B9B" w:rsidRPr="00544154" w:rsidTr="002E7809">
        <w:trPr>
          <w:trHeight w:val="212"/>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Communauté des États Indépendants</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3,4</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2,2</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1,0</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-2,7</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6,2</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6,4</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8,1</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15,9</w:t>
            </w:r>
          </w:p>
        </w:tc>
      </w:tr>
      <w:tr w:rsidR="00BD3B9B" w:rsidRPr="00544154" w:rsidTr="002E7809">
        <w:trPr>
          <w:trHeight w:val="212"/>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Russie</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3,4</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1,3</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0,6</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-3,8</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5,1</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6,8</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7,8</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15,8</w:t>
            </w:r>
          </w:p>
        </w:tc>
      </w:tr>
      <w:tr w:rsidR="00BD3B9B" w:rsidRPr="00544154" w:rsidTr="002E7809">
        <w:trPr>
          <w:trHeight w:val="212"/>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Moyen-Orient et Afrique du Nord</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5,0</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2,1</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2,6</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2,3</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9,7</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9,3</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6,5</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6,4</w:t>
            </w:r>
          </w:p>
        </w:tc>
      </w:tr>
      <w:tr w:rsidR="00BD3B9B" w:rsidRPr="00544154" w:rsidTr="002E7809">
        <w:trPr>
          <w:trHeight w:val="212"/>
        </w:trPr>
        <w:tc>
          <w:tcPr>
            <w:tcW w:w="3369"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Arabie Saoudite</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5,4</w:t>
            </w:r>
          </w:p>
        </w:tc>
        <w:tc>
          <w:tcPr>
            <w:tcW w:w="78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2,7</w:t>
            </w:r>
          </w:p>
        </w:tc>
        <w:tc>
          <w:tcPr>
            <w:tcW w:w="74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3,5</w:t>
            </w:r>
          </w:p>
        </w:tc>
        <w:tc>
          <w:tcPr>
            <w:tcW w:w="709"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3,4</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2,9</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3,5</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2,7</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2,1</w:t>
            </w:r>
          </w:p>
        </w:tc>
      </w:tr>
      <w:tr w:rsidR="00BD3B9B" w:rsidRPr="00544154" w:rsidTr="002E7809">
        <w:trPr>
          <w:trHeight w:val="212"/>
        </w:trPr>
        <w:tc>
          <w:tcPr>
            <w:tcW w:w="3369" w:type="dxa"/>
          </w:tcPr>
          <w:p w:rsidR="00BD3B9B" w:rsidRPr="00544154" w:rsidRDefault="00BD3B9B" w:rsidP="002E7809">
            <w:pPr>
              <w:ind w:firstLine="0"/>
              <w:rPr>
                <w:rFonts w:ascii="Times New Roman" w:hAnsi="Times New Roman"/>
                <w:sz w:val="20"/>
                <w:szCs w:val="20"/>
              </w:rPr>
            </w:pPr>
          </w:p>
        </w:tc>
        <w:tc>
          <w:tcPr>
            <w:tcW w:w="850" w:type="dxa"/>
          </w:tcPr>
          <w:p w:rsidR="00BD3B9B" w:rsidRPr="00544154" w:rsidRDefault="00BD3B9B" w:rsidP="002E7809">
            <w:pPr>
              <w:ind w:firstLine="0"/>
              <w:rPr>
                <w:rFonts w:ascii="Times New Roman" w:hAnsi="Times New Roman"/>
                <w:sz w:val="20"/>
                <w:szCs w:val="20"/>
              </w:rPr>
            </w:pPr>
          </w:p>
        </w:tc>
        <w:tc>
          <w:tcPr>
            <w:tcW w:w="788" w:type="dxa"/>
          </w:tcPr>
          <w:p w:rsidR="00BD3B9B" w:rsidRPr="00544154" w:rsidRDefault="00BD3B9B" w:rsidP="002E7809">
            <w:pPr>
              <w:ind w:firstLine="0"/>
              <w:rPr>
                <w:rFonts w:ascii="Times New Roman" w:hAnsi="Times New Roman"/>
                <w:sz w:val="20"/>
                <w:szCs w:val="20"/>
              </w:rPr>
            </w:pPr>
          </w:p>
        </w:tc>
        <w:tc>
          <w:tcPr>
            <w:tcW w:w="749" w:type="dxa"/>
          </w:tcPr>
          <w:p w:rsidR="00BD3B9B" w:rsidRPr="00544154" w:rsidRDefault="00BD3B9B" w:rsidP="002E7809">
            <w:pPr>
              <w:ind w:firstLine="0"/>
              <w:rPr>
                <w:rFonts w:ascii="Times New Roman" w:hAnsi="Times New Roman"/>
                <w:sz w:val="20"/>
                <w:szCs w:val="20"/>
              </w:rPr>
            </w:pPr>
          </w:p>
        </w:tc>
        <w:tc>
          <w:tcPr>
            <w:tcW w:w="709" w:type="dxa"/>
            <w:tcBorders>
              <w:right w:val="single" w:sz="4" w:space="0" w:color="auto"/>
            </w:tcBorders>
          </w:tcPr>
          <w:p w:rsidR="00BD3B9B" w:rsidRPr="00544154" w:rsidRDefault="00BD3B9B" w:rsidP="002E7809">
            <w:pPr>
              <w:ind w:firstLine="0"/>
              <w:rPr>
                <w:rFonts w:ascii="Times New Roman" w:hAnsi="Times New Roman"/>
                <w:sz w:val="20"/>
                <w:szCs w:val="20"/>
              </w:rPr>
            </w:pPr>
          </w:p>
        </w:tc>
        <w:tc>
          <w:tcPr>
            <w:tcW w:w="709" w:type="dxa"/>
            <w:tcBorders>
              <w:left w:val="single" w:sz="4" w:space="0" w:color="auto"/>
            </w:tcBorders>
          </w:tcPr>
          <w:p w:rsidR="00BD3B9B" w:rsidRPr="00544154" w:rsidRDefault="00BD3B9B" w:rsidP="002E7809">
            <w:pPr>
              <w:ind w:firstLine="0"/>
              <w:rPr>
                <w:rFonts w:ascii="Times New Roman" w:hAnsi="Times New Roman"/>
                <w:sz w:val="20"/>
                <w:szCs w:val="20"/>
              </w:rPr>
            </w:pPr>
          </w:p>
        </w:tc>
        <w:tc>
          <w:tcPr>
            <w:tcW w:w="708" w:type="dxa"/>
          </w:tcPr>
          <w:p w:rsidR="00BD3B9B" w:rsidRPr="00544154" w:rsidRDefault="00BD3B9B" w:rsidP="002E7809">
            <w:pPr>
              <w:ind w:firstLine="0"/>
              <w:rPr>
                <w:rFonts w:ascii="Times New Roman" w:hAnsi="Times New Roman"/>
                <w:sz w:val="20"/>
                <w:szCs w:val="20"/>
              </w:rPr>
            </w:pPr>
          </w:p>
        </w:tc>
        <w:tc>
          <w:tcPr>
            <w:tcW w:w="709" w:type="dxa"/>
          </w:tcPr>
          <w:p w:rsidR="00BD3B9B" w:rsidRPr="00544154" w:rsidRDefault="00BD3B9B" w:rsidP="002E7809">
            <w:pPr>
              <w:ind w:firstLine="0"/>
              <w:rPr>
                <w:rFonts w:ascii="Times New Roman" w:hAnsi="Times New Roman"/>
                <w:sz w:val="20"/>
                <w:szCs w:val="20"/>
              </w:rPr>
            </w:pPr>
          </w:p>
        </w:tc>
        <w:tc>
          <w:tcPr>
            <w:tcW w:w="709" w:type="dxa"/>
          </w:tcPr>
          <w:p w:rsidR="00BD3B9B" w:rsidRPr="00544154" w:rsidRDefault="00BD3B9B" w:rsidP="002E7809">
            <w:pPr>
              <w:ind w:firstLine="0"/>
              <w:rPr>
                <w:rFonts w:ascii="Times New Roman" w:hAnsi="Times New Roman"/>
                <w:sz w:val="20"/>
                <w:szCs w:val="20"/>
              </w:rPr>
            </w:pPr>
          </w:p>
        </w:tc>
      </w:tr>
    </w:tbl>
    <w:p w:rsidR="00BD3B9B" w:rsidRPr="00544154" w:rsidRDefault="00BD3B9B" w:rsidP="00BD3B9B">
      <w:pPr>
        <w:pStyle w:val="Lgende"/>
        <w:jc w:val="both"/>
        <w:rPr>
          <w:rFonts w:ascii="Times New Roman" w:hAnsi="Times New Roman"/>
          <w:b w:val="0"/>
          <w:bCs/>
          <w:i/>
        </w:rPr>
      </w:pPr>
      <w:r w:rsidRPr="00544154">
        <w:rPr>
          <w:rFonts w:ascii="Times New Roman" w:hAnsi="Times New Roman"/>
          <w:b w:val="0"/>
          <w:i/>
          <w:u w:val="single"/>
        </w:rPr>
        <w:t>Source</w:t>
      </w:r>
      <w:r w:rsidRPr="00544154">
        <w:rPr>
          <w:rFonts w:ascii="Times New Roman" w:hAnsi="Times New Roman"/>
          <w:b w:val="0"/>
          <w:i/>
        </w:rPr>
        <w:t xml:space="preserve"> : FMI (World Economic Outlook, mise à jour janvier 2016)</w:t>
      </w:r>
    </w:p>
    <w:p w:rsidR="00BD3B9B" w:rsidRPr="00544154" w:rsidRDefault="00BD3B9B" w:rsidP="00BD3B9B">
      <w:pPr>
        <w:jc w:val="both"/>
        <w:rPr>
          <w:sz w:val="18"/>
          <w:szCs w:val="18"/>
        </w:rPr>
      </w:pPr>
    </w:p>
    <w:p w:rsidR="00BD3B9B" w:rsidRPr="00544154" w:rsidRDefault="00BD3B9B" w:rsidP="00BD3B9B">
      <w:pPr>
        <w:jc w:val="both"/>
        <w:rPr>
          <w:sz w:val="18"/>
          <w:szCs w:val="18"/>
        </w:rPr>
      </w:pPr>
    </w:p>
    <w:p w:rsidR="00BD3B9B" w:rsidRPr="00544154" w:rsidRDefault="00BD3B9B" w:rsidP="00BD3B9B">
      <w:pPr>
        <w:pStyle w:val="Lgende"/>
        <w:jc w:val="both"/>
        <w:rPr>
          <w:rFonts w:ascii="Times New Roman" w:hAnsi="Times New Roman"/>
          <w:b w:val="0"/>
          <w:bCs/>
        </w:rPr>
      </w:pPr>
      <w:r w:rsidRPr="00544154">
        <w:rPr>
          <w:rFonts w:ascii="Times New Roman" w:hAnsi="Times New Roman"/>
          <w:b w:val="0"/>
        </w:rPr>
        <w:t>Évolution des prix des matières premières</w:t>
      </w:r>
    </w:p>
    <w:tbl>
      <w:tblPr>
        <w:tblStyle w:val="Tableauclassique1"/>
        <w:tblW w:w="8472" w:type="dxa"/>
        <w:tblLayout w:type="fixed"/>
        <w:tblLook w:val="0000" w:firstRow="0" w:lastRow="0" w:firstColumn="0" w:lastColumn="0" w:noHBand="0" w:noVBand="0"/>
      </w:tblPr>
      <w:tblGrid>
        <w:gridCol w:w="2093"/>
        <w:gridCol w:w="850"/>
        <w:gridCol w:w="993"/>
        <w:gridCol w:w="850"/>
        <w:gridCol w:w="851"/>
        <w:gridCol w:w="709"/>
        <w:gridCol w:w="708"/>
        <w:gridCol w:w="709"/>
        <w:gridCol w:w="709"/>
      </w:tblGrid>
      <w:tr w:rsidR="00BD3B9B" w:rsidRPr="00544154" w:rsidTr="002E7809">
        <w:trPr>
          <w:trHeight w:val="247"/>
        </w:trPr>
        <w:tc>
          <w:tcPr>
            <w:tcW w:w="2093" w:type="dxa"/>
            <w:vMerge w:val="restart"/>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Produits</w:t>
            </w:r>
          </w:p>
        </w:tc>
        <w:tc>
          <w:tcPr>
            <w:tcW w:w="3544" w:type="dxa"/>
            <w:gridSpan w:val="4"/>
            <w:tcBorders>
              <w:bottom w:val="single" w:sz="4" w:space="0" w:color="auto"/>
              <w:right w:val="single" w:sz="4" w:space="0" w:color="auto"/>
            </w:tcBorders>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Prix en dollars ou en cents</w:t>
            </w:r>
          </w:p>
        </w:tc>
        <w:tc>
          <w:tcPr>
            <w:tcW w:w="2835" w:type="dxa"/>
            <w:gridSpan w:val="4"/>
            <w:tcBorders>
              <w:left w:val="single" w:sz="4" w:space="0" w:color="auto"/>
              <w:bottom w:val="single" w:sz="4" w:space="0" w:color="auto"/>
            </w:tcBorders>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Variations annuelles (en %)</w:t>
            </w:r>
          </w:p>
        </w:tc>
      </w:tr>
      <w:tr w:rsidR="00BD3B9B" w:rsidRPr="00544154" w:rsidTr="002E7809">
        <w:trPr>
          <w:trHeight w:val="463"/>
        </w:trPr>
        <w:tc>
          <w:tcPr>
            <w:tcW w:w="2093" w:type="dxa"/>
            <w:vMerge/>
            <w:tcBorders>
              <w:bottom w:val="single" w:sz="4" w:space="0" w:color="auto"/>
            </w:tcBorders>
          </w:tcPr>
          <w:p w:rsidR="00BD3B9B" w:rsidRPr="00544154" w:rsidRDefault="00BD3B9B" w:rsidP="002E7809">
            <w:pPr>
              <w:ind w:firstLine="0"/>
              <w:rPr>
                <w:rFonts w:ascii="Times New Roman" w:hAnsi="Times New Roman"/>
                <w:sz w:val="20"/>
                <w:szCs w:val="20"/>
              </w:rPr>
            </w:pPr>
          </w:p>
        </w:tc>
        <w:tc>
          <w:tcPr>
            <w:tcW w:w="850" w:type="dxa"/>
            <w:tcBorders>
              <w:bottom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2012</w:t>
            </w:r>
          </w:p>
        </w:tc>
        <w:tc>
          <w:tcPr>
            <w:tcW w:w="993" w:type="dxa"/>
            <w:tcBorders>
              <w:bottom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2013</w:t>
            </w:r>
          </w:p>
        </w:tc>
        <w:tc>
          <w:tcPr>
            <w:tcW w:w="850" w:type="dxa"/>
            <w:tcBorders>
              <w:bottom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2014</w:t>
            </w:r>
          </w:p>
        </w:tc>
        <w:tc>
          <w:tcPr>
            <w:tcW w:w="851" w:type="dxa"/>
            <w:tcBorders>
              <w:bottom w:val="single" w:sz="4" w:space="0" w:color="auto"/>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2015 estim.</w:t>
            </w:r>
          </w:p>
        </w:tc>
        <w:tc>
          <w:tcPr>
            <w:tcW w:w="709" w:type="dxa"/>
            <w:tcBorders>
              <w:left w:val="single" w:sz="4" w:space="0" w:color="auto"/>
              <w:bottom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2012</w:t>
            </w:r>
          </w:p>
        </w:tc>
        <w:tc>
          <w:tcPr>
            <w:tcW w:w="708" w:type="dxa"/>
            <w:tcBorders>
              <w:bottom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2013</w:t>
            </w:r>
          </w:p>
        </w:tc>
        <w:tc>
          <w:tcPr>
            <w:tcW w:w="709" w:type="dxa"/>
            <w:tcBorders>
              <w:bottom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2014</w:t>
            </w:r>
          </w:p>
        </w:tc>
        <w:tc>
          <w:tcPr>
            <w:tcW w:w="709" w:type="dxa"/>
            <w:tcBorders>
              <w:bottom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2015 estim.</w:t>
            </w:r>
          </w:p>
        </w:tc>
      </w:tr>
      <w:tr w:rsidR="00BD3B9B" w:rsidRPr="00544154" w:rsidTr="002E7809">
        <w:trPr>
          <w:trHeight w:val="274"/>
        </w:trPr>
        <w:tc>
          <w:tcPr>
            <w:tcW w:w="2093"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Café Robusta (c/lb)</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110,6</w:t>
            </w:r>
          </w:p>
        </w:tc>
        <w:tc>
          <w:tcPr>
            <w:tcW w:w="993"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100,5</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105,6</w:t>
            </w:r>
          </w:p>
        </w:tc>
        <w:tc>
          <w:tcPr>
            <w:tcW w:w="851"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94,2</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-4,6</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-9,1</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5,0</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-10,8</w:t>
            </w:r>
          </w:p>
        </w:tc>
      </w:tr>
      <w:tr w:rsidR="00BD3B9B" w:rsidRPr="00544154" w:rsidTr="002E7809">
        <w:trPr>
          <w:trHeight w:val="247"/>
        </w:trPr>
        <w:tc>
          <w:tcPr>
            <w:tcW w:w="2093"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Cacao ($/tonne)</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2377,1</w:t>
            </w:r>
          </w:p>
        </w:tc>
        <w:tc>
          <w:tcPr>
            <w:tcW w:w="993"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2439,1</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3062,8</w:t>
            </w:r>
          </w:p>
        </w:tc>
        <w:tc>
          <w:tcPr>
            <w:tcW w:w="851"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3135,2</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-20,2</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2,6</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25,6</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2,4</w:t>
            </w:r>
          </w:p>
        </w:tc>
      </w:tr>
      <w:tr w:rsidR="00BD3B9B" w:rsidRPr="00544154" w:rsidTr="002E7809">
        <w:trPr>
          <w:trHeight w:val="255"/>
        </w:trPr>
        <w:tc>
          <w:tcPr>
            <w:tcW w:w="2093"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Coton (c/lb)</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89,2</w:t>
            </w:r>
          </w:p>
        </w:tc>
        <w:tc>
          <w:tcPr>
            <w:tcW w:w="993"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90,4</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83,1</w:t>
            </w:r>
          </w:p>
        </w:tc>
        <w:tc>
          <w:tcPr>
            <w:tcW w:w="851"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70,4</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-42,3</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1,3</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-8,1</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-15,3</w:t>
            </w:r>
          </w:p>
        </w:tc>
      </w:tr>
      <w:tr w:rsidR="00BD3B9B" w:rsidRPr="00544154" w:rsidTr="002E7809">
        <w:trPr>
          <w:trHeight w:val="263"/>
        </w:trPr>
        <w:tc>
          <w:tcPr>
            <w:tcW w:w="2093"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Huile de palme ($/t)</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939,8</w:t>
            </w:r>
          </w:p>
        </w:tc>
        <w:tc>
          <w:tcPr>
            <w:tcW w:w="993"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764,2</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739,4</w:t>
            </w:r>
          </w:p>
        </w:tc>
        <w:tc>
          <w:tcPr>
            <w:tcW w:w="851"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565,1</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-12,7</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-18,7</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-3,2</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-23,6</w:t>
            </w:r>
          </w:p>
        </w:tc>
      </w:tr>
      <w:tr w:rsidR="00BD3B9B" w:rsidRPr="00544154" w:rsidTr="002E7809">
        <w:trPr>
          <w:trHeight w:val="263"/>
        </w:trPr>
        <w:tc>
          <w:tcPr>
            <w:tcW w:w="2093"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Banane ($/tonne)</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360,5</w:t>
            </w:r>
          </w:p>
        </w:tc>
        <w:tc>
          <w:tcPr>
            <w:tcW w:w="993"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305,4</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282,0</w:t>
            </w:r>
          </w:p>
        </w:tc>
        <w:tc>
          <w:tcPr>
            <w:tcW w:w="851"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246,0</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-7,7</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-15,3</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-7,7</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-12,8</w:t>
            </w:r>
          </w:p>
        </w:tc>
      </w:tr>
      <w:tr w:rsidR="00BD3B9B" w:rsidRPr="00544154" w:rsidTr="002E7809">
        <w:trPr>
          <w:trHeight w:val="247"/>
        </w:trPr>
        <w:tc>
          <w:tcPr>
            <w:tcW w:w="2093"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Bois en grume ($/m3)</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153,2</w:t>
            </w:r>
          </w:p>
        </w:tc>
        <w:tc>
          <w:tcPr>
            <w:tcW w:w="993"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126,8</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88,8</w:t>
            </w:r>
          </w:p>
        </w:tc>
        <w:tc>
          <w:tcPr>
            <w:tcW w:w="851"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70,7</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-29,9</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-17,3</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-30,0</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-20,3</w:t>
            </w:r>
          </w:p>
        </w:tc>
      </w:tr>
      <w:tr w:rsidR="00BD3B9B" w:rsidRPr="00544154" w:rsidTr="002E7809">
        <w:trPr>
          <w:trHeight w:val="247"/>
        </w:trPr>
        <w:tc>
          <w:tcPr>
            <w:tcW w:w="2093"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Bois débité ($/m3)</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105,0</w:t>
            </w:r>
          </w:p>
        </w:tc>
        <w:tc>
          <w:tcPr>
            <w:tcW w:w="993"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104,1</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96,2</w:t>
            </w:r>
          </w:p>
        </w:tc>
        <w:tc>
          <w:tcPr>
            <w:tcW w:w="851"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50,8</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1,0</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-0,9</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-7,5</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-47,2</w:t>
            </w:r>
          </w:p>
        </w:tc>
      </w:tr>
      <w:tr w:rsidR="00BD3B9B" w:rsidRPr="00544154" w:rsidTr="002E7809">
        <w:trPr>
          <w:trHeight w:val="247"/>
        </w:trPr>
        <w:tc>
          <w:tcPr>
            <w:tcW w:w="2093"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Caoutchouc ($/t)</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110,6</w:t>
            </w:r>
          </w:p>
        </w:tc>
        <w:tc>
          <w:tcPr>
            <w:tcW w:w="993"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100,5</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105,6</w:t>
            </w:r>
          </w:p>
        </w:tc>
        <w:tc>
          <w:tcPr>
            <w:tcW w:w="851"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94,2</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-4,6</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-9,1</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5,0</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-10,8</w:t>
            </w:r>
          </w:p>
        </w:tc>
      </w:tr>
      <w:tr w:rsidR="00BD3B9B" w:rsidRPr="00544154" w:rsidTr="002E7809">
        <w:trPr>
          <w:trHeight w:val="262"/>
        </w:trPr>
        <w:tc>
          <w:tcPr>
            <w:tcW w:w="2093"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Pétrole ($/baril)</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2377,1</w:t>
            </w:r>
          </w:p>
        </w:tc>
        <w:tc>
          <w:tcPr>
            <w:tcW w:w="993"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2439,1</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3062,8</w:t>
            </w:r>
          </w:p>
        </w:tc>
        <w:tc>
          <w:tcPr>
            <w:tcW w:w="851"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3135,2</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-20,2</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2,6</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25,6</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2,4</w:t>
            </w:r>
          </w:p>
        </w:tc>
      </w:tr>
      <w:tr w:rsidR="00BD3B9B" w:rsidRPr="00544154" w:rsidTr="002E7809">
        <w:trPr>
          <w:trHeight w:val="262"/>
        </w:trPr>
        <w:tc>
          <w:tcPr>
            <w:tcW w:w="2093" w:type="dxa"/>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Gaz naturel </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89,2</w:t>
            </w:r>
          </w:p>
        </w:tc>
        <w:tc>
          <w:tcPr>
            <w:tcW w:w="993"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90,4</w:t>
            </w:r>
          </w:p>
        </w:tc>
        <w:tc>
          <w:tcPr>
            <w:tcW w:w="850"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83,1</w:t>
            </w:r>
          </w:p>
        </w:tc>
        <w:tc>
          <w:tcPr>
            <w:tcW w:w="851" w:type="dxa"/>
            <w:tcBorders>
              <w:righ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70,4</w:t>
            </w:r>
          </w:p>
        </w:tc>
        <w:tc>
          <w:tcPr>
            <w:tcW w:w="709" w:type="dxa"/>
            <w:tcBorders>
              <w:left w:val="single" w:sz="4" w:space="0" w:color="auto"/>
            </w:tcBorders>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-42,3</w:t>
            </w:r>
          </w:p>
        </w:tc>
        <w:tc>
          <w:tcPr>
            <w:tcW w:w="708"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1,3</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-8,1</w:t>
            </w:r>
          </w:p>
        </w:tc>
        <w:tc>
          <w:tcPr>
            <w:tcW w:w="709" w:type="dxa"/>
            <w:vAlign w:val="center"/>
          </w:tcPr>
          <w:p w:rsidR="00BD3B9B" w:rsidRPr="00544154" w:rsidRDefault="00BD3B9B" w:rsidP="002E7809">
            <w:pPr>
              <w:ind w:firstLine="0"/>
              <w:jc w:val="right"/>
              <w:rPr>
                <w:rFonts w:ascii="Times New Roman" w:hAnsi="Times New Roman"/>
                <w:sz w:val="20"/>
                <w:szCs w:val="20"/>
              </w:rPr>
            </w:pPr>
            <w:r w:rsidRPr="00544154">
              <w:rPr>
                <w:rFonts w:ascii="Times New Roman" w:hAnsi="Times New Roman"/>
                <w:sz w:val="20"/>
                <w:szCs w:val="20"/>
              </w:rPr>
              <w:t>-15,3</w:t>
            </w:r>
          </w:p>
        </w:tc>
      </w:tr>
    </w:tbl>
    <w:p w:rsidR="00BD3B9B" w:rsidRPr="00544154" w:rsidRDefault="00BD3B9B" w:rsidP="00BD3B9B">
      <w:pPr>
        <w:rPr>
          <w:i/>
          <w:sz w:val="18"/>
          <w:szCs w:val="18"/>
        </w:rPr>
      </w:pPr>
      <w:r w:rsidRPr="00544154">
        <w:rPr>
          <w:i/>
          <w:sz w:val="18"/>
          <w:szCs w:val="18"/>
        </w:rPr>
        <w:t>Source : FMI (World Economic Outlook, mise à jour janvier 2016)</w:t>
      </w:r>
    </w:p>
    <w:p w:rsidR="00BD3B9B" w:rsidRPr="00544154" w:rsidRDefault="00BD3B9B" w:rsidP="00BD3B9B">
      <w:pPr>
        <w:rPr>
          <w:b/>
          <w:bCs/>
          <w:sz w:val="18"/>
          <w:szCs w:val="18"/>
        </w:rPr>
      </w:pPr>
      <w:r w:rsidRPr="00544154">
        <w:rPr>
          <w:sz w:val="18"/>
          <w:szCs w:val="18"/>
        </w:rPr>
        <w:br w:type="page"/>
      </w:r>
    </w:p>
    <w:p w:rsidR="00BD3B9B" w:rsidRPr="00544154" w:rsidRDefault="00BD3B9B" w:rsidP="00BD3B9B">
      <w:pPr>
        <w:pStyle w:val="Lgende"/>
        <w:jc w:val="both"/>
        <w:rPr>
          <w:rFonts w:ascii="Times New Roman" w:hAnsi="Times New Roman"/>
        </w:rPr>
      </w:pPr>
    </w:p>
    <w:p w:rsidR="00BD3B9B" w:rsidRPr="00544154" w:rsidRDefault="00BD3B9B" w:rsidP="00BD3B9B">
      <w:pPr>
        <w:rPr>
          <w:sz w:val="18"/>
          <w:szCs w:val="18"/>
        </w:rPr>
      </w:pPr>
    </w:p>
    <w:p w:rsidR="00BD3B9B" w:rsidRPr="00544154" w:rsidRDefault="00BD3B9B" w:rsidP="00BD3B9B">
      <w:pPr>
        <w:rPr>
          <w:sz w:val="18"/>
          <w:szCs w:val="18"/>
        </w:rPr>
      </w:pPr>
    </w:p>
    <w:p w:rsidR="00BD3B9B" w:rsidRPr="00544154" w:rsidRDefault="00BD3B9B" w:rsidP="00BD3B9B">
      <w:pPr>
        <w:pStyle w:val="Lgende"/>
        <w:jc w:val="both"/>
        <w:rPr>
          <w:rFonts w:ascii="Times New Roman" w:hAnsi="Times New Roman"/>
          <w:b w:val="0"/>
          <w:bCs/>
        </w:rPr>
      </w:pPr>
      <w:r w:rsidRPr="00544154">
        <w:rPr>
          <w:rFonts w:ascii="Times New Roman" w:hAnsi="Times New Roman"/>
          <w:b w:val="0"/>
        </w:rPr>
        <w:t>CEMAC, Produit Intérieur Brut (Taux de croissance annuelle, en  %)</w:t>
      </w:r>
    </w:p>
    <w:tbl>
      <w:tblPr>
        <w:tblStyle w:val="Tableauclassique1"/>
        <w:tblW w:w="9072" w:type="dxa"/>
        <w:tblLook w:val="04A0" w:firstRow="1" w:lastRow="0" w:firstColumn="1" w:lastColumn="0" w:noHBand="0" w:noVBand="1"/>
      </w:tblPr>
      <w:tblGrid>
        <w:gridCol w:w="4017"/>
        <w:gridCol w:w="799"/>
        <w:gridCol w:w="701"/>
        <w:gridCol w:w="701"/>
        <w:gridCol w:w="576"/>
        <w:gridCol w:w="836"/>
        <w:gridCol w:w="700"/>
        <w:gridCol w:w="748"/>
      </w:tblGrid>
      <w:tr w:rsidR="00BD3B9B" w:rsidRPr="00544154" w:rsidTr="002E7809">
        <w:trPr>
          <w:cnfStyle w:val="100000000000" w:firstRow="1" w:lastRow="0" w:firstColumn="0" w:lastColumn="0" w:oddVBand="0" w:evenVBand="0" w:oddHBand="0"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Agrégats</w:t>
            </w:r>
          </w:p>
        </w:tc>
        <w:tc>
          <w:tcPr>
            <w:tcW w:w="799"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2010</w:t>
            </w:r>
          </w:p>
        </w:tc>
        <w:tc>
          <w:tcPr>
            <w:tcW w:w="701"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2011</w:t>
            </w:r>
          </w:p>
        </w:tc>
        <w:tc>
          <w:tcPr>
            <w:tcW w:w="701"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2012</w:t>
            </w:r>
          </w:p>
        </w:tc>
        <w:tc>
          <w:tcPr>
            <w:tcW w:w="57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2013</w:t>
            </w:r>
          </w:p>
        </w:tc>
        <w:tc>
          <w:tcPr>
            <w:tcW w:w="83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2014 </w:t>
            </w:r>
          </w:p>
        </w:tc>
        <w:tc>
          <w:tcPr>
            <w:tcW w:w="70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2015 </w:t>
            </w:r>
          </w:p>
        </w:tc>
        <w:tc>
          <w:tcPr>
            <w:tcW w:w="748"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2016</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Secteur primaire</w:t>
            </w:r>
          </w:p>
        </w:tc>
        <w:tc>
          <w:tcPr>
            <w:tcW w:w="79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4,2</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-3,3</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w:t>
            </w:r>
          </w:p>
        </w:tc>
        <w:tc>
          <w:tcPr>
            <w:tcW w:w="57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-5,9</w:t>
            </w:r>
          </w:p>
        </w:tc>
        <w:tc>
          <w:tcPr>
            <w:tcW w:w="83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4,1</w:t>
            </w:r>
          </w:p>
        </w:tc>
        <w:tc>
          <w:tcPr>
            <w:tcW w:w="7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2,9</w:t>
            </w:r>
          </w:p>
        </w:tc>
        <w:tc>
          <w:tcPr>
            <w:tcW w:w="748"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-1,0</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Agriculture, Élevage, Chasse et Pêche</w:t>
            </w:r>
          </w:p>
        </w:tc>
        <w:tc>
          <w:tcPr>
            <w:tcW w:w="79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18,1</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-3,7</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10,0</w:t>
            </w:r>
          </w:p>
        </w:tc>
        <w:tc>
          <w:tcPr>
            <w:tcW w:w="57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w:t>
            </w:r>
          </w:p>
        </w:tc>
        <w:tc>
          <w:tcPr>
            <w:tcW w:w="83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5,4</w:t>
            </w:r>
          </w:p>
        </w:tc>
        <w:tc>
          <w:tcPr>
            <w:tcW w:w="7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2,2</w:t>
            </w:r>
          </w:p>
        </w:tc>
        <w:tc>
          <w:tcPr>
            <w:tcW w:w="748"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5,0</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Sylviculture </w:t>
            </w:r>
          </w:p>
        </w:tc>
        <w:tc>
          <w:tcPr>
            <w:tcW w:w="79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18,5</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2,9</w:t>
            </w:r>
          </w:p>
        </w:tc>
        <w:tc>
          <w:tcPr>
            <w:tcW w:w="57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-3,4</w:t>
            </w:r>
          </w:p>
        </w:tc>
        <w:tc>
          <w:tcPr>
            <w:tcW w:w="83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12,8</w:t>
            </w:r>
          </w:p>
        </w:tc>
        <w:tc>
          <w:tcPr>
            <w:tcW w:w="7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5,8</w:t>
            </w:r>
          </w:p>
        </w:tc>
        <w:tc>
          <w:tcPr>
            <w:tcW w:w="748"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6,7</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Industries extractives</w:t>
            </w:r>
          </w:p>
        </w:tc>
        <w:tc>
          <w:tcPr>
            <w:tcW w:w="79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-1,7</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-3,2</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w:t>
            </w:r>
          </w:p>
        </w:tc>
        <w:tc>
          <w:tcPr>
            <w:tcW w:w="57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-8,4</w:t>
            </w:r>
          </w:p>
        </w:tc>
        <w:tc>
          <w:tcPr>
            <w:tcW w:w="83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3,1</w:t>
            </w:r>
          </w:p>
        </w:tc>
        <w:tc>
          <w:tcPr>
            <w:tcW w:w="7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3,2</w:t>
            </w:r>
          </w:p>
        </w:tc>
        <w:tc>
          <w:tcPr>
            <w:tcW w:w="748"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-4,8</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Secteur secondaire</w:t>
            </w:r>
          </w:p>
        </w:tc>
        <w:tc>
          <w:tcPr>
            <w:tcW w:w="79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4,0</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10,6</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6,2</w:t>
            </w:r>
          </w:p>
        </w:tc>
        <w:tc>
          <w:tcPr>
            <w:tcW w:w="57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4,5</w:t>
            </w:r>
          </w:p>
        </w:tc>
        <w:tc>
          <w:tcPr>
            <w:tcW w:w="83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3,6</w:t>
            </w:r>
          </w:p>
        </w:tc>
        <w:tc>
          <w:tcPr>
            <w:tcW w:w="7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-1,0</w:t>
            </w:r>
          </w:p>
        </w:tc>
        <w:tc>
          <w:tcPr>
            <w:tcW w:w="748"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7,5</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Industries manufacturières</w:t>
            </w:r>
          </w:p>
        </w:tc>
        <w:tc>
          <w:tcPr>
            <w:tcW w:w="79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3,6</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4,7</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5,3</w:t>
            </w:r>
          </w:p>
        </w:tc>
        <w:tc>
          <w:tcPr>
            <w:tcW w:w="57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3,0</w:t>
            </w:r>
          </w:p>
        </w:tc>
        <w:tc>
          <w:tcPr>
            <w:tcW w:w="83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5,2</w:t>
            </w:r>
          </w:p>
        </w:tc>
        <w:tc>
          <w:tcPr>
            <w:tcW w:w="7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5,1</w:t>
            </w:r>
          </w:p>
        </w:tc>
        <w:tc>
          <w:tcPr>
            <w:tcW w:w="748"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5,7</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Bâtiments et Travaux Publics</w:t>
            </w:r>
          </w:p>
        </w:tc>
        <w:tc>
          <w:tcPr>
            <w:tcW w:w="79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13,8</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26,4</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14,6</w:t>
            </w:r>
          </w:p>
        </w:tc>
        <w:tc>
          <w:tcPr>
            <w:tcW w:w="57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5,8</w:t>
            </w:r>
          </w:p>
        </w:tc>
        <w:tc>
          <w:tcPr>
            <w:tcW w:w="83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3,2</w:t>
            </w:r>
          </w:p>
        </w:tc>
        <w:tc>
          <w:tcPr>
            <w:tcW w:w="7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-3,4</w:t>
            </w:r>
          </w:p>
        </w:tc>
        <w:tc>
          <w:tcPr>
            <w:tcW w:w="748"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8,2</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Autres</w:t>
            </w:r>
          </w:p>
        </w:tc>
        <w:tc>
          <w:tcPr>
            <w:tcW w:w="79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-0,5</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7,6</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w:t>
            </w:r>
          </w:p>
        </w:tc>
        <w:tc>
          <w:tcPr>
            <w:tcW w:w="57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4,9</w:t>
            </w:r>
          </w:p>
        </w:tc>
        <w:tc>
          <w:tcPr>
            <w:tcW w:w="83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2,4</w:t>
            </w:r>
          </w:p>
        </w:tc>
        <w:tc>
          <w:tcPr>
            <w:tcW w:w="7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-5,6</w:t>
            </w:r>
          </w:p>
        </w:tc>
        <w:tc>
          <w:tcPr>
            <w:tcW w:w="748"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9,0</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Secteur tertiaire</w:t>
            </w:r>
          </w:p>
        </w:tc>
        <w:tc>
          <w:tcPr>
            <w:tcW w:w="79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5,6</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7,8</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6,2</w:t>
            </w:r>
          </w:p>
        </w:tc>
        <w:tc>
          <w:tcPr>
            <w:tcW w:w="57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6,3</w:t>
            </w:r>
          </w:p>
        </w:tc>
        <w:tc>
          <w:tcPr>
            <w:tcW w:w="83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5,9</w:t>
            </w:r>
          </w:p>
        </w:tc>
        <w:tc>
          <w:tcPr>
            <w:tcW w:w="7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4,3</w:t>
            </w:r>
          </w:p>
        </w:tc>
        <w:tc>
          <w:tcPr>
            <w:tcW w:w="748"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3,5</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Services marchands</w:t>
            </w:r>
          </w:p>
        </w:tc>
        <w:tc>
          <w:tcPr>
            <w:tcW w:w="79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6,1</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7,1</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5,6</w:t>
            </w:r>
          </w:p>
        </w:tc>
        <w:tc>
          <w:tcPr>
            <w:tcW w:w="57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5,4</w:t>
            </w:r>
          </w:p>
        </w:tc>
        <w:tc>
          <w:tcPr>
            <w:tcW w:w="83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5,5</w:t>
            </w:r>
          </w:p>
        </w:tc>
        <w:tc>
          <w:tcPr>
            <w:tcW w:w="7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5,6</w:t>
            </w:r>
          </w:p>
        </w:tc>
        <w:tc>
          <w:tcPr>
            <w:tcW w:w="748"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4,2</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Services non marchands</w:t>
            </w:r>
          </w:p>
        </w:tc>
        <w:tc>
          <w:tcPr>
            <w:tcW w:w="79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4,3</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10,1</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8,4</w:t>
            </w:r>
          </w:p>
        </w:tc>
        <w:tc>
          <w:tcPr>
            <w:tcW w:w="57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9,1</w:t>
            </w:r>
          </w:p>
        </w:tc>
        <w:tc>
          <w:tcPr>
            <w:tcW w:w="83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6,9</w:t>
            </w:r>
          </w:p>
        </w:tc>
        <w:tc>
          <w:tcPr>
            <w:tcW w:w="7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0,6</w:t>
            </w:r>
          </w:p>
        </w:tc>
        <w:tc>
          <w:tcPr>
            <w:tcW w:w="748"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1,3</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jc w:val="right"/>
              <w:rPr>
                <w:rFonts w:ascii="Times New Roman" w:hAnsi="Times New Roman"/>
                <w:sz w:val="18"/>
                <w:szCs w:val="18"/>
              </w:rPr>
            </w:pPr>
          </w:p>
        </w:tc>
        <w:tc>
          <w:tcPr>
            <w:tcW w:w="799"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701"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701"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57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36" w:type="dxa"/>
            <w:noWrap/>
            <w:vAlign w:val="center"/>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48"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au coût des facteurs</w:t>
            </w:r>
          </w:p>
        </w:tc>
        <w:tc>
          <w:tcPr>
            <w:tcW w:w="79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4,7</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3,0</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4,4</w:t>
            </w:r>
          </w:p>
        </w:tc>
        <w:tc>
          <w:tcPr>
            <w:tcW w:w="57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0,6</w:t>
            </w:r>
          </w:p>
        </w:tc>
        <w:tc>
          <w:tcPr>
            <w:tcW w:w="83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4,7</w:t>
            </w:r>
          </w:p>
        </w:tc>
        <w:tc>
          <w:tcPr>
            <w:tcW w:w="7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2,6</w:t>
            </w:r>
          </w:p>
        </w:tc>
        <w:tc>
          <w:tcPr>
            <w:tcW w:w="748"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2,5</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Taxes nettes sur les produits</w:t>
            </w:r>
          </w:p>
        </w:tc>
        <w:tc>
          <w:tcPr>
            <w:tcW w:w="79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11,3</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20,2</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26,1</w:t>
            </w:r>
          </w:p>
        </w:tc>
        <w:tc>
          <w:tcPr>
            <w:tcW w:w="57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10,7</w:t>
            </w:r>
          </w:p>
        </w:tc>
        <w:tc>
          <w:tcPr>
            <w:tcW w:w="83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6,6</w:t>
            </w:r>
          </w:p>
        </w:tc>
        <w:tc>
          <w:tcPr>
            <w:tcW w:w="7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4,5</w:t>
            </w:r>
          </w:p>
        </w:tc>
        <w:tc>
          <w:tcPr>
            <w:tcW w:w="748"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5,5</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jc w:val="right"/>
              <w:rPr>
                <w:rFonts w:ascii="Times New Roman" w:hAnsi="Times New Roman"/>
                <w:sz w:val="18"/>
                <w:szCs w:val="18"/>
              </w:rPr>
            </w:pPr>
          </w:p>
        </w:tc>
        <w:tc>
          <w:tcPr>
            <w:tcW w:w="799"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701"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701"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57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36" w:type="dxa"/>
            <w:noWrap/>
            <w:vAlign w:val="center"/>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48"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aux prix constants du marché de 2005</w:t>
            </w:r>
          </w:p>
        </w:tc>
        <w:tc>
          <w:tcPr>
            <w:tcW w:w="79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5,0</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3,9</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5,8</w:t>
            </w:r>
          </w:p>
        </w:tc>
        <w:tc>
          <w:tcPr>
            <w:tcW w:w="57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w:t>
            </w:r>
          </w:p>
        </w:tc>
        <w:tc>
          <w:tcPr>
            <w:tcW w:w="83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4,8</w:t>
            </w:r>
          </w:p>
        </w:tc>
        <w:tc>
          <w:tcPr>
            <w:tcW w:w="7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2,8</w:t>
            </w:r>
          </w:p>
        </w:tc>
        <w:tc>
          <w:tcPr>
            <w:tcW w:w="748"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2,7</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du secteur pétrolier</w:t>
            </w:r>
          </w:p>
        </w:tc>
        <w:tc>
          <w:tcPr>
            <w:tcW w:w="79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-2,9</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-1,7</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w:t>
            </w:r>
          </w:p>
        </w:tc>
        <w:tc>
          <w:tcPr>
            <w:tcW w:w="57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-7,3</w:t>
            </w:r>
          </w:p>
        </w:tc>
        <w:tc>
          <w:tcPr>
            <w:tcW w:w="83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2,7</w:t>
            </w:r>
          </w:p>
        </w:tc>
        <w:tc>
          <w:tcPr>
            <w:tcW w:w="7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0,8</w:t>
            </w:r>
          </w:p>
        </w:tc>
        <w:tc>
          <w:tcPr>
            <w:tcW w:w="748"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-3,1</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1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du secteur non pétrolier</w:t>
            </w:r>
          </w:p>
        </w:tc>
        <w:tc>
          <w:tcPr>
            <w:tcW w:w="79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9,5</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6,8</w:t>
            </w:r>
          </w:p>
        </w:tc>
        <w:tc>
          <w:tcPr>
            <w:tcW w:w="70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9,0</w:t>
            </w:r>
          </w:p>
        </w:tc>
        <w:tc>
          <w:tcPr>
            <w:tcW w:w="57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5,0</w:t>
            </w:r>
          </w:p>
        </w:tc>
        <w:tc>
          <w:tcPr>
            <w:tcW w:w="83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5,6</w:t>
            </w:r>
          </w:p>
        </w:tc>
        <w:tc>
          <w:tcPr>
            <w:tcW w:w="7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3,5</w:t>
            </w:r>
          </w:p>
        </w:tc>
        <w:tc>
          <w:tcPr>
            <w:tcW w:w="748"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4,8</w:t>
            </w:r>
          </w:p>
        </w:tc>
      </w:tr>
    </w:tbl>
    <w:p w:rsidR="00BD3B9B" w:rsidRPr="00544154" w:rsidRDefault="00BD3B9B" w:rsidP="00BD3B9B">
      <w:pPr>
        <w:tabs>
          <w:tab w:val="left" w:pos="5969"/>
          <w:tab w:val="left" w:pos="7023"/>
          <w:tab w:val="left" w:pos="8077"/>
          <w:tab w:val="left" w:pos="9131"/>
        </w:tabs>
        <w:ind w:right="170"/>
        <w:jc w:val="both"/>
        <w:rPr>
          <w:i/>
          <w:snapToGrid w:val="0"/>
          <w:sz w:val="18"/>
          <w:szCs w:val="18"/>
        </w:rPr>
      </w:pPr>
      <w:r w:rsidRPr="00544154">
        <w:rPr>
          <w:i/>
          <w:snapToGrid w:val="0"/>
          <w:sz w:val="18"/>
          <w:szCs w:val="18"/>
          <w:u w:val="single"/>
        </w:rPr>
        <w:t>Sources</w:t>
      </w:r>
      <w:r w:rsidRPr="00544154">
        <w:rPr>
          <w:i/>
          <w:snapToGrid w:val="0"/>
          <w:sz w:val="18"/>
          <w:szCs w:val="18"/>
        </w:rPr>
        <w:t xml:space="preserve"> : Administrations nationales, FMI, BEAC et Commission de la CEMAC.</w:t>
      </w:r>
      <w:r w:rsidRPr="00544154">
        <w:rPr>
          <w:i/>
          <w:snapToGrid w:val="0"/>
          <w:sz w:val="18"/>
          <w:szCs w:val="18"/>
        </w:rPr>
        <w:tab/>
      </w:r>
    </w:p>
    <w:p w:rsidR="00BD3B9B" w:rsidRPr="00544154" w:rsidRDefault="00BD3B9B" w:rsidP="00BD3B9B">
      <w:pPr>
        <w:tabs>
          <w:tab w:val="left" w:pos="5969"/>
          <w:tab w:val="left" w:pos="7023"/>
          <w:tab w:val="left" w:pos="8077"/>
          <w:tab w:val="left" w:pos="9131"/>
        </w:tabs>
        <w:ind w:right="170"/>
        <w:jc w:val="both"/>
        <w:rPr>
          <w:snapToGrid w:val="0"/>
          <w:sz w:val="18"/>
          <w:szCs w:val="18"/>
        </w:rPr>
      </w:pPr>
    </w:p>
    <w:p w:rsidR="00BD3B9B" w:rsidRPr="00544154" w:rsidRDefault="00BD3B9B" w:rsidP="00BD3B9B">
      <w:pPr>
        <w:pStyle w:val="Lgende"/>
        <w:jc w:val="both"/>
        <w:rPr>
          <w:rFonts w:ascii="Times New Roman" w:hAnsi="Times New Roman"/>
          <w:b w:val="0"/>
          <w:bCs/>
        </w:rPr>
      </w:pPr>
      <w:r w:rsidRPr="00544154">
        <w:rPr>
          <w:rFonts w:ascii="Times New Roman" w:hAnsi="Times New Roman"/>
          <w:b w:val="0"/>
        </w:rPr>
        <w:t>CEMAC, Produit Intérieur Brut (Contribution à la croissance, en  %)</w:t>
      </w:r>
    </w:p>
    <w:tbl>
      <w:tblPr>
        <w:tblStyle w:val="Tableauclassique1"/>
        <w:tblW w:w="8942" w:type="dxa"/>
        <w:tblLook w:val="04A0" w:firstRow="1" w:lastRow="0" w:firstColumn="1" w:lastColumn="0" w:noHBand="0" w:noVBand="1"/>
      </w:tblPr>
      <w:tblGrid>
        <w:gridCol w:w="4077"/>
        <w:gridCol w:w="709"/>
        <w:gridCol w:w="708"/>
        <w:gridCol w:w="709"/>
        <w:gridCol w:w="682"/>
        <w:gridCol w:w="682"/>
        <w:gridCol w:w="709"/>
        <w:gridCol w:w="666"/>
      </w:tblGrid>
      <w:tr w:rsidR="00BD3B9B" w:rsidRPr="00544154" w:rsidTr="002E7809">
        <w:trPr>
          <w:cnfStyle w:val="100000000000" w:firstRow="1" w:lastRow="0" w:firstColumn="0" w:lastColumn="0" w:oddVBand="0" w:evenVBand="0" w:oddHBand="0"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Agrégats</w:t>
            </w:r>
          </w:p>
        </w:tc>
        <w:tc>
          <w:tcPr>
            <w:tcW w:w="709"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2010</w:t>
            </w:r>
          </w:p>
        </w:tc>
        <w:tc>
          <w:tcPr>
            <w:tcW w:w="708"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2011</w:t>
            </w:r>
          </w:p>
        </w:tc>
        <w:tc>
          <w:tcPr>
            <w:tcW w:w="709"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2012</w:t>
            </w:r>
          </w:p>
        </w:tc>
        <w:tc>
          <w:tcPr>
            <w:tcW w:w="682"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2013</w:t>
            </w:r>
          </w:p>
        </w:tc>
        <w:tc>
          <w:tcPr>
            <w:tcW w:w="682"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2014 </w:t>
            </w:r>
          </w:p>
        </w:tc>
        <w:tc>
          <w:tcPr>
            <w:tcW w:w="709"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2015 </w:t>
            </w:r>
          </w:p>
        </w:tc>
        <w:tc>
          <w:tcPr>
            <w:tcW w:w="66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2016</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jc w:val="right"/>
              <w:rPr>
                <w:rFonts w:ascii="Times New Roman" w:hAnsi="Times New Roman"/>
                <w:sz w:val="18"/>
                <w:szCs w:val="18"/>
              </w:rPr>
            </w:pPr>
          </w:p>
        </w:tc>
        <w:tc>
          <w:tcPr>
            <w:tcW w:w="709"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708"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Estim.</w:t>
            </w:r>
          </w:p>
        </w:tc>
        <w:tc>
          <w:tcPr>
            <w:tcW w:w="68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Estim.</w:t>
            </w:r>
          </w:p>
        </w:tc>
        <w:tc>
          <w:tcPr>
            <w:tcW w:w="68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Estim.</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Estim.</w:t>
            </w:r>
          </w:p>
        </w:tc>
        <w:tc>
          <w:tcPr>
            <w:tcW w:w="6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Prév.</w:t>
            </w:r>
          </w:p>
        </w:tc>
      </w:tr>
      <w:tr w:rsidR="00BD3B9B" w:rsidRPr="003C1F90"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Secteur primaire</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1,9</w:t>
            </w:r>
          </w:p>
        </w:tc>
        <w:tc>
          <w:tcPr>
            <w:tcW w:w="70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0,9</w:t>
            </w:r>
          </w:p>
        </w:tc>
        <w:tc>
          <w:tcPr>
            <w:tcW w:w="68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w:t>
            </w:r>
          </w:p>
        </w:tc>
        <w:tc>
          <w:tcPr>
            <w:tcW w:w="682"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1,5</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1,1</w:t>
            </w:r>
          </w:p>
        </w:tc>
        <w:tc>
          <w:tcPr>
            <w:tcW w:w="6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-0,4</w:t>
            </w:r>
          </w:p>
        </w:tc>
      </w:tr>
      <w:tr w:rsidR="00BD3B9B" w:rsidRPr="003C1F90"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Agriculture, Élevage, Chasse et Pêche</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2,3</w:t>
            </w:r>
          </w:p>
        </w:tc>
        <w:tc>
          <w:tcPr>
            <w:tcW w:w="70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-0,5</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w:t>
            </w:r>
          </w:p>
        </w:tc>
        <w:tc>
          <w:tcPr>
            <w:tcW w:w="68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-0,2</w:t>
            </w:r>
          </w:p>
        </w:tc>
        <w:tc>
          <w:tcPr>
            <w:tcW w:w="682"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0,7</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0,3</w:t>
            </w:r>
          </w:p>
        </w:tc>
        <w:tc>
          <w:tcPr>
            <w:tcW w:w="6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0,7</w:t>
            </w:r>
          </w:p>
        </w:tc>
      </w:tr>
      <w:tr w:rsidR="00BD3B9B" w:rsidRPr="003C1F90"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Sylviculture </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0,1</w:t>
            </w:r>
          </w:p>
        </w:tc>
        <w:tc>
          <w:tcPr>
            <w:tcW w:w="70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68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682"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0,1</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0,0</w:t>
            </w:r>
          </w:p>
        </w:tc>
        <w:tc>
          <w:tcPr>
            <w:tcW w:w="6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0,1</w:t>
            </w:r>
          </w:p>
        </w:tc>
      </w:tr>
      <w:tr w:rsidR="00BD3B9B" w:rsidRPr="003C1F90"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Industries extractives</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-0,5</w:t>
            </w:r>
          </w:p>
        </w:tc>
        <w:tc>
          <w:tcPr>
            <w:tcW w:w="70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-0,9</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-0,4</w:t>
            </w:r>
          </w:p>
        </w:tc>
        <w:tc>
          <w:tcPr>
            <w:tcW w:w="68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w:t>
            </w:r>
          </w:p>
        </w:tc>
        <w:tc>
          <w:tcPr>
            <w:tcW w:w="682"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0,7</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0,7</w:t>
            </w:r>
          </w:p>
        </w:tc>
        <w:tc>
          <w:tcPr>
            <w:tcW w:w="6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-1,1</w:t>
            </w:r>
          </w:p>
        </w:tc>
      </w:tr>
      <w:tr w:rsidR="00BD3B9B" w:rsidRPr="003C1F90"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Secteur secondaire</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0,7</w:t>
            </w:r>
          </w:p>
        </w:tc>
        <w:tc>
          <w:tcPr>
            <w:tcW w:w="70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w:t>
            </w:r>
          </w:p>
        </w:tc>
        <w:tc>
          <w:tcPr>
            <w:tcW w:w="68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0,8</w:t>
            </w:r>
          </w:p>
        </w:tc>
        <w:tc>
          <w:tcPr>
            <w:tcW w:w="682"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0,7</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-0,2</w:t>
            </w:r>
          </w:p>
        </w:tc>
        <w:tc>
          <w:tcPr>
            <w:tcW w:w="6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1,4</w:t>
            </w:r>
          </w:p>
        </w:tc>
      </w:tr>
      <w:tr w:rsidR="00BD3B9B" w:rsidRPr="003C1F90"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Industries manufacturières</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0,3</w:t>
            </w:r>
          </w:p>
        </w:tc>
        <w:tc>
          <w:tcPr>
            <w:tcW w:w="70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0,3</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0,4</w:t>
            </w:r>
          </w:p>
        </w:tc>
        <w:tc>
          <w:tcPr>
            <w:tcW w:w="68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0,2</w:t>
            </w:r>
          </w:p>
        </w:tc>
        <w:tc>
          <w:tcPr>
            <w:tcW w:w="682"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0,4</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0,4</w:t>
            </w:r>
          </w:p>
        </w:tc>
        <w:tc>
          <w:tcPr>
            <w:tcW w:w="6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0,4</w:t>
            </w:r>
          </w:p>
        </w:tc>
      </w:tr>
      <w:tr w:rsidR="00BD3B9B" w:rsidRPr="003C1F90"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Bâtiments et Travaux Publics</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0,5</w:t>
            </w:r>
          </w:p>
        </w:tc>
        <w:tc>
          <w:tcPr>
            <w:tcW w:w="70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0,7</w:t>
            </w:r>
          </w:p>
        </w:tc>
        <w:tc>
          <w:tcPr>
            <w:tcW w:w="68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0,3</w:t>
            </w:r>
          </w:p>
        </w:tc>
        <w:tc>
          <w:tcPr>
            <w:tcW w:w="682"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0,2</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-0,2</w:t>
            </w:r>
          </w:p>
        </w:tc>
        <w:tc>
          <w:tcPr>
            <w:tcW w:w="6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0,4</w:t>
            </w:r>
          </w:p>
        </w:tc>
      </w:tr>
      <w:tr w:rsidR="00BD3B9B" w:rsidRPr="003C1F90"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Autres</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0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0,5</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0,1</w:t>
            </w:r>
          </w:p>
        </w:tc>
        <w:tc>
          <w:tcPr>
            <w:tcW w:w="68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0,3</w:t>
            </w:r>
          </w:p>
        </w:tc>
        <w:tc>
          <w:tcPr>
            <w:tcW w:w="682"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0,2</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-0,4</w:t>
            </w:r>
          </w:p>
        </w:tc>
        <w:tc>
          <w:tcPr>
            <w:tcW w:w="6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0,6</w:t>
            </w:r>
          </w:p>
        </w:tc>
      </w:tr>
      <w:tr w:rsidR="00BD3B9B" w:rsidRPr="003C1F90"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Secteur tertiaire</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w:t>
            </w:r>
          </w:p>
        </w:tc>
        <w:tc>
          <w:tcPr>
            <w:tcW w:w="70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2,5</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2,1</w:t>
            </w:r>
          </w:p>
        </w:tc>
        <w:tc>
          <w:tcPr>
            <w:tcW w:w="68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2,1</w:t>
            </w:r>
          </w:p>
        </w:tc>
        <w:tc>
          <w:tcPr>
            <w:tcW w:w="682"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2,1</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1,6</w:t>
            </w:r>
          </w:p>
        </w:tc>
        <w:tc>
          <w:tcPr>
            <w:tcW w:w="6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1,3</w:t>
            </w:r>
          </w:p>
        </w:tc>
      </w:tr>
      <w:tr w:rsidR="00BD3B9B" w:rsidRPr="003C1F90"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Services marchands</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w:t>
            </w:r>
          </w:p>
        </w:tc>
        <w:tc>
          <w:tcPr>
            <w:tcW w:w="70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w:t>
            </w:r>
          </w:p>
        </w:tc>
        <w:tc>
          <w:tcPr>
            <w:tcW w:w="68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w:t>
            </w:r>
          </w:p>
        </w:tc>
        <w:tc>
          <w:tcPr>
            <w:tcW w:w="682"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1,5</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1,5</w:t>
            </w:r>
          </w:p>
        </w:tc>
        <w:tc>
          <w:tcPr>
            <w:tcW w:w="6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1,2</w:t>
            </w:r>
          </w:p>
        </w:tc>
      </w:tr>
      <w:tr w:rsidR="00BD3B9B" w:rsidRPr="003C1F90"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Services non marchands</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0,3</w:t>
            </w:r>
          </w:p>
        </w:tc>
        <w:tc>
          <w:tcPr>
            <w:tcW w:w="70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0,8</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0,7</w:t>
            </w:r>
          </w:p>
        </w:tc>
        <w:tc>
          <w:tcPr>
            <w:tcW w:w="68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0,7</w:t>
            </w:r>
          </w:p>
        </w:tc>
        <w:tc>
          <w:tcPr>
            <w:tcW w:w="682"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0,6</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0,1</w:t>
            </w:r>
          </w:p>
        </w:tc>
        <w:tc>
          <w:tcPr>
            <w:tcW w:w="6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0,1</w:t>
            </w:r>
          </w:p>
        </w:tc>
      </w:tr>
      <w:tr w:rsidR="00BD3B9B" w:rsidRPr="003C1F90"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jc w:val="right"/>
              <w:rPr>
                <w:rFonts w:ascii="Times New Roman" w:hAnsi="Times New Roman"/>
                <w:sz w:val="18"/>
                <w:szCs w:val="18"/>
              </w:rPr>
            </w:pPr>
          </w:p>
        </w:tc>
        <w:tc>
          <w:tcPr>
            <w:tcW w:w="709"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708"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709"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682"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682"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6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r>
      <w:tr w:rsidR="00BD3B9B" w:rsidRPr="003C1F90"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au coût des facteurs</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4,4</w:t>
            </w:r>
          </w:p>
        </w:tc>
        <w:tc>
          <w:tcPr>
            <w:tcW w:w="70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2,9</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4,2</w:t>
            </w:r>
          </w:p>
        </w:tc>
        <w:tc>
          <w:tcPr>
            <w:tcW w:w="68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0,6</w:t>
            </w:r>
          </w:p>
        </w:tc>
        <w:tc>
          <w:tcPr>
            <w:tcW w:w="682"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4,3</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2,4</w:t>
            </w:r>
          </w:p>
        </w:tc>
        <w:tc>
          <w:tcPr>
            <w:tcW w:w="6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2,3</w:t>
            </w:r>
          </w:p>
        </w:tc>
      </w:tr>
      <w:tr w:rsidR="00BD3B9B" w:rsidRPr="003C1F90"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Taxes nettes sur les produits</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0,6</w:t>
            </w:r>
          </w:p>
        </w:tc>
        <w:tc>
          <w:tcPr>
            <w:tcW w:w="70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w:t>
            </w:r>
          </w:p>
        </w:tc>
        <w:tc>
          <w:tcPr>
            <w:tcW w:w="68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0,8</w:t>
            </w:r>
          </w:p>
        </w:tc>
        <w:tc>
          <w:tcPr>
            <w:tcW w:w="682"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0,5</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0,4</w:t>
            </w:r>
          </w:p>
        </w:tc>
        <w:tc>
          <w:tcPr>
            <w:tcW w:w="6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0,5</w:t>
            </w:r>
          </w:p>
        </w:tc>
      </w:tr>
      <w:tr w:rsidR="00BD3B9B" w:rsidRPr="003C1F90"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jc w:val="right"/>
              <w:rPr>
                <w:rFonts w:ascii="Times New Roman" w:hAnsi="Times New Roman"/>
                <w:sz w:val="18"/>
                <w:szCs w:val="18"/>
              </w:rPr>
            </w:pPr>
          </w:p>
        </w:tc>
        <w:tc>
          <w:tcPr>
            <w:tcW w:w="709"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708"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709"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682"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682"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6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r>
      <w:tr w:rsidR="00BD3B9B" w:rsidRPr="003C1F90"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aux prix constants du marché de 2005</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5,0</w:t>
            </w:r>
          </w:p>
        </w:tc>
        <w:tc>
          <w:tcPr>
            <w:tcW w:w="70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3,9</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5,8</w:t>
            </w:r>
          </w:p>
        </w:tc>
        <w:tc>
          <w:tcPr>
            <w:tcW w:w="68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w:t>
            </w:r>
          </w:p>
        </w:tc>
        <w:tc>
          <w:tcPr>
            <w:tcW w:w="682"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4,8</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2,8</w:t>
            </w:r>
          </w:p>
        </w:tc>
        <w:tc>
          <w:tcPr>
            <w:tcW w:w="6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2,7</w:t>
            </w:r>
          </w:p>
        </w:tc>
      </w:tr>
      <w:tr w:rsidR="00BD3B9B" w:rsidRPr="003C1F90"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du secteur pétrolier</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w:t>
            </w:r>
          </w:p>
        </w:tc>
        <w:tc>
          <w:tcPr>
            <w:tcW w:w="70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-0,6</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-0,4</w:t>
            </w:r>
          </w:p>
        </w:tc>
        <w:tc>
          <w:tcPr>
            <w:tcW w:w="68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w:t>
            </w:r>
          </w:p>
        </w:tc>
        <w:tc>
          <w:tcPr>
            <w:tcW w:w="682"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0,7</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0,2</w:t>
            </w:r>
          </w:p>
        </w:tc>
        <w:tc>
          <w:tcPr>
            <w:tcW w:w="6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-0,8</w:t>
            </w:r>
          </w:p>
        </w:tc>
      </w:tr>
      <w:tr w:rsidR="00BD3B9B" w:rsidRPr="003C1F90" w:rsidTr="002E7809">
        <w:trPr>
          <w:trHeight w:val="230"/>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du secteur non pétrolier</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6,0</w:t>
            </w:r>
          </w:p>
        </w:tc>
        <w:tc>
          <w:tcPr>
            <w:tcW w:w="70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4,5</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6,1</w:t>
            </w:r>
          </w:p>
        </w:tc>
        <w:tc>
          <w:tcPr>
            <w:tcW w:w="68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3,5</w:t>
            </w:r>
          </w:p>
        </w:tc>
        <w:tc>
          <w:tcPr>
            <w:tcW w:w="682"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4,1</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2,6</w:t>
            </w:r>
          </w:p>
        </w:tc>
        <w:tc>
          <w:tcPr>
            <w:tcW w:w="6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3,5</w:t>
            </w:r>
          </w:p>
        </w:tc>
      </w:tr>
    </w:tbl>
    <w:p w:rsidR="00BD3B9B" w:rsidRPr="00544154" w:rsidRDefault="00BD3B9B" w:rsidP="00BD3B9B">
      <w:pPr>
        <w:pStyle w:val="Lgende"/>
        <w:jc w:val="both"/>
        <w:rPr>
          <w:rFonts w:ascii="Times New Roman" w:hAnsi="Times New Roman"/>
          <w:b w:val="0"/>
          <w:bCs/>
          <w:i/>
          <w:snapToGrid w:val="0"/>
        </w:rPr>
      </w:pPr>
      <w:r w:rsidRPr="00544154">
        <w:rPr>
          <w:rFonts w:ascii="Times New Roman" w:hAnsi="Times New Roman"/>
          <w:b w:val="0"/>
          <w:i/>
          <w:snapToGrid w:val="0"/>
          <w:u w:val="single"/>
        </w:rPr>
        <w:t>Sources</w:t>
      </w:r>
      <w:r w:rsidRPr="00544154">
        <w:rPr>
          <w:rFonts w:ascii="Times New Roman" w:hAnsi="Times New Roman"/>
          <w:b w:val="0"/>
          <w:i/>
          <w:snapToGrid w:val="0"/>
        </w:rPr>
        <w:t xml:space="preserve"> : Administrations nationales, FMI, BEAC et Commission de la CEMAC.</w:t>
      </w:r>
    </w:p>
    <w:p w:rsidR="00BD3B9B" w:rsidRPr="00544154" w:rsidRDefault="00BD3B9B" w:rsidP="00BD3B9B">
      <w:pPr>
        <w:pStyle w:val="Lgende"/>
        <w:jc w:val="both"/>
        <w:rPr>
          <w:rFonts w:ascii="Times New Roman" w:hAnsi="Times New Roman"/>
          <w:b w:val="0"/>
          <w:bCs/>
          <w:snapToGrid w:val="0"/>
        </w:rPr>
      </w:pPr>
      <w:r w:rsidRPr="00544154">
        <w:rPr>
          <w:rFonts w:ascii="Times New Roman" w:hAnsi="Times New Roman"/>
          <w:b w:val="0"/>
          <w:i/>
        </w:rPr>
        <w:br w:type="page"/>
      </w:r>
      <w:r w:rsidRPr="00544154">
        <w:rPr>
          <w:rFonts w:ascii="Times New Roman" w:hAnsi="Times New Roman"/>
          <w:b w:val="0"/>
          <w:snapToGrid w:val="0"/>
        </w:rPr>
        <w:lastRenderedPageBreak/>
        <w:t>CEMAC, Produit Intérieur Brut (structure, en  %)</w:t>
      </w:r>
    </w:p>
    <w:tbl>
      <w:tblPr>
        <w:tblStyle w:val="Tableauclassique1"/>
        <w:tblW w:w="9527" w:type="dxa"/>
        <w:tblLook w:val="04A0" w:firstRow="1" w:lastRow="0" w:firstColumn="1" w:lastColumn="0" w:noHBand="0" w:noVBand="1"/>
      </w:tblPr>
      <w:tblGrid>
        <w:gridCol w:w="3227"/>
        <w:gridCol w:w="880"/>
        <w:gridCol w:w="880"/>
        <w:gridCol w:w="880"/>
        <w:gridCol w:w="880"/>
        <w:gridCol w:w="940"/>
        <w:gridCol w:w="960"/>
        <w:gridCol w:w="880"/>
      </w:tblGrid>
      <w:tr w:rsidR="00BD3B9B" w:rsidRPr="00544154" w:rsidTr="002E7809">
        <w:trPr>
          <w:cnfStyle w:val="100000000000" w:firstRow="1" w:lastRow="0" w:firstColumn="0" w:lastColumn="0" w:oddVBand="0" w:evenVBand="0" w:oddHBand="0"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Agrégats</w:t>
            </w:r>
          </w:p>
        </w:tc>
        <w:tc>
          <w:tcPr>
            <w:tcW w:w="88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2010</w:t>
            </w:r>
          </w:p>
        </w:tc>
        <w:tc>
          <w:tcPr>
            <w:tcW w:w="88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2011</w:t>
            </w:r>
          </w:p>
        </w:tc>
        <w:tc>
          <w:tcPr>
            <w:tcW w:w="88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2012</w:t>
            </w:r>
          </w:p>
        </w:tc>
        <w:tc>
          <w:tcPr>
            <w:tcW w:w="88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2013</w:t>
            </w:r>
          </w:p>
        </w:tc>
        <w:tc>
          <w:tcPr>
            <w:tcW w:w="94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2014 </w:t>
            </w:r>
          </w:p>
        </w:tc>
        <w:tc>
          <w:tcPr>
            <w:tcW w:w="96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2015 </w:t>
            </w:r>
          </w:p>
        </w:tc>
        <w:tc>
          <w:tcPr>
            <w:tcW w:w="88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2016</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jc w:val="right"/>
              <w:rPr>
                <w:rFonts w:ascii="Times New Roman" w:hAnsi="Times New Roman"/>
                <w:sz w:val="18"/>
                <w:szCs w:val="18"/>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Estim.</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Estim.</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Estim.</w:t>
            </w:r>
          </w:p>
        </w:tc>
        <w:tc>
          <w:tcPr>
            <w:tcW w:w="96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Estim.</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Prév.</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Secteur primaire</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49,3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49,9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49,2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45,1 </w:t>
            </w:r>
          </w:p>
        </w:tc>
        <w:tc>
          <w:tcPr>
            <w:tcW w:w="940"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43,2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36,6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32,3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Agriculture, Élevage, Chasse et Pêche</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12,9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11,3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11,6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11,9 </w:t>
            </w:r>
          </w:p>
        </w:tc>
        <w:tc>
          <w:tcPr>
            <w:tcW w:w="940"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12,4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14,6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16,1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Sylviculture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0,9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0,8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0,8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0,7 </w:t>
            </w:r>
          </w:p>
        </w:tc>
        <w:tc>
          <w:tcPr>
            <w:tcW w:w="940"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0,7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0,9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1,0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Industries extractives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35,6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37,9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36,8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32,5 </w:t>
            </w:r>
          </w:p>
        </w:tc>
        <w:tc>
          <w:tcPr>
            <w:tcW w:w="940"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30,1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21,1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15,2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Secteur secondaire</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17,7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18,6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19,3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20,4 </w:t>
            </w:r>
          </w:p>
        </w:tc>
        <w:tc>
          <w:tcPr>
            <w:tcW w:w="940"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20,3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20,3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21,5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Industries manufacturières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6,3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5,6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5,7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6,0 </w:t>
            </w:r>
          </w:p>
        </w:tc>
        <w:tc>
          <w:tcPr>
            <w:tcW w:w="940"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6,3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7,4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8,0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Bâtiments et Travaux Publics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4,4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4,9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5,4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6,1 </w:t>
            </w:r>
          </w:p>
        </w:tc>
        <w:tc>
          <w:tcPr>
            <w:tcW w:w="940"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6,3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7,0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7,8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Autres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7,0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8,1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8,2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8,3 </w:t>
            </w:r>
          </w:p>
        </w:tc>
        <w:tc>
          <w:tcPr>
            <w:tcW w:w="940"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7,7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5,9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5,6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Secteur tertiaire</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28,5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27,1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27,2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29,8 </w:t>
            </w:r>
          </w:p>
        </w:tc>
        <w:tc>
          <w:tcPr>
            <w:tcW w:w="940"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31,5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37,3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39,8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Services marchands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21,5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20,4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20,3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22,1 </w:t>
            </w:r>
          </w:p>
        </w:tc>
        <w:tc>
          <w:tcPr>
            <w:tcW w:w="940"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23,4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28,2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30,4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Services non marchands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7,0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6,6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6,8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7,7 </w:t>
            </w:r>
          </w:p>
        </w:tc>
        <w:tc>
          <w:tcPr>
            <w:tcW w:w="940"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8,1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9,1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9,4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jc w:val="right"/>
              <w:rPr>
                <w:rFonts w:ascii="Times New Roman" w:hAnsi="Times New Roman"/>
                <w:sz w:val="18"/>
                <w:szCs w:val="18"/>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au coût des facteurs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95,5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95,7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95,7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95,3 </w:t>
            </w:r>
          </w:p>
        </w:tc>
        <w:tc>
          <w:tcPr>
            <w:tcW w:w="940"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94,9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94,2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93,6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Taxes nettes sur les produits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4,5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4,3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4,3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4,7 </w:t>
            </w:r>
          </w:p>
        </w:tc>
        <w:tc>
          <w:tcPr>
            <w:tcW w:w="940"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5,1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5,8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6,4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jc w:val="right"/>
              <w:rPr>
                <w:rFonts w:ascii="Times New Roman" w:hAnsi="Times New Roman"/>
                <w:sz w:val="18"/>
                <w:szCs w:val="18"/>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aux prix courants du marché</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100,0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100,0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100,0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100,0 </w:t>
            </w:r>
          </w:p>
        </w:tc>
        <w:tc>
          <w:tcPr>
            <w:tcW w:w="940"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100,0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100,0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100,0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du secteur pétrolier</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40,0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43,7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42,8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38,3 </w:t>
            </w:r>
          </w:p>
        </w:tc>
        <w:tc>
          <w:tcPr>
            <w:tcW w:w="940"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35,4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24,2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17,3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du secteur non pétrolier</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60,0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56,3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57,2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61,7 </w:t>
            </w:r>
          </w:p>
        </w:tc>
        <w:tc>
          <w:tcPr>
            <w:tcW w:w="940" w:type="dxa"/>
            <w:noWrap/>
            <w:vAlign w:val="bottom"/>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64,6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75,8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82,7 </w:t>
            </w:r>
          </w:p>
        </w:tc>
      </w:tr>
    </w:tbl>
    <w:p w:rsidR="00BD3B9B" w:rsidRPr="00544154" w:rsidRDefault="00BD3B9B" w:rsidP="00BD3B9B">
      <w:pPr>
        <w:jc w:val="both"/>
        <w:rPr>
          <w:i/>
          <w:snapToGrid w:val="0"/>
          <w:sz w:val="18"/>
          <w:szCs w:val="18"/>
        </w:rPr>
      </w:pPr>
      <w:r w:rsidRPr="00544154">
        <w:rPr>
          <w:i/>
          <w:snapToGrid w:val="0"/>
          <w:sz w:val="18"/>
          <w:szCs w:val="18"/>
          <w:u w:val="single"/>
        </w:rPr>
        <w:t>Sources</w:t>
      </w:r>
      <w:r w:rsidRPr="00544154">
        <w:rPr>
          <w:i/>
          <w:snapToGrid w:val="0"/>
          <w:sz w:val="18"/>
          <w:szCs w:val="18"/>
        </w:rPr>
        <w:t xml:space="preserve"> : Administrations nationales, FMI, BEAC et Commission de la CEMAC.</w:t>
      </w:r>
    </w:p>
    <w:p w:rsidR="00BD3B9B" w:rsidRPr="00544154" w:rsidRDefault="00BD3B9B" w:rsidP="00BD3B9B">
      <w:pPr>
        <w:jc w:val="both"/>
        <w:rPr>
          <w:sz w:val="18"/>
          <w:szCs w:val="18"/>
        </w:rPr>
      </w:pPr>
    </w:p>
    <w:p w:rsidR="00BD3B9B" w:rsidRPr="00544154" w:rsidRDefault="00BD3B9B" w:rsidP="00BD3B9B">
      <w:pPr>
        <w:pStyle w:val="Lgende"/>
        <w:jc w:val="both"/>
        <w:rPr>
          <w:rFonts w:ascii="Times New Roman" w:hAnsi="Times New Roman"/>
          <w:b w:val="0"/>
          <w:bCs/>
        </w:rPr>
      </w:pPr>
      <w:r w:rsidRPr="00544154">
        <w:rPr>
          <w:rFonts w:ascii="Times New Roman" w:hAnsi="Times New Roman"/>
          <w:b w:val="0"/>
        </w:rPr>
        <w:t>CEMAC, Ressources et Emplois (Taux de croissance annuelle, en  %)</w:t>
      </w:r>
    </w:p>
    <w:tbl>
      <w:tblPr>
        <w:tblStyle w:val="Tableauclassique1"/>
        <w:tblW w:w="9819" w:type="dxa"/>
        <w:tblLook w:val="04A0" w:firstRow="1" w:lastRow="0" w:firstColumn="1" w:lastColumn="0" w:noHBand="0" w:noVBand="1"/>
      </w:tblPr>
      <w:tblGrid>
        <w:gridCol w:w="3227"/>
        <w:gridCol w:w="850"/>
        <w:gridCol w:w="851"/>
        <w:gridCol w:w="1016"/>
        <w:gridCol w:w="827"/>
        <w:gridCol w:w="1116"/>
        <w:gridCol w:w="1016"/>
        <w:gridCol w:w="916"/>
      </w:tblGrid>
      <w:tr w:rsidR="00BD3B9B" w:rsidRPr="00544154" w:rsidTr="002E7809">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Agrégats</w:t>
            </w:r>
          </w:p>
        </w:tc>
        <w:tc>
          <w:tcPr>
            <w:tcW w:w="85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2010</w:t>
            </w:r>
          </w:p>
        </w:tc>
        <w:tc>
          <w:tcPr>
            <w:tcW w:w="851"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2011</w:t>
            </w:r>
          </w:p>
        </w:tc>
        <w:tc>
          <w:tcPr>
            <w:tcW w:w="101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2012</w:t>
            </w:r>
          </w:p>
        </w:tc>
        <w:tc>
          <w:tcPr>
            <w:tcW w:w="827"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2013</w:t>
            </w:r>
          </w:p>
        </w:tc>
        <w:tc>
          <w:tcPr>
            <w:tcW w:w="111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2014</w:t>
            </w:r>
          </w:p>
        </w:tc>
        <w:tc>
          <w:tcPr>
            <w:tcW w:w="101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 xml:space="preserve">2015 </w:t>
            </w:r>
          </w:p>
        </w:tc>
        <w:tc>
          <w:tcPr>
            <w:tcW w:w="91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2016</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jc w:val="right"/>
              <w:rPr>
                <w:rFonts w:ascii="Times New Roman" w:hAnsi="Times New Roman"/>
                <w:sz w:val="20"/>
                <w:szCs w:val="20"/>
              </w:rPr>
            </w:pP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0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Estim.</w:t>
            </w:r>
          </w:p>
        </w:tc>
        <w:tc>
          <w:tcPr>
            <w:tcW w:w="82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Estim.</w:t>
            </w:r>
          </w:p>
        </w:tc>
        <w:tc>
          <w:tcPr>
            <w:tcW w:w="11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Estim.</w:t>
            </w:r>
          </w:p>
        </w:tc>
        <w:tc>
          <w:tcPr>
            <w:tcW w:w="10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Estim.</w:t>
            </w:r>
          </w:p>
        </w:tc>
        <w:tc>
          <w:tcPr>
            <w:tcW w:w="9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Prév.</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PRODUIT INTÉRIEUR BRUT</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5,0</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3,9</w:t>
            </w:r>
          </w:p>
        </w:tc>
        <w:tc>
          <w:tcPr>
            <w:tcW w:w="10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5,8</w:t>
            </w:r>
          </w:p>
        </w:tc>
        <w:tc>
          <w:tcPr>
            <w:tcW w:w="82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1,3</w:t>
            </w:r>
          </w:p>
        </w:tc>
        <w:tc>
          <w:tcPr>
            <w:tcW w:w="11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4,8</w:t>
            </w:r>
          </w:p>
        </w:tc>
        <w:tc>
          <w:tcPr>
            <w:tcW w:w="10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2,8</w:t>
            </w:r>
          </w:p>
        </w:tc>
        <w:tc>
          <w:tcPr>
            <w:tcW w:w="9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2,7</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DÉPENSES INTÉRIEURES BRUTES</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10,7</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4,2</w:t>
            </w:r>
          </w:p>
        </w:tc>
        <w:tc>
          <w:tcPr>
            <w:tcW w:w="10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10,4</w:t>
            </w:r>
          </w:p>
        </w:tc>
        <w:tc>
          <w:tcPr>
            <w:tcW w:w="82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-0,3</w:t>
            </w:r>
          </w:p>
        </w:tc>
        <w:tc>
          <w:tcPr>
            <w:tcW w:w="11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4,3</w:t>
            </w:r>
          </w:p>
        </w:tc>
        <w:tc>
          <w:tcPr>
            <w:tcW w:w="10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-4,1</w:t>
            </w:r>
          </w:p>
        </w:tc>
        <w:tc>
          <w:tcPr>
            <w:tcW w:w="9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-2,7</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Consommation</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12,5</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4,5</w:t>
            </w:r>
          </w:p>
        </w:tc>
        <w:tc>
          <w:tcPr>
            <w:tcW w:w="10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7,9</w:t>
            </w:r>
          </w:p>
        </w:tc>
        <w:tc>
          <w:tcPr>
            <w:tcW w:w="82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3,8</w:t>
            </w:r>
          </w:p>
        </w:tc>
        <w:tc>
          <w:tcPr>
            <w:tcW w:w="11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3,5</w:t>
            </w:r>
          </w:p>
        </w:tc>
        <w:tc>
          <w:tcPr>
            <w:tcW w:w="10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-3,6</w:t>
            </w:r>
          </w:p>
        </w:tc>
        <w:tc>
          <w:tcPr>
            <w:tcW w:w="9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0,4</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Publique (État)</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5,6</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4,5</w:t>
            </w:r>
          </w:p>
        </w:tc>
        <w:tc>
          <w:tcPr>
            <w:tcW w:w="10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16,4</w:t>
            </w:r>
          </w:p>
        </w:tc>
        <w:tc>
          <w:tcPr>
            <w:tcW w:w="82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14,1</w:t>
            </w:r>
          </w:p>
        </w:tc>
        <w:tc>
          <w:tcPr>
            <w:tcW w:w="11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0,4</w:t>
            </w:r>
          </w:p>
        </w:tc>
        <w:tc>
          <w:tcPr>
            <w:tcW w:w="10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-7,5</w:t>
            </w:r>
          </w:p>
        </w:tc>
        <w:tc>
          <w:tcPr>
            <w:tcW w:w="9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7,4</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Privée</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13,6</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4,6</w:t>
            </w:r>
          </w:p>
        </w:tc>
        <w:tc>
          <w:tcPr>
            <w:tcW w:w="10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6,7</w:t>
            </w:r>
          </w:p>
        </w:tc>
        <w:tc>
          <w:tcPr>
            <w:tcW w:w="82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2,1</w:t>
            </w:r>
          </w:p>
        </w:tc>
        <w:tc>
          <w:tcPr>
            <w:tcW w:w="11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4,1</w:t>
            </w:r>
          </w:p>
        </w:tc>
        <w:tc>
          <w:tcPr>
            <w:tcW w:w="10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-2,9</w:t>
            </w:r>
          </w:p>
        </w:tc>
        <w:tc>
          <w:tcPr>
            <w:tcW w:w="9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-0,7</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Investissements bruts</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6,0</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3,1</w:t>
            </w:r>
          </w:p>
        </w:tc>
        <w:tc>
          <w:tcPr>
            <w:tcW w:w="10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17,5</w:t>
            </w:r>
          </w:p>
        </w:tc>
        <w:tc>
          <w:tcPr>
            <w:tcW w:w="82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-11,0</w:t>
            </w:r>
          </w:p>
        </w:tc>
        <w:tc>
          <w:tcPr>
            <w:tcW w:w="11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6,5</w:t>
            </w:r>
          </w:p>
        </w:tc>
        <w:tc>
          <w:tcPr>
            <w:tcW w:w="10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-5,3</w:t>
            </w:r>
          </w:p>
        </w:tc>
        <w:tc>
          <w:tcPr>
            <w:tcW w:w="9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-11,1</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Formation brute de capital fixe</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10,1</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5,0</w:t>
            </w:r>
          </w:p>
        </w:tc>
        <w:tc>
          <w:tcPr>
            <w:tcW w:w="10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16,5</w:t>
            </w:r>
          </w:p>
        </w:tc>
        <w:tc>
          <w:tcPr>
            <w:tcW w:w="82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-10,9</w:t>
            </w:r>
          </w:p>
        </w:tc>
        <w:tc>
          <w:tcPr>
            <w:tcW w:w="11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6,1</w:t>
            </w:r>
          </w:p>
        </w:tc>
        <w:tc>
          <w:tcPr>
            <w:tcW w:w="10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-4,9</w:t>
            </w:r>
          </w:p>
        </w:tc>
        <w:tc>
          <w:tcPr>
            <w:tcW w:w="9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-11,1</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Publique (Etat et Ad. Publiques)</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-1,6</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14,2</w:t>
            </w:r>
          </w:p>
        </w:tc>
        <w:tc>
          <w:tcPr>
            <w:tcW w:w="10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32,1</w:t>
            </w:r>
          </w:p>
        </w:tc>
        <w:tc>
          <w:tcPr>
            <w:tcW w:w="82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-17,8</w:t>
            </w:r>
          </w:p>
        </w:tc>
        <w:tc>
          <w:tcPr>
            <w:tcW w:w="11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-9,0</w:t>
            </w:r>
          </w:p>
        </w:tc>
        <w:tc>
          <w:tcPr>
            <w:tcW w:w="10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-25,7</w:t>
            </w:r>
          </w:p>
        </w:tc>
        <w:tc>
          <w:tcPr>
            <w:tcW w:w="9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17,2</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Privée (Entreprises et ménages)</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16,9</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0,5</w:t>
            </w:r>
          </w:p>
        </w:tc>
        <w:tc>
          <w:tcPr>
            <w:tcW w:w="10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7,9</w:t>
            </w:r>
          </w:p>
        </w:tc>
        <w:tc>
          <w:tcPr>
            <w:tcW w:w="82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-6,2</w:t>
            </w:r>
          </w:p>
        </w:tc>
        <w:tc>
          <w:tcPr>
            <w:tcW w:w="11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13,6</w:t>
            </w:r>
          </w:p>
        </w:tc>
        <w:tc>
          <w:tcPr>
            <w:tcW w:w="10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3,3</w:t>
            </w:r>
          </w:p>
        </w:tc>
        <w:tc>
          <w:tcPr>
            <w:tcW w:w="9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-19,1</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Secteur pétrolier</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21,7</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-2,4</w:t>
            </w:r>
          </w:p>
        </w:tc>
        <w:tc>
          <w:tcPr>
            <w:tcW w:w="10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7,3</w:t>
            </w:r>
          </w:p>
        </w:tc>
        <w:tc>
          <w:tcPr>
            <w:tcW w:w="82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-19,4</w:t>
            </w:r>
          </w:p>
        </w:tc>
        <w:tc>
          <w:tcPr>
            <w:tcW w:w="11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10,4</w:t>
            </w:r>
          </w:p>
        </w:tc>
        <w:tc>
          <w:tcPr>
            <w:tcW w:w="10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-2,1</w:t>
            </w:r>
          </w:p>
        </w:tc>
        <w:tc>
          <w:tcPr>
            <w:tcW w:w="9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-44,6</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Secteur non pétrolier</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11,9</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3,7</w:t>
            </w:r>
          </w:p>
        </w:tc>
        <w:tc>
          <w:tcPr>
            <w:tcW w:w="10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8,4</w:t>
            </w:r>
          </w:p>
        </w:tc>
        <w:tc>
          <w:tcPr>
            <w:tcW w:w="82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7,4</w:t>
            </w:r>
          </w:p>
        </w:tc>
        <w:tc>
          <w:tcPr>
            <w:tcW w:w="11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17,2</w:t>
            </w:r>
          </w:p>
        </w:tc>
        <w:tc>
          <w:tcPr>
            <w:tcW w:w="10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9,2</w:t>
            </w:r>
          </w:p>
        </w:tc>
        <w:tc>
          <w:tcPr>
            <w:tcW w:w="9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5,8</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Variations des stocks</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-70,2</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-127,0</w:t>
            </w:r>
          </w:p>
        </w:tc>
        <w:tc>
          <w:tcPr>
            <w:tcW w:w="10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-254,6</w:t>
            </w:r>
          </w:p>
        </w:tc>
        <w:tc>
          <w:tcPr>
            <w:tcW w:w="82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-34,5</w:t>
            </w:r>
          </w:p>
        </w:tc>
        <w:tc>
          <w:tcPr>
            <w:tcW w:w="11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127,6</w:t>
            </w:r>
          </w:p>
        </w:tc>
        <w:tc>
          <w:tcPr>
            <w:tcW w:w="10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-74,1</w:t>
            </w:r>
          </w:p>
        </w:tc>
        <w:tc>
          <w:tcPr>
            <w:tcW w:w="9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-0,6</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EXPORTATIONS NETTES</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168,7</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6,6</w:t>
            </w:r>
          </w:p>
        </w:tc>
        <w:tc>
          <w:tcPr>
            <w:tcW w:w="10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59,0</w:t>
            </w:r>
          </w:p>
        </w:tc>
        <w:tc>
          <w:tcPr>
            <w:tcW w:w="82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-11,5</w:t>
            </w:r>
          </w:p>
        </w:tc>
        <w:tc>
          <w:tcPr>
            <w:tcW w:w="11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1,2</w:t>
            </w:r>
          </w:p>
        </w:tc>
        <w:tc>
          <w:tcPr>
            <w:tcW w:w="10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-44,9</w:t>
            </w:r>
          </w:p>
        </w:tc>
        <w:tc>
          <w:tcPr>
            <w:tcW w:w="9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-62,4</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Exportations de biens et services non-facteurs</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-2,8</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0,5</w:t>
            </w:r>
          </w:p>
        </w:tc>
        <w:tc>
          <w:tcPr>
            <w:tcW w:w="10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-3,6</w:t>
            </w:r>
          </w:p>
        </w:tc>
        <w:tc>
          <w:tcPr>
            <w:tcW w:w="82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-3,6</w:t>
            </w:r>
          </w:p>
        </w:tc>
        <w:tc>
          <w:tcPr>
            <w:tcW w:w="11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2,4</w:t>
            </w:r>
          </w:p>
        </w:tc>
        <w:tc>
          <w:tcPr>
            <w:tcW w:w="10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4,9</w:t>
            </w:r>
          </w:p>
        </w:tc>
        <w:tc>
          <w:tcPr>
            <w:tcW w:w="9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7,0</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Importations de biens et services non-facteurs</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10,7</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1,6</w:t>
            </w:r>
          </w:p>
        </w:tc>
        <w:tc>
          <w:tcPr>
            <w:tcW w:w="10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8,9</w:t>
            </w:r>
          </w:p>
        </w:tc>
        <w:tc>
          <w:tcPr>
            <w:tcW w:w="82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-5,9</w:t>
            </w:r>
          </w:p>
        </w:tc>
        <w:tc>
          <w:tcPr>
            <w:tcW w:w="111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2,0</w:t>
            </w:r>
          </w:p>
        </w:tc>
        <w:tc>
          <w:tcPr>
            <w:tcW w:w="10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-12,1</w:t>
            </w:r>
          </w:p>
        </w:tc>
        <w:tc>
          <w:tcPr>
            <w:tcW w:w="91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-7,9</w:t>
            </w:r>
          </w:p>
        </w:tc>
      </w:tr>
    </w:tbl>
    <w:p w:rsidR="00BD3B9B" w:rsidRPr="00544154" w:rsidRDefault="00BD3B9B" w:rsidP="00BD3B9B">
      <w:pPr>
        <w:jc w:val="both"/>
        <w:rPr>
          <w:i/>
          <w:sz w:val="18"/>
          <w:szCs w:val="18"/>
        </w:rPr>
      </w:pPr>
      <w:r w:rsidRPr="00544154">
        <w:rPr>
          <w:i/>
          <w:snapToGrid w:val="0"/>
          <w:sz w:val="18"/>
          <w:szCs w:val="18"/>
          <w:u w:val="single"/>
        </w:rPr>
        <w:t>Sources</w:t>
      </w:r>
      <w:r w:rsidRPr="00544154">
        <w:rPr>
          <w:i/>
          <w:snapToGrid w:val="0"/>
          <w:sz w:val="18"/>
          <w:szCs w:val="18"/>
        </w:rPr>
        <w:t xml:space="preserve"> : Administrations nationales, FMI, BEAC et Commission de la CEMAC.</w:t>
      </w:r>
    </w:p>
    <w:p w:rsidR="00BD3B9B" w:rsidRPr="00544154" w:rsidRDefault="00BD3B9B" w:rsidP="00BD3B9B">
      <w:pPr>
        <w:pStyle w:val="Lgende"/>
        <w:jc w:val="both"/>
        <w:rPr>
          <w:rFonts w:ascii="Times New Roman" w:hAnsi="Times New Roman"/>
          <w:b w:val="0"/>
          <w:bCs/>
        </w:rPr>
      </w:pPr>
      <w:r w:rsidRPr="00544154">
        <w:rPr>
          <w:rFonts w:ascii="Times New Roman" w:hAnsi="Times New Roman"/>
        </w:rPr>
        <w:br w:type="page"/>
      </w:r>
      <w:r w:rsidRPr="00544154">
        <w:rPr>
          <w:rFonts w:ascii="Times New Roman" w:hAnsi="Times New Roman"/>
          <w:b w:val="0"/>
        </w:rPr>
        <w:lastRenderedPageBreak/>
        <w:t>CEMAC, Ressources et Emplois (Contribution à la croissance, en  %)</w:t>
      </w:r>
    </w:p>
    <w:tbl>
      <w:tblPr>
        <w:tblStyle w:val="Tableauclassique1"/>
        <w:tblW w:w="9039" w:type="dxa"/>
        <w:tblLook w:val="04A0" w:firstRow="1" w:lastRow="0" w:firstColumn="1" w:lastColumn="0" w:noHBand="0" w:noVBand="1"/>
      </w:tblPr>
      <w:tblGrid>
        <w:gridCol w:w="3905"/>
        <w:gridCol w:w="739"/>
        <w:gridCol w:w="709"/>
        <w:gridCol w:w="709"/>
        <w:gridCol w:w="850"/>
        <w:gridCol w:w="709"/>
        <w:gridCol w:w="709"/>
        <w:gridCol w:w="709"/>
      </w:tblGrid>
      <w:tr w:rsidR="00BD3B9B" w:rsidRPr="00544154" w:rsidTr="002E7809">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905"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Agrégats</w:t>
            </w:r>
          </w:p>
        </w:tc>
        <w:tc>
          <w:tcPr>
            <w:tcW w:w="739"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2010</w:t>
            </w:r>
          </w:p>
        </w:tc>
        <w:tc>
          <w:tcPr>
            <w:tcW w:w="709"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2011</w:t>
            </w:r>
          </w:p>
        </w:tc>
        <w:tc>
          <w:tcPr>
            <w:tcW w:w="709"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2012</w:t>
            </w:r>
          </w:p>
        </w:tc>
        <w:tc>
          <w:tcPr>
            <w:tcW w:w="85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2013</w:t>
            </w:r>
          </w:p>
        </w:tc>
        <w:tc>
          <w:tcPr>
            <w:tcW w:w="709"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2014</w:t>
            </w:r>
          </w:p>
        </w:tc>
        <w:tc>
          <w:tcPr>
            <w:tcW w:w="709"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2015</w:t>
            </w:r>
          </w:p>
        </w:tc>
        <w:tc>
          <w:tcPr>
            <w:tcW w:w="709"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2016</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05" w:type="dxa"/>
            <w:noWrap/>
            <w:hideMark/>
          </w:tcPr>
          <w:p w:rsidR="00BD3B9B" w:rsidRPr="00544154" w:rsidRDefault="00BD3B9B" w:rsidP="002E7809">
            <w:pPr>
              <w:ind w:firstLine="0"/>
              <w:rPr>
                <w:rFonts w:ascii="Times New Roman" w:hAnsi="Times New Roman"/>
                <w:sz w:val="18"/>
                <w:szCs w:val="20"/>
              </w:rPr>
            </w:pPr>
          </w:p>
        </w:tc>
        <w:tc>
          <w:tcPr>
            <w:tcW w:w="739"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c>
          <w:tcPr>
            <w:tcW w:w="709"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c>
          <w:tcPr>
            <w:tcW w:w="709"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Estim.</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Estim.</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Estim.</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Prév. Rév.</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Prév.</w:t>
            </w:r>
          </w:p>
        </w:tc>
      </w:tr>
      <w:tr w:rsidR="00BD3B9B" w:rsidRPr="003C1F90" w:rsidTr="002E7809">
        <w:trPr>
          <w:trHeight w:val="260"/>
        </w:trPr>
        <w:tc>
          <w:tcPr>
            <w:cnfStyle w:val="001000000000" w:firstRow="0" w:lastRow="0" w:firstColumn="1" w:lastColumn="0" w:oddVBand="0" w:evenVBand="0" w:oddHBand="0" w:evenHBand="0" w:firstRowFirstColumn="0" w:firstRowLastColumn="0" w:lastRowFirstColumn="0" w:lastRowLastColumn="0"/>
            <w:tcW w:w="3905"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PRODUIT INTÉRIEUR BRUT</w:t>
            </w:r>
          </w:p>
        </w:tc>
        <w:tc>
          <w:tcPr>
            <w:tcW w:w="73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5,0</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3,9</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5,8</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4,8</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2,8</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2,7</w:t>
            </w:r>
          </w:p>
        </w:tc>
      </w:tr>
      <w:tr w:rsidR="00BD3B9B" w:rsidRPr="003C1F90" w:rsidTr="002E7809">
        <w:trPr>
          <w:trHeight w:val="260"/>
        </w:trPr>
        <w:tc>
          <w:tcPr>
            <w:cnfStyle w:val="001000000000" w:firstRow="0" w:lastRow="0" w:firstColumn="1" w:lastColumn="0" w:oddVBand="0" w:evenVBand="0" w:oddHBand="0" w:evenHBand="0" w:firstRowFirstColumn="0" w:firstRowLastColumn="0" w:lastRowFirstColumn="0" w:lastRowLastColumn="0"/>
            <w:tcW w:w="3905"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INTÉRIEURES BRUTES</w:t>
            </w:r>
          </w:p>
        </w:tc>
        <w:tc>
          <w:tcPr>
            <w:tcW w:w="73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11,1</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4,6</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11,4</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4,6</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5,1</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-4,7</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-2,9</w:t>
            </w:r>
          </w:p>
        </w:tc>
      </w:tr>
      <w:tr w:rsidR="00BD3B9B" w:rsidRPr="003C1F90" w:rsidTr="002E7809">
        <w:trPr>
          <w:trHeight w:val="260"/>
        </w:trPr>
        <w:tc>
          <w:tcPr>
            <w:cnfStyle w:val="001000000000" w:firstRow="0" w:lastRow="0" w:firstColumn="1" w:lastColumn="0" w:oddVBand="0" w:evenVBand="0" w:oddHBand="0" w:evenHBand="0" w:firstRowFirstColumn="0" w:firstRowLastColumn="0" w:lastRowFirstColumn="0" w:lastRowLastColumn="0"/>
            <w:tcW w:w="3905"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Consommation</w:t>
            </w:r>
          </w:p>
        </w:tc>
        <w:tc>
          <w:tcPr>
            <w:tcW w:w="73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9,4</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3,7</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6,5</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4,3</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3,0</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-3,0</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0,3</w:t>
            </w:r>
          </w:p>
        </w:tc>
      </w:tr>
      <w:tr w:rsidR="00BD3B9B" w:rsidRPr="003C1F90" w:rsidTr="002E7809">
        <w:trPr>
          <w:trHeight w:val="260"/>
        </w:trPr>
        <w:tc>
          <w:tcPr>
            <w:cnfStyle w:val="001000000000" w:firstRow="0" w:lastRow="0" w:firstColumn="1" w:lastColumn="0" w:oddVBand="0" w:evenVBand="0" w:oddHBand="0" w:evenHBand="0" w:firstRowFirstColumn="0" w:firstRowLastColumn="0" w:lastRowFirstColumn="0" w:lastRowLastColumn="0"/>
            <w:tcW w:w="3905"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Publique (État)</w:t>
            </w:r>
          </w:p>
        </w:tc>
        <w:tc>
          <w:tcPr>
            <w:tcW w:w="73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0,6</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0,5</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1,7</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0,1</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-0,9</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0,8</w:t>
            </w:r>
          </w:p>
        </w:tc>
      </w:tr>
      <w:tr w:rsidR="00BD3B9B" w:rsidRPr="003C1F90" w:rsidTr="002E7809">
        <w:trPr>
          <w:trHeight w:val="260"/>
        </w:trPr>
        <w:tc>
          <w:tcPr>
            <w:cnfStyle w:val="001000000000" w:firstRow="0" w:lastRow="0" w:firstColumn="1" w:lastColumn="0" w:oddVBand="0" w:evenVBand="0" w:oddHBand="0" w:evenHBand="0" w:firstRowFirstColumn="0" w:firstRowLastColumn="0" w:lastRowFirstColumn="0" w:lastRowLastColumn="0"/>
            <w:tcW w:w="3905"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Privée</w:t>
            </w:r>
          </w:p>
        </w:tc>
        <w:tc>
          <w:tcPr>
            <w:tcW w:w="73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8,8</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3,2</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4,7</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2,7</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3,0</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-2,1</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-0,5</w:t>
            </w:r>
          </w:p>
        </w:tc>
      </w:tr>
      <w:tr w:rsidR="00BD3B9B" w:rsidRPr="003C1F90" w:rsidTr="002E7809">
        <w:trPr>
          <w:trHeight w:val="260"/>
        </w:trPr>
        <w:tc>
          <w:tcPr>
            <w:cnfStyle w:val="001000000000" w:firstRow="0" w:lastRow="0" w:firstColumn="1" w:lastColumn="0" w:oddVBand="0" w:evenVBand="0" w:oddHBand="0" w:evenHBand="0" w:firstRowFirstColumn="0" w:firstRowLastColumn="0" w:lastRowFirstColumn="0" w:lastRowLastColumn="0"/>
            <w:tcW w:w="3905"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Investissements bruts</w:t>
            </w:r>
          </w:p>
        </w:tc>
        <w:tc>
          <w:tcPr>
            <w:tcW w:w="73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1,7</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0,9</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4,9</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0,3</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2,0</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-1,7</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-3,2</w:t>
            </w:r>
          </w:p>
        </w:tc>
      </w:tr>
      <w:tr w:rsidR="00BD3B9B" w:rsidRPr="003C1F90" w:rsidTr="002E7809">
        <w:trPr>
          <w:trHeight w:val="260"/>
        </w:trPr>
        <w:tc>
          <w:tcPr>
            <w:cnfStyle w:val="001000000000" w:firstRow="0" w:lastRow="0" w:firstColumn="1" w:lastColumn="0" w:oddVBand="0" w:evenVBand="0" w:oddHBand="0" w:evenHBand="0" w:firstRowFirstColumn="0" w:firstRowLastColumn="0" w:lastRowFirstColumn="0" w:lastRowLastColumn="0"/>
            <w:tcW w:w="3905"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Formation brute de capital fixe</w:t>
            </w:r>
          </w:p>
        </w:tc>
        <w:tc>
          <w:tcPr>
            <w:tcW w:w="73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2,7</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4,7</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0,3</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1,9</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-1,5</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-3,2</w:t>
            </w:r>
          </w:p>
        </w:tc>
      </w:tr>
      <w:tr w:rsidR="00BD3B9B" w:rsidRPr="003C1F90" w:rsidTr="002E7809">
        <w:trPr>
          <w:trHeight w:val="260"/>
        </w:trPr>
        <w:tc>
          <w:tcPr>
            <w:cnfStyle w:val="001000000000" w:firstRow="0" w:lastRow="0" w:firstColumn="1" w:lastColumn="0" w:oddVBand="0" w:evenVBand="0" w:oddHBand="0" w:evenHBand="0" w:firstRowFirstColumn="0" w:firstRowLastColumn="0" w:lastRowFirstColumn="0" w:lastRowLastColumn="0"/>
            <w:tcW w:w="3905"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Publique (Etat et Ad. Publiques)</w:t>
            </w:r>
          </w:p>
        </w:tc>
        <w:tc>
          <w:tcPr>
            <w:tcW w:w="73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-0,2</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3,2</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-0,9</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-2,3</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1,1</w:t>
            </w:r>
          </w:p>
        </w:tc>
      </w:tr>
      <w:tr w:rsidR="00BD3B9B" w:rsidRPr="003C1F90" w:rsidTr="002E7809">
        <w:trPr>
          <w:trHeight w:val="260"/>
        </w:trPr>
        <w:tc>
          <w:tcPr>
            <w:cnfStyle w:val="001000000000" w:firstRow="0" w:lastRow="0" w:firstColumn="1" w:lastColumn="0" w:oddVBand="0" w:evenVBand="0" w:oddHBand="0" w:evenHBand="0" w:firstRowFirstColumn="0" w:firstRowLastColumn="0" w:lastRowFirstColumn="0" w:lastRowLastColumn="0"/>
            <w:tcW w:w="3905"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Privée (Entreprises et ménages)</w:t>
            </w:r>
          </w:p>
        </w:tc>
        <w:tc>
          <w:tcPr>
            <w:tcW w:w="73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2,8</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0,1</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2,6</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2,8</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0,7</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-4,3</w:t>
            </w:r>
          </w:p>
        </w:tc>
      </w:tr>
      <w:tr w:rsidR="00BD3B9B" w:rsidRPr="003C1F90" w:rsidTr="002E7809">
        <w:trPr>
          <w:trHeight w:val="260"/>
        </w:trPr>
        <w:tc>
          <w:tcPr>
            <w:cnfStyle w:val="001000000000" w:firstRow="0" w:lastRow="0" w:firstColumn="1" w:lastColumn="0" w:oddVBand="0" w:evenVBand="0" w:oddHBand="0" w:evenHBand="0" w:firstRowFirstColumn="0" w:firstRowLastColumn="0" w:lastRowFirstColumn="0" w:lastRowLastColumn="0"/>
            <w:tcW w:w="3905"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Secteur pétrolier</w:t>
            </w:r>
          </w:p>
        </w:tc>
        <w:tc>
          <w:tcPr>
            <w:tcW w:w="73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-0,2</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0,7</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1,9</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1,2</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-0,2</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-5,0</w:t>
            </w:r>
          </w:p>
        </w:tc>
      </w:tr>
      <w:tr w:rsidR="00BD3B9B" w:rsidRPr="003C1F90" w:rsidTr="002E7809">
        <w:trPr>
          <w:trHeight w:val="260"/>
        </w:trPr>
        <w:tc>
          <w:tcPr>
            <w:cnfStyle w:val="001000000000" w:firstRow="0" w:lastRow="0" w:firstColumn="1" w:lastColumn="0" w:oddVBand="0" w:evenVBand="0" w:oddHBand="0" w:evenHBand="0" w:firstRowFirstColumn="0" w:firstRowLastColumn="0" w:lastRowFirstColumn="0" w:lastRowLastColumn="0"/>
            <w:tcW w:w="3905"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Secteur non pétrolier</w:t>
            </w:r>
          </w:p>
        </w:tc>
        <w:tc>
          <w:tcPr>
            <w:tcW w:w="73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0,3</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0,8</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0,7</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1,7</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1,0</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0,7</w:t>
            </w:r>
          </w:p>
        </w:tc>
      </w:tr>
      <w:tr w:rsidR="00BD3B9B" w:rsidRPr="003C1F90" w:rsidTr="002E7809">
        <w:trPr>
          <w:trHeight w:val="260"/>
        </w:trPr>
        <w:tc>
          <w:tcPr>
            <w:cnfStyle w:val="001000000000" w:firstRow="0" w:lastRow="0" w:firstColumn="1" w:lastColumn="0" w:oddVBand="0" w:evenVBand="0" w:oddHBand="0" w:evenHBand="0" w:firstRowFirstColumn="0" w:firstRowLastColumn="0" w:lastRowFirstColumn="0" w:lastRowLastColumn="0"/>
            <w:tcW w:w="3905"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Variations des stocks</w:t>
            </w:r>
          </w:p>
        </w:tc>
        <w:tc>
          <w:tcPr>
            <w:tcW w:w="73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-0,5</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0,3</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-0,1</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0,1</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-0,2</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0,0</w:t>
            </w:r>
          </w:p>
        </w:tc>
      </w:tr>
      <w:tr w:rsidR="00BD3B9B" w:rsidRPr="003C1F90" w:rsidTr="002E7809">
        <w:trPr>
          <w:trHeight w:val="260"/>
        </w:trPr>
        <w:tc>
          <w:tcPr>
            <w:cnfStyle w:val="001000000000" w:firstRow="0" w:lastRow="0" w:firstColumn="1" w:lastColumn="0" w:oddVBand="0" w:evenVBand="0" w:oddHBand="0" w:evenHBand="0" w:firstRowFirstColumn="0" w:firstRowLastColumn="0" w:lastRowFirstColumn="0" w:lastRowLastColumn="0"/>
            <w:tcW w:w="3905"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EXPORTATIONS NETTES</w:t>
            </w:r>
          </w:p>
        </w:tc>
        <w:tc>
          <w:tcPr>
            <w:tcW w:w="73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-6,1</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-0,6</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-5,6</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-3,3</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-0,2</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7,5</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5,6</w:t>
            </w:r>
          </w:p>
        </w:tc>
      </w:tr>
      <w:tr w:rsidR="00BD3B9B" w:rsidRPr="003C1F90" w:rsidTr="002E7809">
        <w:trPr>
          <w:trHeight w:val="260"/>
        </w:trPr>
        <w:tc>
          <w:tcPr>
            <w:cnfStyle w:val="001000000000" w:firstRow="0" w:lastRow="0" w:firstColumn="1" w:lastColumn="0" w:oddVBand="0" w:evenVBand="0" w:oddHBand="0" w:evenHBand="0" w:firstRowFirstColumn="0" w:firstRowLastColumn="0" w:lastRowFirstColumn="0" w:lastRowLastColumn="0"/>
            <w:tcW w:w="3905"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Exportations de biens et services non-facteurs</w:t>
            </w:r>
          </w:p>
        </w:tc>
        <w:tc>
          <w:tcPr>
            <w:tcW w:w="73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0,2</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0,8</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1,6</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2,3</w:t>
            </w:r>
          </w:p>
        </w:tc>
      </w:tr>
      <w:tr w:rsidR="00BD3B9B" w:rsidRPr="003C1F90" w:rsidTr="002E7809">
        <w:trPr>
          <w:trHeight w:val="260"/>
        </w:trPr>
        <w:tc>
          <w:tcPr>
            <w:cnfStyle w:val="001000000000" w:firstRow="0" w:lastRow="0" w:firstColumn="1" w:lastColumn="0" w:oddVBand="0" w:evenVBand="0" w:oddHBand="0" w:evenHBand="0" w:firstRowFirstColumn="0" w:firstRowLastColumn="0" w:lastRowFirstColumn="0" w:lastRowLastColumn="0"/>
            <w:tcW w:w="3905"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Importations de biens et services non-facteurs</w:t>
            </w:r>
          </w:p>
        </w:tc>
        <w:tc>
          <w:tcPr>
            <w:tcW w:w="73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-4,9</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-0,8</w:t>
            </w:r>
          </w:p>
        </w:tc>
        <w:tc>
          <w:tcPr>
            <w:tcW w:w="709"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-4,3</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w:t>
            </w:r>
          </w:p>
        </w:tc>
        <w:tc>
          <w:tcPr>
            <w:tcW w:w="709"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-1,0</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5,9</w:t>
            </w:r>
          </w:p>
        </w:tc>
        <w:tc>
          <w:tcPr>
            <w:tcW w:w="709"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3,3</w:t>
            </w:r>
          </w:p>
        </w:tc>
      </w:tr>
    </w:tbl>
    <w:p w:rsidR="00BD3B9B" w:rsidRPr="00544154" w:rsidRDefault="00BD3B9B" w:rsidP="00BD3B9B">
      <w:pPr>
        <w:pStyle w:val="BodyText21"/>
        <w:rPr>
          <w:i/>
          <w:snapToGrid w:val="0"/>
          <w:sz w:val="18"/>
          <w:szCs w:val="18"/>
        </w:rPr>
      </w:pPr>
      <w:r w:rsidRPr="00544154">
        <w:rPr>
          <w:i/>
          <w:snapToGrid w:val="0"/>
          <w:sz w:val="18"/>
          <w:szCs w:val="18"/>
          <w:u w:val="single"/>
        </w:rPr>
        <w:t>Sources</w:t>
      </w:r>
      <w:r w:rsidRPr="00544154">
        <w:rPr>
          <w:i/>
          <w:snapToGrid w:val="0"/>
          <w:sz w:val="18"/>
          <w:szCs w:val="18"/>
        </w:rPr>
        <w:t xml:space="preserve"> : Administrations nationales, FMI, BEAC et Commission de la CEMAC.</w:t>
      </w:r>
    </w:p>
    <w:p w:rsidR="00BD3B9B" w:rsidRPr="00544154" w:rsidRDefault="00BD3B9B" w:rsidP="00BD3B9B">
      <w:pPr>
        <w:pStyle w:val="BodyText21"/>
        <w:rPr>
          <w:sz w:val="18"/>
          <w:szCs w:val="18"/>
        </w:rPr>
      </w:pPr>
    </w:p>
    <w:p w:rsidR="00BD3B9B" w:rsidRPr="00544154" w:rsidRDefault="00BD3B9B" w:rsidP="00BD3B9B">
      <w:pPr>
        <w:pStyle w:val="BodyText21"/>
        <w:rPr>
          <w:sz w:val="18"/>
          <w:szCs w:val="18"/>
        </w:rPr>
      </w:pPr>
    </w:p>
    <w:p w:rsidR="00BD3B9B" w:rsidRPr="00544154" w:rsidRDefault="00BD3B9B" w:rsidP="00BD3B9B">
      <w:pPr>
        <w:pStyle w:val="Lgende"/>
        <w:jc w:val="both"/>
        <w:rPr>
          <w:rFonts w:ascii="Times New Roman" w:hAnsi="Times New Roman"/>
          <w:b w:val="0"/>
          <w:bCs/>
        </w:rPr>
      </w:pPr>
      <w:r w:rsidRPr="00544154">
        <w:rPr>
          <w:rFonts w:ascii="Times New Roman" w:hAnsi="Times New Roman"/>
          <w:b w:val="0"/>
        </w:rPr>
        <w:t>CEMAC, Ressources et Emplois (Structure du PIB, en  %)</w:t>
      </w:r>
    </w:p>
    <w:tbl>
      <w:tblPr>
        <w:tblStyle w:val="Tableauclassique1"/>
        <w:tblW w:w="9072" w:type="dxa"/>
        <w:tblLook w:val="04A0" w:firstRow="1" w:lastRow="0" w:firstColumn="1" w:lastColumn="0" w:noHBand="0" w:noVBand="1"/>
      </w:tblPr>
      <w:tblGrid>
        <w:gridCol w:w="3496"/>
        <w:gridCol w:w="807"/>
        <w:gridCol w:w="654"/>
        <w:gridCol w:w="682"/>
        <w:gridCol w:w="682"/>
        <w:gridCol w:w="936"/>
        <w:gridCol w:w="936"/>
        <w:gridCol w:w="936"/>
      </w:tblGrid>
      <w:tr w:rsidR="00BD3B9B" w:rsidRPr="00544154" w:rsidTr="002E7809">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9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Aragats</w:t>
            </w:r>
          </w:p>
        </w:tc>
        <w:tc>
          <w:tcPr>
            <w:tcW w:w="807"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2010</w:t>
            </w:r>
          </w:p>
        </w:tc>
        <w:tc>
          <w:tcPr>
            <w:tcW w:w="654"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2011</w:t>
            </w:r>
          </w:p>
        </w:tc>
        <w:tc>
          <w:tcPr>
            <w:tcW w:w="654"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2012</w:t>
            </w:r>
          </w:p>
        </w:tc>
        <w:tc>
          <w:tcPr>
            <w:tcW w:w="653"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2013</w:t>
            </w:r>
          </w:p>
        </w:tc>
        <w:tc>
          <w:tcPr>
            <w:tcW w:w="93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2014</w:t>
            </w:r>
          </w:p>
        </w:tc>
        <w:tc>
          <w:tcPr>
            <w:tcW w:w="93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2015</w:t>
            </w:r>
          </w:p>
        </w:tc>
        <w:tc>
          <w:tcPr>
            <w:tcW w:w="93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2016</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496" w:type="dxa"/>
            <w:noWrap/>
            <w:hideMark/>
          </w:tcPr>
          <w:p w:rsidR="00BD3B9B" w:rsidRPr="00544154" w:rsidRDefault="00BD3B9B" w:rsidP="002E7809">
            <w:pPr>
              <w:ind w:firstLine="0"/>
              <w:jc w:val="right"/>
              <w:rPr>
                <w:rFonts w:ascii="Times New Roman" w:hAnsi="Times New Roman"/>
                <w:sz w:val="18"/>
                <w:szCs w:val="20"/>
              </w:rPr>
            </w:pPr>
          </w:p>
        </w:tc>
        <w:tc>
          <w:tcPr>
            <w:tcW w:w="807"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c>
          <w:tcPr>
            <w:tcW w:w="654"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c>
          <w:tcPr>
            <w:tcW w:w="654"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Estim.</w:t>
            </w:r>
          </w:p>
        </w:tc>
        <w:tc>
          <w:tcPr>
            <w:tcW w:w="653"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Estim.</w:t>
            </w:r>
          </w:p>
        </w:tc>
        <w:tc>
          <w:tcPr>
            <w:tcW w:w="93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Estim.</w:t>
            </w:r>
          </w:p>
        </w:tc>
        <w:tc>
          <w:tcPr>
            <w:tcW w:w="93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Prév. Rév.</w:t>
            </w:r>
          </w:p>
        </w:tc>
        <w:tc>
          <w:tcPr>
            <w:tcW w:w="93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Prév.</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49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PRODUIT INTÉRIEUR BRUT</w:t>
            </w:r>
          </w:p>
        </w:tc>
        <w:tc>
          <w:tcPr>
            <w:tcW w:w="80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100,0</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100,0</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100,0</w:t>
            </w:r>
          </w:p>
        </w:tc>
        <w:tc>
          <w:tcPr>
            <w:tcW w:w="65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100,0</w:t>
            </w:r>
          </w:p>
        </w:tc>
        <w:tc>
          <w:tcPr>
            <w:tcW w:w="93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100,0</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100,0</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100,0</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49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INTÉRIEURES BRUTES</w:t>
            </w:r>
          </w:p>
        </w:tc>
        <w:tc>
          <w:tcPr>
            <w:tcW w:w="80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90,7</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84,7</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85,6</w:t>
            </w:r>
          </w:p>
        </w:tc>
        <w:tc>
          <w:tcPr>
            <w:tcW w:w="65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91,9</w:t>
            </w:r>
          </w:p>
        </w:tc>
        <w:tc>
          <w:tcPr>
            <w:tcW w:w="93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93,5</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105,4</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108,8</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49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Consommation</w:t>
            </w:r>
          </w:p>
        </w:tc>
        <w:tc>
          <w:tcPr>
            <w:tcW w:w="80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62,2</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56,2</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55,0</w:t>
            </w:r>
          </w:p>
        </w:tc>
        <w:tc>
          <w:tcPr>
            <w:tcW w:w="65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61,2</w:t>
            </w:r>
          </w:p>
        </w:tc>
        <w:tc>
          <w:tcPr>
            <w:tcW w:w="93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61,9</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71,5</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75,2</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49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Publique (État)</w:t>
            </w:r>
          </w:p>
        </w:tc>
        <w:tc>
          <w:tcPr>
            <w:tcW w:w="80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9,9</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9,3</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10,2</w:t>
            </w:r>
          </w:p>
        </w:tc>
        <w:tc>
          <w:tcPr>
            <w:tcW w:w="65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11,9</w:t>
            </w:r>
          </w:p>
        </w:tc>
        <w:tc>
          <w:tcPr>
            <w:tcW w:w="93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12,0</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12,7</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14,1</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49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Privée</w:t>
            </w:r>
          </w:p>
        </w:tc>
        <w:tc>
          <w:tcPr>
            <w:tcW w:w="80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52,3</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46,9</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44,8</w:t>
            </w:r>
          </w:p>
        </w:tc>
        <w:tc>
          <w:tcPr>
            <w:tcW w:w="65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49,3</w:t>
            </w:r>
          </w:p>
        </w:tc>
        <w:tc>
          <w:tcPr>
            <w:tcW w:w="93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50,0</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58,9</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61,0</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49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Investissements bruts</w:t>
            </w:r>
          </w:p>
        </w:tc>
        <w:tc>
          <w:tcPr>
            <w:tcW w:w="80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28,6</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28,5</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30,6</w:t>
            </w:r>
          </w:p>
        </w:tc>
        <w:tc>
          <w:tcPr>
            <w:tcW w:w="65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30,7</w:t>
            </w:r>
          </w:p>
        </w:tc>
        <w:tc>
          <w:tcPr>
            <w:tcW w:w="93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31,6</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33,8</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33,6</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49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Formation brute de capital fixe</w:t>
            </w:r>
          </w:p>
        </w:tc>
        <w:tc>
          <w:tcPr>
            <w:tcW w:w="80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28,4</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28,4</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30,5</w:t>
            </w:r>
          </w:p>
        </w:tc>
        <w:tc>
          <w:tcPr>
            <w:tcW w:w="65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30,6</w:t>
            </w:r>
          </w:p>
        </w:tc>
        <w:tc>
          <w:tcPr>
            <w:tcW w:w="93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31,5</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33,8</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33,6</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49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Publique (Etat et Ad. Publiques)</w:t>
            </w:r>
          </w:p>
        </w:tc>
        <w:tc>
          <w:tcPr>
            <w:tcW w:w="80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11,6</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12,5</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14,6</w:t>
            </w:r>
          </w:p>
        </w:tc>
        <w:tc>
          <w:tcPr>
            <w:tcW w:w="65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12,6</w:t>
            </w:r>
          </w:p>
        </w:tc>
        <w:tc>
          <w:tcPr>
            <w:tcW w:w="93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11,6</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9,6</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11,5</w:t>
            </w:r>
          </w:p>
        </w:tc>
      </w:tr>
      <w:tr w:rsidR="00BD3B9B" w:rsidRPr="00544154" w:rsidTr="002E7809">
        <w:trPr>
          <w:trHeight w:val="305"/>
        </w:trPr>
        <w:tc>
          <w:tcPr>
            <w:cnfStyle w:val="001000000000" w:firstRow="0" w:lastRow="0" w:firstColumn="1" w:lastColumn="0" w:oddVBand="0" w:evenVBand="0" w:oddHBand="0" w:evenHBand="0" w:firstRowFirstColumn="0" w:firstRowLastColumn="0" w:lastRowFirstColumn="0" w:lastRowLastColumn="0"/>
            <w:tcW w:w="349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Privée (Entreprises et ménages)</w:t>
            </w:r>
          </w:p>
        </w:tc>
        <w:tc>
          <w:tcPr>
            <w:tcW w:w="80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16,8</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16,0</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15,9</w:t>
            </w:r>
          </w:p>
        </w:tc>
        <w:tc>
          <w:tcPr>
            <w:tcW w:w="65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18,0</w:t>
            </w:r>
          </w:p>
        </w:tc>
        <w:tc>
          <w:tcPr>
            <w:tcW w:w="93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19,9</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24,3</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22,1</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49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Secteur pétrolier</w:t>
            </w:r>
          </w:p>
        </w:tc>
        <w:tc>
          <w:tcPr>
            <w:tcW w:w="80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9,2</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8,2</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8,5</w:t>
            </w:r>
          </w:p>
        </w:tc>
        <w:tc>
          <w:tcPr>
            <w:tcW w:w="65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9,8</w:t>
            </w:r>
          </w:p>
        </w:tc>
        <w:tc>
          <w:tcPr>
            <w:tcW w:w="93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10,3</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11,9</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8,2</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49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Secteur non pétrolier</w:t>
            </w:r>
          </w:p>
        </w:tc>
        <w:tc>
          <w:tcPr>
            <w:tcW w:w="80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7,6</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7,7</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7,4</w:t>
            </w:r>
          </w:p>
        </w:tc>
        <w:tc>
          <w:tcPr>
            <w:tcW w:w="65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8,2</w:t>
            </w:r>
          </w:p>
        </w:tc>
        <w:tc>
          <w:tcPr>
            <w:tcW w:w="93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9,6</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12,4</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13,9</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49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Variations des stocks</w:t>
            </w:r>
          </w:p>
        </w:tc>
        <w:tc>
          <w:tcPr>
            <w:tcW w:w="80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0,2</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0,1</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0,1</w:t>
            </w:r>
          </w:p>
        </w:tc>
        <w:tc>
          <w:tcPr>
            <w:tcW w:w="65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93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0,1</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0,0</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0,0</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49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EXPORTATIONS NETTES</w:t>
            </w:r>
          </w:p>
        </w:tc>
        <w:tc>
          <w:tcPr>
            <w:tcW w:w="80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9,3</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15,3</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14,4</w:t>
            </w:r>
          </w:p>
        </w:tc>
        <w:tc>
          <w:tcPr>
            <w:tcW w:w="65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8,1</w:t>
            </w:r>
          </w:p>
        </w:tc>
        <w:tc>
          <w:tcPr>
            <w:tcW w:w="93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6,5</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-5,4</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-8,8</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49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Exportations de biens et services non-facteurs</w:t>
            </w:r>
          </w:p>
        </w:tc>
        <w:tc>
          <w:tcPr>
            <w:tcW w:w="80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51,2</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54,3</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54,3</w:t>
            </w:r>
          </w:p>
        </w:tc>
        <w:tc>
          <w:tcPr>
            <w:tcW w:w="65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49,2</w:t>
            </w:r>
          </w:p>
        </w:tc>
        <w:tc>
          <w:tcPr>
            <w:tcW w:w="93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47,3</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38,3</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32,8</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49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Importations de biens et services non-facteurs</w:t>
            </w:r>
          </w:p>
        </w:tc>
        <w:tc>
          <w:tcPr>
            <w:tcW w:w="807"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-42,0</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-39,0</w:t>
            </w:r>
          </w:p>
        </w:tc>
        <w:tc>
          <w:tcPr>
            <w:tcW w:w="654"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-39,8</w:t>
            </w:r>
          </w:p>
        </w:tc>
        <w:tc>
          <w:tcPr>
            <w:tcW w:w="65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-41,1</w:t>
            </w:r>
          </w:p>
        </w:tc>
        <w:tc>
          <w:tcPr>
            <w:tcW w:w="93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-40,8</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-43,6</w:t>
            </w:r>
          </w:p>
        </w:tc>
        <w:tc>
          <w:tcPr>
            <w:tcW w:w="936" w:type="dxa"/>
            <w:noWrap/>
            <w:hideMark/>
          </w:tcPr>
          <w:p w:rsidR="00BD3B9B" w:rsidRPr="004058E8" w:rsidRDefault="00BD3B9B" w:rsidP="002E7809">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-41,6</w:t>
            </w:r>
          </w:p>
        </w:tc>
      </w:tr>
    </w:tbl>
    <w:p w:rsidR="00BD3B9B" w:rsidRPr="00544154" w:rsidRDefault="00BD3B9B" w:rsidP="00BD3B9B">
      <w:pPr>
        <w:jc w:val="both"/>
        <w:rPr>
          <w:i/>
          <w:sz w:val="18"/>
          <w:szCs w:val="18"/>
        </w:rPr>
      </w:pPr>
      <w:r w:rsidRPr="00544154">
        <w:rPr>
          <w:i/>
          <w:snapToGrid w:val="0"/>
          <w:sz w:val="18"/>
          <w:szCs w:val="18"/>
          <w:u w:val="single"/>
        </w:rPr>
        <w:t>Sources</w:t>
      </w:r>
      <w:r w:rsidRPr="00544154">
        <w:rPr>
          <w:i/>
          <w:snapToGrid w:val="0"/>
          <w:sz w:val="18"/>
          <w:szCs w:val="18"/>
        </w:rPr>
        <w:t xml:space="preserve"> : Administrations nationales, FMI, BEAC et Commission de la CEMAC.</w:t>
      </w: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r w:rsidRPr="00544154">
        <w:rPr>
          <w:rFonts w:ascii="Times New Roman" w:hAnsi="Times New Roman"/>
          <w:b w:val="0"/>
        </w:rPr>
        <w:t>CEMAC, Inflation (moyenne annuelle, en  %)</w:t>
      </w:r>
    </w:p>
    <w:tbl>
      <w:tblPr>
        <w:tblStyle w:val="Tableauclassique1"/>
        <w:tblW w:w="9660" w:type="dxa"/>
        <w:tblLook w:val="04A0" w:firstRow="1" w:lastRow="0" w:firstColumn="1" w:lastColumn="0" w:noHBand="0" w:noVBand="1"/>
      </w:tblPr>
      <w:tblGrid>
        <w:gridCol w:w="2660"/>
        <w:gridCol w:w="1000"/>
        <w:gridCol w:w="1000"/>
        <w:gridCol w:w="1000"/>
        <w:gridCol w:w="1000"/>
        <w:gridCol w:w="1000"/>
        <w:gridCol w:w="1000"/>
        <w:gridCol w:w="1000"/>
      </w:tblGrid>
      <w:tr w:rsidR="00BD3B9B" w:rsidRPr="00544154" w:rsidTr="002E7809">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660"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États</w:t>
            </w:r>
          </w:p>
        </w:tc>
        <w:tc>
          <w:tcPr>
            <w:tcW w:w="100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2010</w:t>
            </w:r>
          </w:p>
        </w:tc>
        <w:tc>
          <w:tcPr>
            <w:tcW w:w="100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2011</w:t>
            </w:r>
          </w:p>
        </w:tc>
        <w:tc>
          <w:tcPr>
            <w:tcW w:w="100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2012</w:t>
            </w:r>
          </w:p>
        </w:tc>
        <w:tc>
          <w:tcPr>
            <w:tcW w:w="100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2013</w:t>
            </w:r>
          </w:p>
        </w:tc>
        <w:tc>
          <w:tcPr>
            <w:tcW w:w="100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2014</w:t>
            </w:r>
          </w:p>
        </w:tc>
        <w:tc>
          <w:tcPr>
            <w:tcW w:w="100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2015</w:t>
            </w:r>
          </w:p>
        </w:tc>
        <w:tc>
          <w:tcPr>
            <w:tcW w:w="100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2016</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2660"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Cameroun </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1,3</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2,9</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2,4</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2,1</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1,8</w:t>
            </w:r>
          </w:p>
        </w:tc>
        <w:tc>
          <w:tcPr>
            <w:tcW w:w="10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2,7</w:t>
            </w:r>
          </w:p>
        </w:tc>
        <w:tc>
          <w:tcPr>
            <w:tcW w:w="10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3,0</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2660"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République Centrafricaine </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1,5</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1,2</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9C0006"/>
                <w:sz w:val="20"/>
                <w:szCs w:val="20"/>
              </w:rPr>
            </w:pPr>
            <w:r w:rsidRPr="00544154">
              <w:rPr>
                <w:rFonts w:ascii="Times New Roman" w:hAnsi="Times New Roman"/>
                <w:color w:val="9C0006"/>
                <w:sz w:val="20"/>
                <w:szCs w:val="20"/>
              </w:rPr>
              <w:t>5,9</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9C0006"/>
                <w:sz w:val="20"/>
                <w:szCs w:val="20"/>
              </w:rPr>
            </w:pPr>
            <w:r w:rsidRPr="00544154">
              <w:rPr>
                <w:rFonts w:ascii="Times New Roman" w:hAnsi="Times New Roman"/>
                <w:color w:val="9C0006"/>
                <w:sz w:val="20"/>
                <w:szCs w:val="20"/>
              </w:rPr>
              <w:t>4,0</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9C0006"/>
                <w:sz w:val="20"/>
                <w:szCs w:val="20"/>
              </w:rPr>
            </w:pPr>
            <w:r w:rsidRPr="00544154">
              <w:rPr>
                <w:rFonts w:ascii="Times New Roman" w:hAnsi="Times New Roman"/>
                <w:color w:val="9C0006"/>
                <w:sz w:val="20"/>
                <w:szCs w:val="20"/>
              </w:rPr>
              <w:t>17,8</w:t>
            </w:r>
          </w:p>
        </w:tc>
        <w:tc>
          <w:tcPr>
            <w:tcW w:w="10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2,0</w:t>
            </w:r>
          </w:p>
        </w:tc>
        <w:tc>
          <w:tcPr>
            <w:tcW w:w="10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2,0</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2660"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Congo</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0,4</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2,2</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9C0006"/>
                <w:sz w:val="20"/>
                <w:szCs w:val="20"/>
              </w:rPr>
            </w:pPr>
            <w:r w:rsidRPr="00544154">
              <w:rPr>
                <w:rFonts w:ascii="Times New Roman" w:hAnsi="Times New Roman"/>
                <w:color w:val="9C0006"/>
                <w:sz w:val="20"/>
                <w:szCs w:val="20"/>
              </w:rPr>
              <w:t>5,0</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9C0006"/>
                <w:sz w:val="20"/>
                <w:szCs w:val="20"/>
              </w:rPr>
            </w:pPr>
            <w:r w:rsidRPr="00544154">
              <w:rPr>
                <w:rFonts w:ascii="Times New Roman" w:hAnsi="Times New Roman"/>
                <w:color w:val="9C0006"/>
                <w:sz w:val="20"/>
                <w:szCs w:val="20"/>
              </w:rPr>
              <w:t>4,7</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0,9</w:t>
            </w:r>
          </w:p>
        </w:tc>
        <w:tc>
          <w:tcPr>
            <w:tcW w:w="10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1,8</w:t>
            </w:r>
          </w:p>
        </w:tc>
        <w:tc>
          <w:tcPr>
            <w:tcW w:w="10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1,7</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2660"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Gabon</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1,5</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1,3</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2,7</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0,5</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9C0006"/>
                <w:sz w:val="20"/>
                <w:szCs w:val="20"/>
              </w:rPr>
            </w:pPr>
            <w:r w:rsidRPr="00544154">
              <w:rPr>
                <w:rFonts w:ascii="Times New Roman" w:hAnsi="Times New Roman"/>
                <w:color w:val="9C0006"/>
                <w:sz w:val="20"/>
                <w:szCs w:val="20"/>
              </w:rPr>
              <w:t>4,7</w:t>
            </w:r>
          </w:p>
        </w:tc>
        <w:tc>
          <w:tcPr>
            <w:tcW w:w="10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-0,3</w:t>
            </w:r>
          </w:p>
        </w:tc>
        <w:tc>
          <w:tcPr>
            <w:tcW w:w="10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2,5</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2660"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Guinée Equatoriale</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9C0006"/>
                <w:sz w:val="20"/>
                <w:szCs w:val="20"/>
              </w:rPr>
            </w:pPr>
            <w:r w:rsidRPr="00544154">
              <w:rPr>
                <w:rFonts w:ascii="Times New Roman" w:hAnsi="Times New Roman"/>
                <w:color w:val="9C0006"/>
                <w:sz w:val="20"/>
                <w:szCs w:val="20"/>
              </w:rPr>
              <w:t>5,6</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9C0006"/>
                <w:sz w:val="20"/>
                <w:szCs w:val="20"/>
              </w:rPr>
            </w:pPr>
            <w:r w:rsidRPr="00544154">
              <w:rPr>
                <w:rFonts w:ascii="Times New Roman" w:hAnsi="Times New Roman"/>
                <w:color w:val="9C0006"/>
                <w:sz w:val="20"/>
                <w:szCs w:val="20"/>
              </w:rPr>
              <w:t>4,8</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9C0006"/>
                <w:sz w:val="20"/>
                <w:szCs w:val="20"/>
              </w:rPr>
            </w:pPr>
            <w:r w:rsidRPr="00544154">
              <w:rPr>
                <w:rFonts w:ascii="Times New Roman" w:hAnsi="Times New Roman"/>
                <w:color w:val="9C0006"/>
                <w:sz w:val="20"/>
                <w:szCs w:val="20"/>
              </w:rPr>
              <w:t>3,6</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3,0</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9C0006"/>
                <w:sz w:val="20"/>
                <w:szCs w:val="20"/>
              </w:rPr>
            </w:pPr>
            <w:r w:rsidRPr="00544154">
              <w:rPr>
                <w:rFonts w:ascii="Times New Roman" w:hAnsi="Times New Roman"/>
                <w:color w:val="9C0006"/>
                <w:sz w:val="20"/>
                <w:szCs w:val="20"/>
              </w:rPr>
              <w:t>4,3</w:t>
            </w:r>
          </w:p>
        </w:tc>
        <w:tc>
          <w:tcPr>
            <w:tcW w:w="10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1,7</w:t>
            </w:r>
          </w:p>
        </w:tc>
        <w:tc>
          <w:tcPr>
            <w:tcW w:w="10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1,9</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2660"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Tchad</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-2,1</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2,0</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9C0006"/>
                <w:sz w:val="20"/>
                <w:szCs w:val="20"/>
              </w:rPr>
            </w:pPr>
            <w:r w:rsidRPr="00544154">
              <w:rPr>
                <w:rFonts w:ascii="Times New Roman" w:hAnsi="Times New Roman"/>
                <w:color w:val="9C0006"/>
                <w:sz w:val="20"/>
                <w:szCs w:val="20"/>
              </w:rPr>
              <w:t>7,5</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0,2</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1,7</w:t>
            </w:r>
          </w:p>
        </w:tc>
        <w:tc>
          <w:tcPr>
            <w:tcW w:w="10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9C0006"/>
                <w:sz w:val="20"/>
                <w:szCs w:val="20"/>
              </w:rPr>
            </w:pPr>
            <w:r w:rsidRPr="004058E8">
              <w:rPr>
                <w:rFonts w:ascii="Times New Roman" w:hAnsi="Times New Roman"/>
                <w:color w:val="9C0006"/>
                <w:sz w:val="20"/>
                <w:szCs w:val="20"/>
              </w:rPr>
              <w:t>3,7</w:t>
            </w:r>
          </w:p>
        </w:tc>
        <w:tc>
          <w:tcPr>
            <w:tcW w:w="10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2,9</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2660" w:type="dxa"/>
            <w:noWrap/>
            <w:hideMark/>
          </w:tcPr>
          <w:p w:rsidR="00BD3B9B" w:rsidRPr="00544154" w:rsidRDefault="00BD3B9B" w:rsidP="002E7809">
            <w:pPr>
              <w:ind w:firstLine="0"/>
              <w:rPr>
                <w:rFonts w:ascii="Times New Roman" w:hAnsi="Times New Roman"/>
                <w:sz w:val="20"/>
                <w:szCs w:val="20"/>
              </w:rPr>
            </w:pPr>
            <w:r w:rsidRPr="00544154">
              <w:rPr>
                <w:rFonts w:ascii="Times New Roman" w:hAnsi="Times New Roman"/>
                <w:sz w:val="20"/>
                <w:szCs w:val="20"/>
              </w:rPr>
              <w:t xml:space="preserve">     CEMAC </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0,9</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2,5</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9C0006"/>
                <w:sz w:val="20"/>
                <w:szCs w:val="20"/>
              </w:rPr>
            </w:pPr>
            <w:r w:rsidRPr="00544154">
              <w:rPr>
                <w:rFonts w:ascii="Times New Roman" w:hAnsi="Times New Roman"/>
                <w:color w:val="9C0006"/>
                <w:sz w:val="20"/>
                <w:szCs w:val="20"/>
              </w:rPr>
              <w:t>3,8</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44154">
              <w:rPr>
                <w:rFonts w:ascii="Times New Roman" w:hAnsi="Times New Roman"/>
                <w:sz w:val="20"/>
                <w:szCs w:val="20"/>
              </w:rPr>
              <w:t>2,0</w:t>
            </w:r>
          </w:p>
        </w:tc>
        <w:tc>
          <w:tcPr>
            <w:tcW w:w="100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9C0006"/>
                <w:sz w:val="20"/>
                <w:szCs w:val="20"/>
              </w:rPr>
            </w:pPr>
            <w:r w:rsidRPr="00544154">
              <w:rPr>
                <w:rFonts w:ascii="Times New Roman" w:hAnsi="Times New Roman"/>
                <w:color w:val="9C0006"/>
                <w:sz w:val="20"/>
                <w:szCs w:val="20"/>
              </w:rPr>
              <w:t>3,2</w:t>
            </w:r>
          </w:p>
        </w:tc>
        <w:tc>
          <w:tcPr>
            <w:tcW w:w="10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2,3</w:t>
            </w:r>
          </w:p>
        </w:tc>
        <w:tc>
          <w:tcPr>
            <w:tcW w:w="100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058E8">
              <w:rPr>
                <w:rFonts w:ascii="Times New Roman" w:hAnsi="Times New Roman"/>
                <w:sz w:val="20"/>
                <w:szCs w:val="20"/>
              </w:rPr>
              <w:t>2,7</w:t>
            </w:r>
          </w:p>
        </w:tc>
      </w:tr>
    </w:tbl>
    <w:p w:rsidR="00BD3B9B" w:rsidRPr="00544154" w:rsidRDefault="00BD3B9B" w:rsidP="00BD3B9B">
      <w:pPr>
        <w:pStyle w:val="Lgende"/>
        <w:jc w:val="both"/>
        <w:rPr>
          <w:rFonts w:ascii="Times New Roman" w:hAnsi="Times New Roman"/>
          <w:b w:val="0"/>
          <w:bCs/>
          <w:i/>
          <w:snapToGrid w:val="0"/>
        </w:rPr>
      </w:pPr>
      <w:r w:rsidRPr="00544154">
        <w:rPr>
          <w:rFonts w:ascii="Times New Roman" w:hAnsi="Times New Roman"/>
          <w:b w:val="0"/>
          <w:i/>
          <w:snapToGrid w:val="0"/>
          <w:u w:val="single"/>
        </w:rPr>
        <w:t>Sources</w:t>
      </w:r>
      <w:r w:rsidRPr="00544154">
        <w:rPr>
          <w:rFonts w:ascii="Times New Roman" w:hAnsi="Times New Roman"/>
          <w:b w:val="0"/>
          <w:i/>
          <w:snapToGrid w:val="0"/>
        </w:rPr>
        <w:t xml:space="preserve"> : Administrations nationales, FMI, BEAC et Commission de la CEMAC.</w:t>
      </w:r>
    </w:p>
    <w:p w:rsidR="00BD3B9B" w:rsidRPr="00544154" w:rsidRDefault="00BD3B9B" w:rsidP="00BD3B9B">
      <w:pPr>
        <w:pStyle w:val="Lgende"/>
        <w:jc w:val="both"/>
        <w:rPr>
          <w:rFonts w:ascii="Times New Roman" w:hAnsi="Times New Roman"/>
          <w:b w:val="0"/>
          <w:bCs/>
          <w:snapToGrid w:val="0"/>
        </w:rPr>
      </w:pPr>
    </w:p>
    <w:p w:rsidR="00BD3B9B" w:rsidRPr="00544154" w:rsidRDefault="00BD3B9B" w:rsidP="00BD3B9B"/>
    <w:p w:rsidR="00BD3B9B" w:rsidRPr="00544154" w:rsidRDefault="00BD3B9B" w:rsidP="00BD3B9B"/>
    <w:p w:rsidR="00BD3B9B" w:rsidRDefault="00BD3B9B" w:rsidP="00BD3B9B"/>
    <w:p w:rsidR="00BD3B9B" w:rsidRPr="00544154" w:rsidRDefault="00BD3B9B" w:rsidP="00BD3B9B"/>
    <w:p w:rsidR="00BD3B9B" w:rsidRPr="00544154" w:rsidRDefault="00BD3B9B" w:rsidP="00BD3B9B"/>
    <w:p w:rsidR="00BD3B9B" w:rsidRPr="00544154" w:rsidRDefault="00BD3B9B" w:rsidP="00BD3B9B">
      <w:pPr>
        <w:pStyle w:val="Lgende"/>
        <w:jc w:val="both"/>
        <w:rPr>
          <w:rFonts w:ascii="Times New Roman" w:hAnsi="Times New Roman"/>
          <w:b w:val="0"/>
          <w:bCs/>
        </w:rPr>
      </w:pPr>
      <w:r w:rsidRPr="00544154">
        <w:rPr>
          <w:rFonts w:ascii="Times New Roman" w:hAnsi="Times New Roman"/>
          <w:b w:val="0"/>
        </w:rPr>
        <w:lastRenderedPageBreak/>
        <w:t>CEMAC, tableau des opérations financières des Etats (en milliards de FCFA)</w:t>
      </w:r>
    </w:p>
    <w:tbl>
      <w:tblPr>
        <w:tblStyle w:val="Tableauclassique1"/>
        <w:tblW w:w="10058" w:type="dxa"/>
        <w:tblLayout w:type="fixed"/>
        <w:tblLook w:val="04A0" w:firstRow="1" w:lastRow="0" w:firstColumn="1" w:lastColumn="0" w:noHBand="0" w:noVBand="1"/>
      </w:tblPr>
      <w:tblGrid>
        <w:gridCol w:w="3652"/>
        <w:gridCol w:w="851"/>
        <w:gridCol w:w="866"/>
        <w:gridCol w:w="866"/>
        <w:gridCol w:w="866"/>
        <w:gridCol w:w="985"/>
        <w:gridCol w:w="149"/>
        <w:gridCol w:w="844"/>
        <w:gridCol w:w="247"/>
        <w:gridCol w:w="681"/>
        <w:gridCol w:w="51"/>
      </w:tblGrid>
      <w:tr w:rsidR="00BD3B9B" w:rsidRPr="00544154" w:rsidTr="002E7809">
        <w:trPr>
          <w:gridAfter w:val="1"/>
          <w:cnfStyle w:val="100000000000" w:firstRow="1" w:lastRow="0" w:firstColumn="0" w:lastColumn="0" w:oddVBand="0" w:evenVBand="0" w:oddHBand="0" w:evenHBand="0" w:firstRowFirstColumn="0" w:firstRowLastColumn="0" w:lastRowFirstColumn="0" w:lastRowLastColumn="0"/>
          <w:wAfter w:w="51" w:type="dxa"/>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Agrégats</w:t>
            </w:r>
          </w:p>
        </w:tc>
        <w:tc>
          <w:tcPr>
            <w:tcW w:w="851"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2010</w:t>
            </w:r>
          </w:p>
        </w:tc>
        <w:tc>
          <w:tcPr>
            <w:tcW w:w="86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2011</w:t>
            </w:r>
          </w:p>
        </w:tc>
        <w:tc>
          <w:tcPr>
            <w:tcW w:w="86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2012</w:t>
            </w:r>
          </w:p>
        </w:tc>
        <w:tc>
          <w:tcPr>
            <w:tcW w:w="86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2013</w:t>
            </w:r>
          </w:p>
        </w:tc>
        <w:tc>
          <w:tcPr>
            <w:tcW w:w="1134" w:type="dxa"/>
            <w:gridSpan w:val="2"/>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2014</w:t>
            </w:r>
          </w:p>
        </w:tc>
        <w:tc>
          <w:tcPr>
            <w:tcW w:w="1091" w:type="dxa"/>
            <w:gridSpan w:val="2"/>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2015</w:t>
            </w:r>
          </w:p>
        </w:tc>
        <w:tc>
          <w:tcPr>
            <w:tcW w:w="681"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2016</w:t>
            </w:r>
          </w:p>
        </w:tc>
      </w:tr>
      <w:tr w:rsidR="00BD3B9B" w:rsidRPr="00544154" w:rsidTr="002E7809">
        <w:trPr>
          <w:gridAfter w:val="1"/>
          <w:wAfter w:w="51" w:type="dxa"/>
          <w:trHeight w:val="487"/>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jc w:val="right"/>
              <w:rPr>
                <w:rFonts w:ascii="Times New Roman" w:hAnsi="Times New Roman"/>
                <w:sz w:val="18"/>
                <w:szCs w:val="20"/>
              </w:rPr>
            </w:pPr>
          </w:p>
        </w:tc>
        <w:tc>
          <w:tcPr>
            <w:tcW w:w="851"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c>
          <w:tcPr>
            <w:tcW w:w="86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c>
          <w:tcPr>
            <w:tcW w:w="86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Estim.</w:t>
            </w:r>
          </w:p>
        </w:tc>
        <w:tc>
          <w:tcPr>
            <w:tcW w:w="86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Estim.</w:t>
            </w:r>
          </w:p>
        </w:tc>
        <w:tc>
          <w:tcPr>
            <w:tcW w:w="1134" w:type="dxa"/>
            <w:gridSpan w:val="2"/>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Estim.</w:t>
            </w:r>
          </w:p>
        </w:tc>
        <w:tc>
          <w:tcPr>
            <w:tcW w:w="1091" w:type="dxa"/>
            <w:gridSpan w:val="2"/>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Prév. Rév.</w:t>
            </w:r>
          </w:p>
        </w:tc>
        <w:tc>
          <w:tcPr>
            <w:tcW w:w="681"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Prév.</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Recettes totales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9799,9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11875,5</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12736,4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12315,0</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12030,8</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9349,2</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9240,5</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pétrolières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6288,8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7938,4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8387,5</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7567,2</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6548,8</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3907,7</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2924,5</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non pétrolières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3511,1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3937,0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4348,8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4747,8</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5482,0</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5441,5</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6316,0</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 Recettes fiscales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3231,2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3631,5</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3991,2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4443,3</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4733,5</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4943,6</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5714,3</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 Recettes non fiscales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280,0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305,5</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357,6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304,5</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748,5</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498,0</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601,6</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Dépenses totales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9275,4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10837,0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13359,6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13343,3</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12789,6</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10727,4</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12268,1</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courantes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4552,8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5080,0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6005,7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6650,7</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6397,6</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6054,9</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6629,4</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Salaires et traitements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1484,8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1639,7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1842,8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2057,5</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2405,4</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2454,3</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2592,7</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Biens et services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1442,0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1431,2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1878,4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2227,3</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1914,9</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1680,3</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1947,5</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Transferts et subventions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1392,0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1804,6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2067,4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2055,7</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1776,2</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1573,2</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1500,0</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Intérêts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234,0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204,4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217,0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310,2</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301,0</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347,0</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589,2</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Dette extérieure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181,3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150,1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169,1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252,7</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209,2</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216,6</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452,1</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Dette intérieure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52,6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54,4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47,8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57,5</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91,8</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130,5</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137,0</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en capital</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4722,6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5757,0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7353,9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6692,6</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6392,0</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4672,6</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5638,7</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Sur ressources locales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4070,0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4926,3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6393,9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5236,1</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5215,8</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3747,5</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3909,2</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Sur ressources extérieures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652,6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830,6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960,0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1456,5</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1176,2</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925,1</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1729,5</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primaire (en milliards de FCFA)</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1411,1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2073,6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553,7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738,4</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718,4</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-106,1</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-709,0</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primaire (en pourcentage du PIB)</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1,6</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1,5</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-0,2</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-1,6</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budgétaire de base (en milliards de FCFA)</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1177,1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1869,2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336,8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428,2</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417,4</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-453,2</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-1298,1</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budgétaire de base (en pourcentage du PIB)</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0,7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0,9</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0,9</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-1,0</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-3,0</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Déficit global (base engagements hors dons)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524,5</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1038,5</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-623,2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-1028,3</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-758,8</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-1378,2</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-3027,7</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Déficit global (base engagements dons compris)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2068,1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1292,8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-344,6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-822,0</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-504,2</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-1160,7</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-2501,3</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Variations des arriérés (baisse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-371,6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-357,4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-305,9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-557,0</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-436,9</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-563,0</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-150,7</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Intérieurs (principal et intérêts)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-301,2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-334,6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-252,2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-563,1</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-454,5</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-521,7</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-150,7</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Extérieurs (principal et intérêts)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-70,4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-22,9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-53,7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6,1</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17,6</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-41,2</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0,0</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Déficit global (base trésorerie)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152,9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681,1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-929,1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-1585,3</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-1195,8</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-1941,2</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-3178,4</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Financement total</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-152,9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-681,1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929,1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1585,3</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1195,8</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1941,2</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3178,4</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Extérieur</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531,0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868,2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906,4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1736,5</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1433,7</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1296,5</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1279,7</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Dons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1543,6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254,3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278,6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206,3</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254,6</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217,5</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526,3</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Courants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1354,8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52,7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54,8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47,2</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82,2</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58,4</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84,2</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Projets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188,8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223,8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159,0</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172,4</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159,2</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442,1</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Tirages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581,1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953,8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1007,5</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2463,0</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1980,1</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1720,6</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1772,4</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Prêts trésorerie et programmes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117,3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324,8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271,3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1165,5</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976,3</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954,7</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485,0</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Prêts-projets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463,8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629,0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736,2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1297,5</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1003,8</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765,9</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1287,4</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Amortissements de la dette extérieure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-1712,2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-345,5</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-414,6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-974,1</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-803,6</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-1103,8</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-1016,7</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Allégements de la dette extérieure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143,2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29,2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60,4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66,4</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28,0</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516,0</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28,1</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Autres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-24,7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-23,6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-25,5</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-25,0</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-25,4</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-53,8</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-30,4</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Intérieur</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-683,9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-1549,2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22,7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-151,2</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-238,0</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644,7</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1112,4</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Système bancaire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566,2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-803,9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382,6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-222,5</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1018,4</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1633,3</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919,1</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BEAC, opérations traditionnelles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462,6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-270,8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415,1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-905,9</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1254,4</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1314,0</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903,3</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BEAC, consolidation refinancement</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2,6</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0,7</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0,2</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-6,3</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FMI (net)</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-12,8</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17,5</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18,2</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-3,9</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Fonds de Réserve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-32,2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-566,4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11,8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528,3</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112,2</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-0,6</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-3,1</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Banques commerciales, hors rachats...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131,3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30,2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-43,8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165,4</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-366,4</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301,5</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29,1</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Non bancaire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-1250,1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-745,3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-359,9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71,3</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-1256,4</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-988,7</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193,4</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652"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Gap résiduel</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0,0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0,0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0,0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0,0</w:t>
            </w:r>
          </w:p>
        </w:tc>
        <w:tc>
          <w:tcPr>
            <w:tcW w:w="98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0,0</w:t>
            </w:r>
          </w:p>
        </w:tc>
        <w:tc>
          <w:tcPr>
            <w:tcW w:w="993" w:type="dxa"/>
            <w:gridSpan w:val="2"/>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0,0</w:t>
            </w:r>
          </w:p>
        </w:tc>
        <w:tc>
          <w:tcPr>
            <w:tcW w:w="979" w:type="dxa"/>
            <w:gridSpan w:val="3"/>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20"/>
                <w:szCs w:val="20"/>
              </w:rPr>
              <w:t>786,3</w:t>
            </w:r>
          </w:p>
        </w:tc>
      </w:tr>
    </w:tbl>
    <w:p w:rsidR="00BD3B9B" w:rsidRPr="00544154" w:rsidRDefault="00BD3B9B" w:rsidP="00BD3B9B">
      <w:pPr>
        <w:pStyle w:val="Lgende"/>
        <w:jc w:val="both"/>
        <w:rPr>
          <w:rFonts w:ascii="Times New Roman" w:hAnsi="Times New Roman"/>
          <w:b w:val="0"/>
          <w:bCs/>
          <w:i/>
          <w:snapToGrid w:val="0"/>
        </w:rPr>
      </w:pPr>
      <w:r w:rsidRPr="00544154">
        <w:rPr>
          <w:rFonts w:ascii="Times New Roman" w:hAnsi="Times New Roman"/>
          <w:b w:val="0"/>
          <w:i/>
          <w:snapToGrid w:val="0"/>
          <w:u w:val="single"/>
        </w:rPr>
        <w:t>Sources</w:t>
      </w:r>
      <w:r w:rsidRPr="00544154">
        <w:rPr>
          <w:rFonts w:ascii="Times New Roman" w:hAnsi="Times New Roman"/>
          <w:b w:val="0"/>
          <w:i/>
          <w:snapToGrid w:val="0"/>
        </w:rPr>
        <w:t xml:space="preserve"> : Administrations nationales, FMI, BEAC et Commission de la CEMAC.</w:t>
      </w:r>
    </w:p>
    <w:p w:rsidR="00BD3B9B" w:rsidRPr="00544154" w:rsidRDefault="00BD3B9B" w:rsidP="00BD3B9B">
      <w:pPr>
        <w:pStyle w:val="Lgende"/>
        <w:jc w:val="both"/>
        <w:rPr>
          <w:rFonts w:ascii="Times New Roman" w:hAnsi="Times New Roman"/>
          <w:b w:val="0"/>
          <w:bCs/>
        </w:rPr>
      </w:pPr>
      <w:r w:rsidRPr="00544154">
        <w:rPr>
          <w:rFonts w:ascii="Times New Roman" w:hAnsi="Times New Roman"/>
          <w:b w:val="0"/>
          <w:i/>
          <w:snapToGrid w:val="0"/>
        </w:rPr>
        <w:br w:type="page"/>
      </w:r>
      <w:r w:rsidRPr="00544154">
        <w:rPr>
          <w:rFonts w:ascii="Times New Roman" w:hAnsi="Times New Roman"/>
          <w:b w:val="0"/>
        </w:rPr>
        <w:lastRenderedPageBreak/>
        <w:t>CEMAC, Balance des paiements (en milliards de FCFA)</w:t>
      </w:r>
    </w:p>
    <w:tbl>
      <w:tblPr>
        <w:tblStyle w:val="Tableauclassique1"/>
        <w:tblW w:w="9998" w:type="dxa"/>
        <w:tblLook w:val="04A0" w:firstRow="1" w:lastRow="0" w:firstColumn="1" w:lastColumn="0" w:noHBand="0" w:noVBand="1"/>
      </w:tblPr>
      <w:tblGrid>
        <w:gridCol w:w="3936"/>
        <w:gridCol w:w="866"/>
        <w:gridCol w:w="866"/>
        <w:gridCol w:w="866"/>
        <w:gridCol w:w="866"/>
        <w:gridCol w:w="866"/>
        <w:gridCol w:w="866"/>
        <w:gridCol w:w="866"/>
      </w:tblGrid>
      <w:tr w:rsidR="00BD3B9B" w:rsidRPr="00544154" w:rsidTr="002E7809">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Agrégats</w:t>
            </w:r>
          </w:p>
        </w:tc>
        <w:tc>
          <w:tcPr>
            <w:tcW w:w="86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2010</w:t>
            </w:r>
          </w:p>
        </w:tc>
        <w:tc>
          <w:tcPr>
            <w:tcW w:w="86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2011</w:t>
            </w:r>
          </w:p>
        </w:tc>
        <w:tc>
          <w:tcPr>
            <w:tcW w:w="86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2012</w:t>
            </w:r>
          </w:p>
        </w:tc>
        <w:tc>
          <w:tcPr>
            <w:tcW w:w="86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2013</w:t>
            </w:r>
          </w:p>
        </w:tc>
        <w:tc>
          <w:tcPr>
            <w:tcW w:w="86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2014</w:t>
            </w:r>
          </w:p>
        </w:tc>
        <w:tc>
          <w:tcPr>
            <w:tcW w:w="86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2015</w:t>
            </w:r>
          </w:p>
        </w:tc>
        <w:tc>
          <w:tcPr>
            <w:tcW w:w="86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2016</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jc w:val="right"/>
              <w:rPr>
                <w:rFonts w:ascii="Times New Roman" w:hAnsi="Times New Roman"/>
                <w:sz w:val="18"/>
                <w:szCs w:val="20"/>
              </w:rPr>
            </w:pPr>
          </w:p>
        </w:tc>
        <w:tc>
          <w:tcPr>
            <w:tcW w:w="86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c>
          <w:tcPr>
            <w:tcW w:w="86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c>
          <w:tcPr>
            <w:tcW w:w="86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Estim.</w:t>
            </w:r>
          </w:p>
        </w:tc>
        <w:tc>
          <w:tcPr>
            <w:tcW w:w="86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Estim.</w:t>
            </w:r>
          </w:p>
        </w:tc>
        <w:tc>
          <w:tcPr>
            <w:tcW w:w="86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Estim.</w:t>
            </w:r>
          </w:p>
        </w:tc>
        <w:tc>
          <w:tcPr>
            <w:tcW w:w="86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Prév. Rév.</w:t>
            </w:r>
          </w:p>
        </w:tc>
        <w:tc>
          <w:tcPr>
            <w:tcW w:w="86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Prév.</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DU COMPTE COURANT (transf. publics inclus)</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-1121,3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1238,2</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B016F5">
              <w:rPr>
                <w:rFonts w:ascii="Times New Roman" w:hAnsi="Times New Roman"/>
                <w:sz w:val="18"/>
                <w:szCs w:val="18"/>
              </w:rPr>
              <w:t>1371,6</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B016F5">
              <w:rPr>
                <w:rFonts w:ascii="Times New Roman" w:hAnsi="Times New Roman"/>
                <w:sz w:val="18"/>
                <w:szCs w:val="18"/>
              </w:rPr>
              <w:t>-1618,1</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-2080,1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-5271,7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-6158,4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DU COMPTE COURANT (transf. publics exclus)</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-1225,1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1193,4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1310,2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-1615,8</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-2174,2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-5328,5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-6267,7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DU COMMERCE EXTÉRIEUR</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8283,5</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12007,3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12274,8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9768,9</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8611,1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3108,5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877,0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Exportations, fob</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18422,2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22292,3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24339,8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21684,7</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21178,3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14752,9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12000,7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Importations, fob</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-10138,7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-10285,0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-12065,0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-11915,8</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-12567,3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-11644,3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-11123,7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BALANCE DES SERVICES</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-4708,3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-5309,3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-5374,2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-5923,2</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-5441,8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-5456,7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-4663,3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BALANCE DES REVENUS</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-4970,2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-5192,4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-5806,3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-5665,1</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-5601,1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-3272,6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-2680,9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DES TRANSFERTS COURANTS</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273,8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-267,4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277,3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201,4</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351,8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349,0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308,8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dont : publics (nets)</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103,8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44,8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61,4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-2,3</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94,0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56,8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109,3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privés (nets)</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169,9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-312,3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215,9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203,7</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257,7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292,2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199,5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COMPTE DE CAPITAL ET D'OPÉRATIONS FINANCIÈRES</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1458,7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1109,9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911,7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1772,2</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3249,9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2652,7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4023,5 </w:t>
            </w:r>
          </w:p>
        </w:tc>
      </w:tr>
      <w:tr w:rsidR="00BD3B9B" w:rsidRPr="00544154" w:rsidTr="002E7809">
        <w:trPr>
          <w:trHeight w:val="292"/>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COMPTE DE CAPITAL</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1481,9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212,5</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242,2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168,6</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176,5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180,3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439,9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COMPTE FINANCIER</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-23,2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897,4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669,5</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1603,6</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3073,3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2472,4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3583,5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Investissements directs (nets)</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1129,1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2251,1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1854,3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1887,4</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1330,4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2032,4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1902,5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Investissements de portefeuille (nets)</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123,0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-42,2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-34,5</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-31,2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-32,8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-12,8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Autres investissements (nets)</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-1275,3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-1311,5</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-1184,1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-249,3</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1774,2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472,7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1693,8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ERREURS ET OMISSIONS</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-363,7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-1021,2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-1527,6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-302,3</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-1626,6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-176,8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-79,1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global</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-26,2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1326,9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755,7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-148,1</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-456,9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-2795,8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-2214,0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Financement</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26,2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-1326,9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-755,7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148,1</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456,9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2795,8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2214,0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Variations des réserves off. (baisse + )</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-1345,5</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-767,6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75,7</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411,3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2321,0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1399,7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Financements exceptionnels</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72,5</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45,6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474,8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28,1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Variations des arriérés ext. (baisse -)</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-70,4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-53,7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6,1</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17,6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-41,2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0,0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Réaménagements de la dette</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143,2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29,2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60,4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66,4</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28,0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516,0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28,1 </w:t>
            </w:r>
          </w:p>
        </w:tc>
      </w:tr>
      <w:tr w:rsidR="00BD3B9B" w:rsidRPr="00544154" w:rsidTr="002E7809">
        <w:trPr>
          <w:trHeight w:val="306"/>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Autres</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-50,5</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0,0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0,0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0,0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GAP RÉSIDUEL</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0,0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0,0 </w:t>
            </w:r>
          </w:p>
        </w:tc>
        <w:tc>
          <w:tcPr>
            <w:tcW w:w="86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sz w:val="18"/>
                <w:szCs w:val="20"/>
              </w:rPr>
              <w:t xml:space="preserve">786,3 </w:t>
            </w:r>
          </w:p>
        </w:tc>
      </w:tr>
    </w:tbl>
    <w:p w:rsidR="00BD3B9B" w:rsidRPr="00544154" w:rsidRDefault="00BD3B9B" w:rsidP="00BD3B9B">
      <w:pPr>
        <w:pStyle w:val="xl46"/>
        <w:pBdr>
          <w:bottom w:val="none" w:sz="0" w:space="0" w:color="auto"/>
        </w:pBdr>
        <w:spacing w:before="0" w:beforeAutospacing="0" w:after="0" w:afterAutospacing="0"/>
        <w:jc w:val="both"/>
        <w:rPr>
          <w:rFonts w:ascii="Times New Roman" w:hAnsi="Times New Roman" w:cs="Times New Roman"/>
          <w:i/>
          <w:snapToGrid w:val="0"/>
          <w:sz w:val="18"/>
          <w:szCs w:val="18"/>
        </w:rPr>
      </w:pPr>
      <w:r w:rsidRPr="00544154">
        <w:rPr>
          <w:rFonts w:ascii="Times New Roman" w:hAnsi="Times New Roman" w:cs="Times New Roman"/>
          <w:i/>
          <w:snapToGrid w:val="0"/>
          <w:sz w:val="18"/>
          <w:szCs w:val="18"/>
          <w:u w:val="single"/>
        </w:rPr>
        <w:t>Sources</w:t>
      </w:r>
      <w:r w:rsidRPr="00544154">
        <w:rPr>
          <w:rFonts w:ascii="Times New Roman" w:hAnsi="Times New Roman" w:cs="Times New Roman"/>
          <w:i/>
          <w:snapToGrid w:val="0"/>
          <w:sz w:val="18"/>
          <w:szCs w:val="18"/>
        </w:rPr>
        <w:t xml:space="preserve"> : Administrations nationales, FMI, BEAC et Commission de la CEMAC.</w:t>
      </w:r>
    </w:p>
    <w:p w:rsidR="00BD3B9B" w:rsidRPr="00544154" w:rsidRDefault="00BD3B9B" w:rsidP="00BD3B9B">
      <w:pPr>
        <w:pStyle w:val="xl46"/>
        <w:pBdr>
          <w:bottom w:val="none" w:sz="0" w:space="0" w:color="auto"/>
        </w:pBdr>
        <w:spacing w:before="0" w:beforeAutospacing="0" w:after="0" w:afterAutospacing="0"/>
        <w:jc w:val="both"/>
        <w:rPr>
          <w:rFonts w:ascii="Times New Roman" w:hAnsi="Times New Roman" w:cs="Times New Roman"/>
          <w:sz w:val="18"/>
          <w:szCs w:val="18"/>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 w:rsidR="00BD3B9B" w:rsidRPr="00544154" w:rsidRDefault="00BD3B9B" w:rsidP="00BD3B9B"/>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p>
    <w:p w:rsidR="00BD3B9B" w:rsidRPr="00544154" w:rsidRDefault="00BD3B9B" w:rsidP="00BD3B9B">
      <w:pPr>
        <w:pStyle w:val="Lgende"/>
        <w:jc w:val="both"/>
        <w:rPr>
          <w:rFonts w:ascii="Times New Roman" w:hAnsi="Times New Roman"/>
          <w:b w:val="0"/>
          <w:bCs/>
        </w:rPr>
      </w:pPr>
      <w:r w:rsidRPr="00544154">
        <w:rPr>
          <w:rFonts w:ascii="Times New Roman" w:hAnsi="Times New Roman"/>
          <w:b w:val="0"/>
        </w:rPr>
        <w:lastRenderedPageBreak/>
        <w:t>CEMAC, Situation monétaire (en milliards de FCFA)</w:t>
      </w:r>
    </w:p>
    <w:tbl>
      <w:tblPr>
        <w:tblStyle w:val="Tableauclassique1"/>
        <w:tblW w:w="9882" w:type="dxa"/>
        <w:tblLook w:val="04A0" w:firstRow="1" w:lastRow="0" w:firstColumn="1" w:lastColumn="0" w:noHBand="0" w:noVBand="1"/>
      </w:tblPr>
      <w:tblGrid>
        <w:gridCol w:w="3936"/>
        <w:gridCol w:w="850"/>
        <w:gridCol w:w="766"/>
        <w:gridCol w:w="866"/>
        <w:gridCol w:w="866"/>
        <w:gridCol w:w="866"/>
        <w:gridCol w:w="866"/>
        <w:gridCol w:w="866"/>
      </w:tblGrid>
      <w:tr w:rsidR="00BD3B9B" w:rsidRPr="00544154" w:rsidTr="002E7809">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Agrégats</w:t>
            </w:r>
          </w:p>
        </w:tc>
        <w:tc>
          <w:tcPr>
            <w:tcW w:w="85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2010</w:t>
            </w:r>
          </w:p>
        </w:tc>
        <w:tc>
          <w:tcPr>
            <w:tcW w:w="76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2011</w:t>
            </w:r>
          </w:p>
        </w:tc>
        <w:tc>
          <w:tcPr>
            <w:tcW w:w="86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2012</w:t>
            </w:r>
          </w:p>
        </w:tc>
        <w:tc>
          <w:tcPr>
            <w:tcW w:w="86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2013</w:t>
            </w:r>
          </w:p>
        </w:tc>
        <w:tc>
          <w:tcPr>
            <w:tcW w:w="86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2014</w:t>
            </w:r>
          </w:p>
        </w:tc>
        <w:tc>
          <w:tcPr>
            <w:tcW w:w="86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2015</w:t>
            </w:r>
          </w:p>
        </w:tc>
        <w:tc>
          <w:tcPr>
            <w:tcW w:w="86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2016</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jc w:val="right"/>
              <w:rPr>
                <w:rFonts w:ascii="Times New Roman" w:hAnsi="Times New Roman"/>
                <w:sz w:val="18"/>
                <w:szCs w:val="18"/>
              </w:rPr>
            </w:pPr>
          </w:p>
        </w:tc>
        <w:tc>
          <w:tcPr>
            <w:tcW w:w="85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6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Estim.</w:t>
            </w:r>
          </w:p>
        </w:tc>
        <w:tc>
          <w:tcPr>
            <w:tcW w:w="86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Estim.</w:t>
            </w:r>
          </w:p>
        </w:tc>
        <w:tc>
          <w:tcPr>
            <w:tcW w:w="86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Estim.</w:t>
            </w:r>
          </w:p>
        </w:tc>
        <w:tc>
          <w:tcPr>
            <w:tcW w:w="86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Prév. Rév.</w:t>
            </w:r>
          </w:p>
        </w:tc>
        <w:tc>
          <w:tcPr>
            <w:tcW w:w="866"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Prév.</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Avoirs extérieurs nets (y/c Services Centraux)</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6705,1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8010,5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8749,4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8718,7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7908,4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5750,0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4284,9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BEAC</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6093,4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7471,0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8227,7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8123,3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7872,7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5730,6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4044,0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Banques</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611,7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539,5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521,7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595,5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35,7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19,4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240,9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Avoirs extérieurs bruts, dont</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896,7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1130,9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1152,3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1294,0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714,8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732,5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975,1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Crédits à l'économie transnationaux</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226,8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134,9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200,0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525,0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525,0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760,8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525,0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Engagements extérieurs bruts, dont</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-285,1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-591,4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-630,7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-698,5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-679,1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-713,1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-734,2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Dépôts de la clientèle transnationaux</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-72,0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-4,5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-61,2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-34,6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-15,2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-15,2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-15,2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Avoirs intérieurs nets</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996,0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1022,8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1746,7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2429,6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3899,9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5924,8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7794,9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Crédits intérieurs nets</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1429,2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1541,6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2613,0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3277,2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5022,0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7168,3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9056,5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Créances nettes sur l'État</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-2198,6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-3042,7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-2494,8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-3044,4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-1886,0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-373,7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526,5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Position nette du Gouvernement</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-1926,8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-2730,7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-2348,1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-2570,6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-1552,2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85,4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999,4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Créances sur les autres organismes publics</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-271,8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-312,0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-146,7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-473,9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-333,9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-459,2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-472,9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Crédits à l'économie, dont</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3627,8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4584,4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5107,9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6321,6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6908,0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7542,1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8529,9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Crédits à l'économie transnationaux</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129,0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134,9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141,2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373,3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310,8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760,8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525,0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Crédit des Services Centraux à la BDEAC</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Autres postes nets</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-433,2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-518,8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-866,3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-847,6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-1122,1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-1243,6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-1261,5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Masse monétaire</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7288,8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8611,5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10081,6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10751,1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11384,0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11222,2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11619,1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Monnaie fiduciaire</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1731,0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1968,6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2148,8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2324,3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2557,2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2555,8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2672,2 </w:t>
            </w:r>
          </w:p>
        </w:tc>
      </w:tr>
      <w:tr w:rsidR="00BD3B9B" w:rsidRPr="00544154" w:rsidTr="002E7809">
        <w:trPr>
          <w:trHeight w:val="291"/>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Dépôts à vue</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3713,7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4542,3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5427,7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5786,8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5997,2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5721,5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5838,7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BEAC</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55,1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54,7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72,0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55,1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49,9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55,1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58,1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Banques, dont </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3658,6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4487,6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5355,7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5731,8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5947,3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5666,4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5780,6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Dépôts de la clientèle transnationaux</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72,0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4,5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61,2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34,6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15,2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15,2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15,2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Dépôts à terme</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1844,1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2100,6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2505,1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2640,0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2829,6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2945,0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3108,2 </w:t>
            </w:r>
          </w:p>
        </w:tc>
      </w:tr>
      <w:tr w:rsidR="00BD3B9B" w:rsidRPr="00544154" w:rsidTr="002E7809">
        <w:trPr>
          <w:trHeight w:val="26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Allocations de DTS</w:t>
            </w:r>
          </w:p>
        </w:tc>
        <w:tc>
          <w:tcPr>
            <w:tcW w:w="850"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412,3 </w:t>
            </w:r>
          </w:p>
        </w:tc>
        <w:tc>
          <w:tcPr>
            <w:tcW w:w="7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421,8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414,5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397,2 </w:t>
            </w:r>
          </w:p>
        </w:tc>
        <w:tc>
          <w:tcPr>
            <w:tcW w:w="866" w:type="dxa"/>
            <w:noWrap/>
            <w:hideMark/>
          </w:tcPr>
          <w:p w:rsidR="00BD3B9B" w:rsidRPr="00B016F5"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424,2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452,5 </w:t>
            </w:r>
          </w:p>
        </w:tc>
        <w:tc>
          <w:tcPr>
            <w:tcW w:w="866"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20"/>
              </w:rPr>
              <w:t xml:space="preserve">460,8 </w:t>
            </w:r>
          </w:p>
        </w:tc>
      </w:tr>
    </w:tbl>
    <w:p w:rsidR="00BD3B9B" w:rsidRPr="00544154" w:rsidRDefault="00BD3B9B" w:rsidP="00BD3B9B">
      <w:pPr>
        <w:tabs>
          <w:tab w:val="left" w:pos="4425"/>
          <w:tab w:val="left" w:pos="5885"/>
          <w:tab w:val="left" w:pos="9103"/>
        </w:tabs>
        <w:jc w:val="both"/>
        <w:rPr>
          <w:i/>
          <w:snapToGrid w:val="0"/>
          <w:sz w:val="18"/>
          <w:szCs w:val="18"/>
        </w:rPr>
      </w:pPr>
      <w:r w:rsidRPr="00544154">
        <w:rPr>
          <w:i/>
          <w:snapToGrid w:val="0"/>
          <w:sz w:val="18"/>
          <w:szCs w:val="18"/>
          <w:u w:val="single"/>
        </w:rPr>
        <w:t>Source</w:t>
      </w:r>
      <w:r w:rsidRPr="00544154">
        <w:rPr>
          <w:i/>
          <w:snapToGrid w:val="0"/>
          <w:sz w:val="18"/>
          <w:szCs w:val="18"/>
        </w:rPr>
        <w:t xml:space="preserve"> : BEAC, États</w:t>
      </w:r>
    </w:p>
    <w:p w:rsidR="00BD3B9B" w:rsidRPr="00544154" w:rsidRDefault="00BD3B9B" w:rsidP="00BD3B9B">
      <w:pPr>
        <w:pStyle w:val="Lgende"/>
        <w:jc w:val="both"/>
        <w:rPr>
          <w:rFonts w:ascii="Times New Roman" w:hAnsi="Times New Roman"/>
          <w:b w:val="0"/>
          <w:bCs/>
        </w:rPr>
      </w:pPr>
      <w:r w:rsidRPr="00544154">
        <w:rPr>
          <w:rFonts w:ascii="Times New Roman" w:hAnsi="Times New Roman"/>
        </w:rPr>
        <w:br w:type="page"/>
      </w:r>
      <w:r w:rsidRPr="00544154">
        <w:rPr>
          <w:rFonts w:ascii="Times New Roman" w:hAnsi="Times New Roman"/>
          <w:b w:val="0"/>
        </w:rPr>
        <w:lastRenderedPageBreak/>
        <w:t>CEMAC, Synthèse des opérations financières de l'État et principaux indicateurs macroéconomiques</w:t>
      </w:r>
    </w:p>
    <w:tbl>
      <w:tblPr>
        <w:tblStyle w:val="Tableauclassique1"/>
        <w:tblW w:w="9929" w:type="dxa"/>
        <w:tblLayout w:type="fixed"/>
        <w:tblLook w:val="04A0" w:firstRow="1" w:lastRow="0" w:firstColumn="1" w:lastColumn="0" w:noHBand="0" w:noVBand="1"/>
      </w:tblPr>
      <w:tblGrid>
        <w:gridCol w:w="3936"/>
        <w:gridCol w:w="866"/>
        <w:gridCol w:w="866"/>
        <w:gridCol w:w="866"/>
        <w:gridCol w:w="866"/>
        <w:gridCol w:w="828"/>
        <w:gridCol w:w="850"/>
        <w:gridCol w:w="851"/>
      </w:tblGrid>
      <w:tr w:rsidR="00BD3B9B" w:rsidRPr="00544154" w:rsidTr="002E7809">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Zone CEMAC</w:t>
            </w:r>
          </w:p>
        </w:tc>
        <w:tc>
          <w:tcPr>
            <w:tcW w:w="86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2010</w:t>
            </w:r>
          </w:p>
        </w:tc>
        <w:tc>
          <w:tcPr>
            <w:tcW w:w="86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2011</w:t>
            </w:r>
          </w:p>
        </w:tc>
        <w:tc>
          <w:tcPr>
            <w:tcW w:w="86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2012</w:t>
            </w:r>
          </w:p>
        </w:tc>
        <w:tc>
          <w:tcPr>
            <w:tcW w:w="86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2013</w:t>
            </w:r>
          </w:p>
        </w:tc>
        <w:tc>
          <w:tcPr>
            <w:tcW w:w="828"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2014</w:t>
            </w:r>
          </w:p>
        </w:tc>
        <w:tc>
          <w:tcPr>
            <w:tcW w:w="850"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2015</w:t>
            </w:r>
          </w:p>
        </w:tc>
        <w:tc>
          <w:tcPr>
            <w:tcW w:w="851"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2016</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RECETTES TOTALES ET DONS (en milliards)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11343,5</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12129,8</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13014,9</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12521,3</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12285,4</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9566,7</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9766,8</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TOTALES (en milliards)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9799,9</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11875,5</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12736,4</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12315,0</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12030,8</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9349,2</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9240,5</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pétrolières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6288,8</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7938,4</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8387,5</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7567,2</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6548,8</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3907,7</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2924,5</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non pétrolières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3511,1</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3937,0</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4348,8</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4747,8</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5482,0</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5441,5</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6316,0</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fiscales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3231,2</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3631,5</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3991,2</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4443,3</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4733,5</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4943,6</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5714,3</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non fiscales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280,0</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305,5</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357,6</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304,5</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748,5</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498,0</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601,6</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DONS (en milliards)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1543,6</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254,3</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278,6</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206,3</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254,6</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217,5</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526,3</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DÉPENSES TOTALES (en milliards)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9275,4</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10837,0</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13359,6</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13343,3</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12789,6</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10727,4</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12268,1</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COURANTES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4552,8</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5080,0</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6005,7</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6650,7</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6397,6</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6054,9</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6629,4</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dont salaires et traitements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1484,8</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1639,7</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1842,8</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2057,5</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2405,4</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2454,3</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2592,7</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intérêts de la dette publique</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234,0</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204,4</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217,0</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310,2</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301,0</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347,0</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589,2</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EN CAPITAL</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4722,6</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5757,0</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7353,9</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6692,6</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6392,0</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4672,6</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5638,7</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sur financement interne</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4070,0</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4926,3</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6393,9</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5236,1</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5215,8</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3747,5</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3909,2</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PRIMAIRE (en milliards)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1411,1</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2073,6</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553,7</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738,4</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718,4</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-106,1</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-709,0</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BUDGÉTAIRE DE BASE (en milliards)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1177,1</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1869,2</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336,8</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428,2</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417,4</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-453,2</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-1298,1</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GLOBAL, base engagements, hors dons (en milliards)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524,5</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1038,5</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-623,2</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-1028,3</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-758,8</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-1378,2</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-3027,7</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SOLDE GLOBAL, base caisse (en milliards)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152,9</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681,1</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-929,1</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-1585,3</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-1195,8</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-1941,2</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-3178,4</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STOCK DETTE publique (en milliards)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6209,6</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7697,6</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8767,1</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10659,9</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12831,8</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13514,6</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14774,1</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dette extérieure</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5197,4</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6271,2</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7075,4</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8608,4</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10584,7</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11180,5</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12439,0</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dette intérieure</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1012,2</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1426,3</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1691,7</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2051,5</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2247,1</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2334,1</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2335,1</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ARRIERES GESTION COURANTE  (en milliards)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8,0</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6,3</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8,1</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6,5</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17,8</w:t>
            </w:r>
          </w:p>
        </w:tc>
        <w:tc>
          <w:tcPr>
            <w:tcW w:w="850" w:type="dxa"/>
            <w:noWrap/>
            <w:hideMark/>
          </w:tcPr>
          <w:p w:rsidR="00BD3B9B" w:rsidRPr="001C509F" w:rsidRDefault="00AD7D9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D7D99">
              <w:rPr>
                <w:sz w:val="18"/>
              </w:rPr>
              <w:t>&gt;</w:t>
            </w:r>
            <w:r w:rsidR="00BD3B9B" w:rsidRPr="00C33E0F">
              <w:rPr>
                <w:sz w:val="18"/>
              </w:rPr>
              <w:t>0</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0,0</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arriérés extérieurs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8,0</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6,3</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8,1</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6,5</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17,8</w:t>
            </w:r>
          </w:p>
        </w:tc>
        <w:tc>
          <w:tcPr>
            <w:tcW w:w="850" w:type="dxa"/>
            <w:noWrap/>
            <w:hideMark/>
          </w:tcPr>
          <w:p w:rsidR="00BD3B9B" w:rsidRPr="001C509F" w:rsidRDefault="004D6A11"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C33E0F">
              <w:rPr>
                <w:sz w:val="18"/>
              </w:rPr>
              <w:t>&gt;</w:t>
            </w:r>
            <w:r w:rsidR="00BD3B9B" w:rsidRPr="001C509F">
              <w:rPr>
                <w:sz w:val="18"/>
              </w:rPr>
              <w:t>0</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0,0</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arriérés intérieurs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0,0</w:t>
            </w:r>
          </w:p>
        </w:tc>
        <w:tc>
          <w:tcPr>
            <w:tcW w:w="850" w:type="dxa"/>
            <w:noWrap/>
            <w:hideMark/>
          </w:tcPr>
          <w:p w:rsidR="00BD3B9B" w:rsidRPr="001C509F" w:rsidRDefault="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C33E0F">
              <w:rPr>
                <w:sz w:val="18"/>
              </w:rPr>
              <w:t>&gt;</w:t>
            </w:r>
            <w:r w:rsidR="00BD3B9B" w:rsidRPr="001C509F">
              <w:rPr>
                <w:sz w:val="18"/>
              </w:rPr>
              <w:t>0</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0,0</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50" w:type="dxa"/>
            <w:noWrap/>
            <w:hideMark/>
          </w:tcPr>
          <w:p w:rsidR="00BD3B9B" w:rsidRPr="00C33E0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 xml:space="preserve">critères de convergence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50" w:type="dxa"/>
            <w:noWrap/>
            <w:hideMark/>
          </w:tcPr>
          <w:p w:rsidR="00BD3B9B" w:rsidRPr="00C33E0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budgétaire de base rapporté au PIB nominal (en  %)</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3,1</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0,9</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0,9</w:t>
            </w:r>
          </w:p>
        </w:tc>
        <w:tc>
          <w:tcPr>
            <w:tcW w:w="850" w:type="dxa"/>
            <w:noWrap/>
            <w:hideMark/>
          </w:tcPr>
          <w:p w:rsidR="00BD3B9B" w:rsidRPr="00C33E0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C33E0F">
              <w:rPr>
                <w:rFonts w:ascii="Times New Roman" w:hAnsi="Times New Roman"/>
                <w:sz w:val="18"/>
              </w:rPr>
              <w:t>-1,0</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-3,0</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d'inflation annuel moyen (en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0,9</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2,5</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3,8</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3,2</w:t>
            </w:r>
          </w:p>
        </w:tc>
        <w:tc>
          <w:tcPr>
            <w:tcW w:w="850" w:type="dxa"/>
            <w:noWrap/>
            <w:hideMark/>
          </w:tcPr>
          <w:p w:rsidR="00BD3B9B" w:rsidRPr="00C33E0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C33E0F">
              <w:rPr>
                <w:rFonts w:ascii="Times New Roman" w:hAnsi="Times New Roman"/>
                <w:sz w:val="18"/>
              </w:rPr>
              <w:t>2,3</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2,7</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d'endettement public en  % du PIB</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16,1</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17,5</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18,3</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22,5</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26,3</w:t>
            </w:r>
          </w:p>
        </w:tc>
        <w:tc>
          <w:tcPr>
            <w:tcW w:w="850" w:type="dxa"/>
            <w:noWrap/>
            <w:hideMark/>
          </w:tcPr>
          <w:p w:rsidR="00BD3B9B" w:rsidRPr="00C33E0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C33E0F">
              <w:rPr>
                <w:rFonts w:ascii="Times New Roman" w:hAnsi="Times New Roman"/>
                <w:sz w:val="18"/>
              </w:rPr>
              <w:t>30,8</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34,4</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accumulation arriérés gestion courante (en milliards)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8,0</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6,3</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8,1</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6,5</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17,8</w:t>
            </w:r>
          </w:p>
        </w:tc>
        <w:tc>
          <w:tcPr>
            <w:tcW w:w="850" w:type="dxa"/>
            <w:noWrap/>
            <w:hideMark/>
          </w:tcPr>
          <w:p w:rsidR="00BD3B9B" w:rsidRPr="001C509F" w:rsidRDefault="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C33E0F">
              <w:rPr>
                <w:sz w:val="18"/>
              </w:rPr>
              <w:t>&gt;</w:t>
            </w:r>
            <w:r w:rsidR="00BD3B9B" w:rsidRPr="001C509F">
              <w:rPr>
                <w:sz w:val="18"/>
              </w:rPr>
              <w:t>0</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0,0</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b/>
                <w:bCs/>
                <w:i/>
                <w:iCs/>
                <w:sz w:val="18"/>
                <w:szCs w:val="20"/>
              </w:rPr>
            </w:pPr>
            <w:r w:rsidRPr="00544154">
              <w:rPr>
                <w:rFonts w:ascii="Times New Roman" w:hAnsi="Times New Roman"/>
                <w:b/>
                <w:bCs/>
                <w:i/>
                <w:iCs/>
                <w:sz w:val="18"/>
                <w:szCs w:val="20"/>
              </w:rPr>
              <w:t>Indicateurs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couverture extérieure de la monnaie (en  %)</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100,3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99,8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98,4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97,5</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89,8</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77,1</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60,5</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budgétaire primaire rapporté au PIB nominal (en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3,7</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4,7</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1,5</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-0,2</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-1,6</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évolution masse salariale par rapport à évolution recettes fiscales ≤ 1</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17</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20</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26</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28</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déficit extérieur courant hors dons sur PIB nominal (en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-3,2</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2,7</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2,7</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-3,4</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-4,5</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-12,2</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-14,6</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pression fiscale non pétrolière (en  % du PIB non pétrolier)</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14,0</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14,7</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14,6</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15,2</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15,0</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14,9</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16,1</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global, base engagements, hors dons sur PIB (en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-1,6</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-3,1</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-7,0</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global, base caisse sur PIB (en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0,4</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-1,9</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-3,3</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-2,4</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-4,4</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-7,4</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COMPTES NATIONAUX</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nominal (en milliards)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38524,4</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43902,2</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47805,4</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47476,6</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48844,3</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43814,9</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42969,0</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nominal hors pétrole (en milliards)</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23100,6</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24736,1</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27365,5</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29270,2</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31558,3</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33215,9</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35525,4</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en volume (au prix de l'année de base 1992)</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31183,7</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32414,4</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34281,0</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34741,0</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36421,4</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37441,8</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38457,4</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croissance du PIB en volume (en  %)</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5,0</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3,9</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5,8</w:t>
            </w:r>
          </w:p>
        </w:tc>
        <w:tc>
          <w:tcPr>
            <w:tcW w:w="866" w:type="dxa"/>
            <w:noWrap/>
            <w:vAlign w:val="center"/>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w:t>
            </w:r>
          </w:p>
        </w:tc>
        <w:tc>
          <w:tcPr>
            <w:tcW w:w="828" w:type="dxa"/>
            <w:noWrap/>
            <w:hideMark/>
          </w:tcPr>
          <w:p w:rsidR="00BD3B9B" w:rsidRPr="00FA05D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4,8</w:t>
            </w:r>
          </w:p>
        </w:tc>
        <w:tc>
          <w:tcPr>
            <w:tcW w:w="85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2,8</w:t>
            </w:r>
          </w:p>
        </w:tc>
        <w:tc>
          <w:tcPr>
            <w:tcW w:w="851"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rPr>
              <w:t>2,7</w:t>
            </w:r>
          </w:p>
        </w:tc>
      </w:tr>
    </w:tbl>
    <w:p w:rsidR="00BD3B9B" w:rsidRPr="00544154" w:rsidRDefault="00BD3B9B" w:rsidP="00BD3B9B">
      <w:pPr>
        <w:pStyle w:val="xl46"/>
        <w:pBdr>
          <w:bottom w:val="none" w:sz="0" w:space="0" w:color="auto"/>
        </w:pBdr>
        <w:spacing w:before="0" w:beforeAutospacing="0" w:after="0" w:afterAutospacing="0"/>
        <w:jc w:val="both"/>
        <w:rPr>
          <w:rFonts w:ascii="Times New Roman" w:hAnsi="Times New Roman" w:cs="Times New Roman"/>
          <w:sz w:val="18"/>
          <w:szCs w:val="18"/>
        </w:rPr>
      </w:pPr>
      <w:r w:rsidRPr="00544154">
        <w:rPr>
          <w:rFonts w:ascii="Times New Roman" w:hAnsi="Times New Roman" w:cs="Times New Roman"/>
          <w:i/>
          <w:snapToGrid w:val="0"/>
          <w:sz w:val="18"/>
          <w:szCs w:val="18"/>
          <w:u w:val="single"/>
        </w:rPr>
        <w:t>Sources</w:t>
      </w:r>
      <w:r w:rsidRPr="00544154">
        <w:rPr>
          <w:rFonts w:ascii="Times New Roman" w:hAnsi="Times New Roman" w:cs="Times New Roman"/>
          <w:i/>
          <w:snapToGrid w:val="0"/>
          <w:sz w:val="18"/>
          <w:szCs w:val="18"/>
        </w:rPr>
        <w:t xml:space="preserve"> : Commission de la CEMAC.</w:t>
      </w:r>
    </w:p>
    <w:p w:rsidR="00BD3B9B" w:rsidRPr="00544154" w:rsidRDefault="00BD3B9B" w:rsidP="00BD3B9B">
      <w:pPr>
        <w:pStyle w:val="Lgende"/>
        <w:jc w:val="both"/>
        <w:rPr>
          <w:rFonts w:ascii="Times New Roman" w:hAnsi="Times New Roman"/>
          <w:b w:val="0"/>
          <w:bCs/>
        </w:rPr>
      </w:pPr>
      <w:r w:rsidRPr="00544154">
        <w:rPr>
          <w:rFonts w:ascii="Times New Roman" w:hAnsi="Times New Roman"/>
        </w:rPr>
        <w:br w:type="page"/>
      </w:r>
      <w:r w:rsidRPr="00544154">
        <w:rPr>
          <w:rFonts w:ascii="Times New Roman" w:hAnsi="Times New Roman"/>
          <w:b w:val="0"/>
        </w:rPr>
        <w:lastRenderedPageBreak/>
        <w:t>CAMEROUN, Synthèse des opérations financières de l'État et principaux indicateurs macroéconomiques</w:t>
      </w:r>
    </w:p>
    <w:tbl>
      <w:tblPr>
        <w:tblStyle w:val="Tableauclassique1"/>
        <w:tblW w:w="9495" w:type="dxa"/>
        <w:tblLayout w:type="fixed"/>
        <w:tblLook w:val="04A0" w:firstRow="1" w:lastRow="0" w:firstColumn="1" w:lastColumn="0" w:noHBand="0" w:noVBand="1"/>
      </w:tblPr>
      <w:tblGrid>
        <w:gridCol w:w="4117"/>
        <w:gridCol w:w="748"/>
        <w:gridCol w:w="748"/>
        <w:gridCol w:w="748"/>
        <w:gridCol w:w="748"/>
        <w:gridCol w:w="796"/>
        <w:gridCol w:w="795"/>
        <w:gridCol w:w="795"/>
      </w:tblGrid>
      <w:tr w:rsidR="00BD3B9B" w:rsidRPr="00544154" w:rsidTr="002E7809">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Cameroun</w:t>
            </w:r>
          </w:p>
        </w:tc>
        <w:tc>
          <w:tcPr>
            <w:tcW w:w="748"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6"/>
                <w:szCs w:val="16"/>
              </w:rPr>
            </w:pPr>
            <w:r w:rsidRPr="00544154">
              <w:rPr>
                <w:rFonts w:ascii="Times New Roman" w:hAnsi="Times New Roman"/>
                <w:b/>
                <w:bCs/>
                <w:sz w:val="16"/>
                <w:szCs w:val="16"/>
              </w:rPr>
              <w:t>2010</w:t>
            </w:r>
          </w:p>
        </w:tc>
        <w:tc>
          <w:tcPr>
            <w:tcW w:w="748"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6"/>
                <w:szCs w:val="16"/>
              </w:rPr>
            </w:pPr>
            <w:r w:rsidRPr="00544154">
              <w:rPr>
                <w:rFonts w:ascii="Times New Roman" w:hAnsi="Times New Roman"/>
                <w:b/>
                <w:bCs/>
                <w:sz w:val="16"/>
                <w:szCs w:val="16"/>
              </w:rPr>
              <w:t>2011</w:t>
            </w:r>
          </w:p>
        </w:tc>
        <w:tc>
          <w:tcPr>
            <w:tcW w:w="748"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6"/>
                <w:szCs w:val="16"/>
              </w:rPr>
            </w:pPr>
            <w:r w:rsidRPr="00544154">
              <w:rPr>
                <w:rFonts w:ascii="Times New Roman" w:hAnsi="Times New Roman"/>
                <w:b/>
                <w:bCs/>
                <w:sz w:val="16"/>
                <w:szCs w:val="16"/>
              </w:rPr>
              <w:t>2012</w:t>
            </w:r>
          </w:p>
        </w:tc>
        <w:tc>
          <w:tcPr>
            <w:tcW w:w="748"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6"/>
                <w:szCs w:val="16"/>
              </w:rPr>
            </w:pPr>
            <w:r w:rsidRPr="00544154">
              <w:rPr>
                <w:rFonts w:ascii="Times New Roman" w:hAnsi="Times New Roman"/>
                <w:b/>
                <w:bCs/>
                <w:sz w:val="16"/>
                <w:szCs w:val="16"/>
              </w:rPr>
              <w:t>2013</w:t>
            </w:r>
          </w:p>
        </w:tc>
        <w:tc>
          <w:tcPr>
            <w:tcW w:w="79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6"/>
                <w:szCs w:val="16"/>
              </w:rPr>
            </w:pPr>
            <w:r w:rsidRPr="00544154">
              <w:rPr>
                <w:rFonts w:ascii="Times New Roman" w:hAnsi="Times New Roman"/>
                <w:b/>
                <w:bCs/>
                <w:sz w:val="16"/>
                <w:szCs w:val="16"/>
              </w:rPr>
              <w:t>2014</w:t>
            </w:r>
          </w:p>
        </w:tc>
        <w:tc>
          <w:tcPr>
            <w:tcW w:w="795"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6"/>
                <w:szCs w:val="16"/>
              </w:rPr>
            </w:pPr>
            <w:r w:rsidRPr="00544154">
              <w:rPr>
                <w:rFonts w:ascii="Times New Roman" w:hAnsi="Times New Roman"/>
                <w:b/>
                <w:bCs/>
                <w:sz w:val="16"/>
                <w:szCs w:val="16"/>
              </w:rPr>
              <w:t>2015</w:t>
            </w:r>
          </w:p>
        </w:tc>
        <w:tc>
          <w:tcPr>
            <w:tcW w:w="795" w:type="dxa"/>
            <w:vAlign w:val="center"/>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6"/>
                <w:szCs w:val="16"/>
              </w:rPr>
            </w:pPr>
            <w:r w:rsidRPr="00544154">
              <w:rPr>
                <w:rFonts w:ascii="Times New Roman" w:hAnsi="Times New Roman"/>
                <w:b/>
                <w:bCs/>
                <w:sz w:val="16"/>
                <w:szCs w:val="16"/>
              </w:rPr>
              <w:t>2016</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RECETTES TOTALES ET DONS (en milliards)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2153,8</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2294,9</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2489,5</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2686,0</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2795,9</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3056,0</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2991,7</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TOTALES (en milliards)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2066,8</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2228,6</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2434,6</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2639,7</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2772,4</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3019,4</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2933,5</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pétrolières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497,0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613,3</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693,0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699,7</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577,2</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498,2</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347,2</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non pétrolières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1569,8</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1615,3</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1741,6</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1940,0</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2195,2</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2521,3</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2586,3</w:t>
            </w:r>
          </w:p>
        </w:tc>
      </w:tr>
      <w:tr w:rsidR="00BD3B9B" w:rsidRPr="00544154" w:rsidTr="002E7809">
        <w:trPr>
          <w:trHeight w:val="305"/>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fiscales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1488,9</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1529,5</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1648,8</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1828,9</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2041,6</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2248,1</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2314,1</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non fiscales </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80,9</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85,8</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92,8</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111,1</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153,6</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140,4</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152,2</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DONS (en milliards)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87,0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66,3</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55,0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46,3</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23,5</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36,6</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58,2</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DÉPENSES TOTALES (en milliards)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2172,8</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2380,6</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2549,2</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3199,4</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3248,4</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3135,7</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3749,5</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COURANTES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1610,0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1762,5</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1808,2</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2133,5</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2194,9</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2014,7</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2223,7</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salaires et traitements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634,0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681,6</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706,1</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790,1</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848,8</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897,8</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955,2</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intérêts de la dette publique</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32,0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44,1</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51,2</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58,0</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69,2</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107,2</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242,5</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EN CAPITAL</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562,8</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618,1</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740,9</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1065,9</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1053,5</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1121,1</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1525,8</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sur financement interne</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447,8</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517,9</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551,8</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573,2</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566,4</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696,1</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1000,8</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PRIMAIRE (en milliards)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41,0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-7,7</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125,7</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-9,0</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80,3</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415,9</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-48,5</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BUDGÉTAIRE DE BASE (en milliards)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9,0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-51,8</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74,5</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-67,0</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11,1</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308,7</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-291,0</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GLOBAL, base engagements, hors dons (en milliards)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-106,0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-152,0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-114,6</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-559,7</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-476,0</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-116,3</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-816,0</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SOLDE GLOBAL, base caisse (en milliards)  </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-166,7</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-248,2</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-174,6</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-580,7</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-490,6</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-222,4</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-826,0</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STOCK DETTE publique (en milliards)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1804,9</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2232,0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2449,7</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2937,6</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3618,0</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3965,0</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4220,4</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dette extérieure</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1181,5</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1481,8</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1748,3</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2137,9</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2677,0</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2937,0</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3192,4</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dette intérieure</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623,4</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750,2</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701,4</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799,7</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941,0</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1028,0</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1028,0</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ARRIERES GESTION COURANTE  (en milliards)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0,0</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0,0</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arriérés extérieurs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0,0</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0,0</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arriérés intérieurs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 xml:space="preserve">critères de convergence </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budgétaire de base rapporté au PIB nominal (en  %)</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0,1</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-0,4</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0,6</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-0,5</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0,1</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1,8</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-1,6</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d'inflation annuel moyen (en  %)</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1,3</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2,9</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2,4</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2,1</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1,8</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2,7</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3,0</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d'endettement public en  % du PIB</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15,4</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17,8</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18,1</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20,1</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22,8</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23,6</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23,6</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accumulation arriérés gestion courante (en milliards)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0,0</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0,0</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b/>
                <w:bCs/>
                <w:i/>
                <w:iCs/>
                <w:sz w:val="18"/>
                <w:szCs w:val="20"/>
              </w:rPr>
            </w:pPr>
            <w:r w:rsidRPr="00544154">
              <w:rPr>
                <w:rFonts w:ascii="Times New Roman" w:hAnsi="Times New Roman"/>
                <w:b/>
                <w:bCs/>
                <w:i/>
                <w:iCs/>
                <w:sz w:val="18"/>
                <w:szCs w:val="20"/>
              </w:rPr>
              <w:t>Indicateurs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couverture extérieure de la monnaie (en  %)</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95,3</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94,1</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94,0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93,9</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93,1</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86,8</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71,4</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budgétaire primaire rapporté au PIB nominal (en  %)</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0,4</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-0,1</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0,9</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-0,1</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0,5</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2,5</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-0,3</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évolution masse salariale par rapport à évolution recettes fiscales ≤ 1</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30,7</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30,6</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29,0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29,9</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30,6</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29,7</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32,6</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déficit extérieur courant hors dons sur PIB nominal (en  %)</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-3,8</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-3,3</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-3,9</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-4,1</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-4,7</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-4,5</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-5,6</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pression fiscale non pétrolière (en  % du PIB non pétrolier)</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13,6</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13,2</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13,3</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13,5</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13,8</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14,1</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13,4</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global, base engagements, hors dons sur PIB (en  %)</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-0,9</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-1,2</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-0,8</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-3,8</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-3,0</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-0,7</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-4,6</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global, base caisse sur PIB (en  %)</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-1,4</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-2,0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-1,3</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-4,0</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-3,1</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-1,3</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-4,6</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COMPTES NATIONAUX</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nominal (en milliards)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11699,7</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12545,6</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13514,7</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14607,5</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15846,5</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16815,6</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17882,7</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nominal hors pétrole (en milliards)</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10942,6</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11605,0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12440,2</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13547,1</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14760,9</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15979,2</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17299,7</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en volume (au prix de l'année de base de 2000)</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9156,7</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9535,8</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9973,4</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10528,1</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11152,1</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11811,3</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12433,9</w:t>
            </w:r>
          </w:p>
        </w:tc>
      </w:tr>
      <w:tr w:rsidR="00BD3B9B" w:rsidRPr="00544154" w:rsidTr="002E7809">
        <w:trPr>
          <w:trHeight w:val="280"/>
        </w:trPr>
        <w:tc>
          <w:tcPr>
            <w:cnfStyle w:val="001000000000" w:firstRow="0" w:lastRow="0" w:firstColumn="1" w:lastColumn="0" w:oddVBand="0" w:evenVBand="0" w:oddHBand="0" w:evenHBand="0" w:firstRowFirstColumn="0" w:firstRowLastColumn="0" w:lastRowFirstColumn="0" w:lastRowLastColumn="0"/>
            <w:tcW w:w="411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croissance du PIB en volume (en  %)</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3,3</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4,1</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4,6</w:t>
            </w:r>
          </w:p>
        </w:tc>
        <w:tc>
          <w:tcPr>
            <w:tcW w:w="74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544154">
              <w:rPr>
                <w:rFonts w:ascii="Times New Roman" w:hAnsi="Times New Roman"/>
                <w:sz w:val="16"/>
                <w:szCs w:val="16"/>
              </w:rPr>
              <w:t>5,6</w:t>
            </w:r>
          </w:p>
        </w:tc>
        <w:tc>
          <w:tcPr>
            <w:tcW w:w="7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8"/>
              </w:rPr>
            </w:pPr>
            <w:r w:rsidRPr="004058E8">
              <w:rPr>
                <w:rFonts w:ascii="Times New Roman" w:hAnsi="Times New Roman"/>
                <w:sz w:val="16"/>
                <w:szCs w:val="18"/>
              </w:rPr>
              <w:t>5,9</w:t>
            </w:r>
          </w:p>
        </w:tc>
        <w:tc>
          <w:tcPr>
            <w:tcW w:w="795"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5,9</w:t>
            </w:r>
          </w:p>
        </w:tc>
        <w:tc>
          <w:tcPr>
            <w:tcW w:w="795" w:type="dxa"/>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5,3</w:t>
            </w:r>
          </w:p>
        </w:tc>
      </w:tr>
    </w:tbl>
    <w:p w:rsidR="00BD3B9B" w:rsidRPr="00544154" w:rsidRDefault="00BD3B9B" w:rsidP="00BD3B9B">
      <w:pPr>
        <w:pStyle w:val="xl46"/>
        <w:pBdr>
          <w:bottom w:val="none" w:sz="0" w:space="0" w:color="auto"/>
        </w:pBdr>
        <w:spacing w:before="0" w:beforeAutospacing="0" w:after="0" w:afterAutospacing="0"/>
        <w:jc w:val="both"/>
        <w:rPr>
          <w:rFonts w:ascii="Times New Roman" w:hAnsi="Times New Roman" w:cs="Times New Roman"/>
          <w:i/>
          <w:snapToGrid w:val="0"/>
          <w:sz w:val="18"/>
          <w:szCs w:val="18"/>
        </w:rPr>
      </w:pPr>
      <w:r w:rsidRPr="00544154">
        <w:rPr>
          <w:rFonts w:ascii="Times New Roman" w:hAnsi="Times New Roman" w:cs="Times New Roman"/>
          <w:i/>
          <w:snapToGrid w:val="0"/>
          <w:sz w:val="18"/>
          <w:szCs w:val="18"/>
          <w:u w:val="single"/>
        </w:rPr>
        <w:t>Sources</w:t>
      </w:r>
      <w:r w:rsidRPr="00544154">
        <w:rPr>
          <w:rFonts w:ascii="Times New Roman" w:hAnsi="Times New Roman" w:cs="Times New Roman"/>
          <w:i/>
          <w:snapToGrid w:val="0"/>
          <w:sz w:val="18"/>
          <w:szCs w:val="18"/>
        </w:rPr>
        <w:t xml:space="preserve"> : Commission de la CEMAC.</w:t>
      </w:r>
    </w:p>
    <w:p w:rsidR="00BD3B9B" w:rsidRPr="00544154" w:rsidRDefault="00BD3B9B" w:rsidP="00BD3B9B">
      <w:pPr>
        <w:pStyle w:val="Lgende"/>
        <w:jc w:val="both"/>
        <w:rPr>
          <w:rFonts w:ascii="Times New Roman" w:hAnsi="Times New Roman"/>
          <w:b w:val="0"/>
          <w:bCs/>
        </w:rPr>
      </w:pPr>
      <w:r w:rsidRPr="00544154">
        <w:rPr>
          <w:rFonts w:ascii="Times New Roman" w:hAnsi="Times New Roman"/>
        </w:rPr>
        <w:br w:type="page"/>
      </w:r>
      <w:r w:rsidRPr="00544154">
        <w:rPr>
          <w:rFonts w:ascii="Times New Roman" w:hAnsi="Times New Roman"/>
          <w:b w:val="0"/>
        </w:rPr>
        <w:lastRenderedPageBreak/>
        <w:t>CENTRAFRIQUE, Synthèse des opérations financières de l'État et principaux indicateurs macroéconomiques</w:t>
      </w:r>
    </w:p>
    <w:tbl>
      <w:tblPr>
        <w:tblStyle w:val="Tableauclassique1"/>
        <w:tblW w:w="9941" w:type="dxa"/>
        <w:jc w:val="center"/>
        <w:tblLook w:val="04A0" w:firstRow="1" w:lastRow="0" w:firstColumn="1" w:lastColumn="0" w:noHBand="0" w:noVBand="1"/>
      </w:tblPr>
      <w:tblGrid>
        <w:gridCol w:w="4184"/>
        <w:gridCol w:w="765"/>
        <w:gridCol w:w="788"/>
        <w:gridCol w:w="765"/>
        <w:gridCol w:w="665"/>
        <w:gridCol w:w="1026"/>
        <w:gridCol w:w="936"/>
        <w:gridCol w:w="812"/>
      </w:tblGrid>
      <w:tr w:rsidR="00BD3B9B" w:rsidRPr="00544154" w:rsidTr="002E7809">
        <w:trPr>
          <w:cnfStyle w:val="100000000000" w:firstRow="1" w:lastRow="0" w:firstColumn="0" w:lastColumn="0" w:oddVBand="0" w:evenVBand="0" w:oddHBand="0"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Centrafrique</w:t>
            </w:r>
          </w:p>
        </w:tc>
        <w:tc>
          <w:tcPr>
            <w:tcW w:w="765"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2010</w:t>
            </w:r>
          </w:p>
        </w:tc>
        <w:tc>
          <w:tcPr>
            <w:tcW w:w="788"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2011</w:t>
            </w:r>
          </w:p>
        </w:tc>
        <w:tc>
          <w:tcPr>
            <w:tcW w:w="765"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2012</w:t>
            </w:r>
          </w:p>
        </w:tc>
        <w:tc>
          <w:tcPr>
            <w:tcW w:w="665"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2013</w:t>
            </w:r>
          </w:p>
        </w:tc>
        <w:tc>
          <w:tcPr>
            <w:tcW w:w="102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2014</w:t>
            </w:r>
          </w:p>
        </w:tc>
        <w:tc>
          <w:tcPr>
            <w:tcW w:w="93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2015</w:t>
            </w:r>
          </w:p>
        </w:tc>
        <w:tc>
          <w:tcPr>
            <w:tcW w:w="812"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RECETTES TOTALES ET DONS (en milliards)</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168,7</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138,1</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174,4</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64,0</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127,1</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144,5</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168,8</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TOTALES (en milliards)</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114,2</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111,8</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127,8</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43,2</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41,8</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59,2</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81,6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pétrolières</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0,0</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non pétrolières</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114,2</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111,8</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127,8</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43,2</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41,8</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59,2</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80,6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fiscales</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91,9</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87,1</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111,1</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39,8</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37,6</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54,1</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73,0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non fiscales </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22,3</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24,7</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16,7</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3,4</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4,2</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5,1</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DONS (en milliards)</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54,5</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26,3</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46,6</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20,7</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85,3</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85,3</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87,2</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DÉPENSES TOTALES (en milliards)</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168,1</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164,3</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162,5</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111,9</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107,2</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137,5</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207,8</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COURANTES</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111,9</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123,3</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108,6</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99,2</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89,1</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88,3</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110,6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salaires et traitements</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42,8</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46,0</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49,0</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53,7</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54,9</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49,5</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50,0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intérêts de la dette publique</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6,4</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8,7</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6,0</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4,9</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5,5</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8,4</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EN CAPITAL</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56,2</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41,0</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53,9</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12,7</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18,1</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49,2</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97,2</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sur financement interne</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12,0</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10,7</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16,0</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0,6</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0,8</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3,3</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10,0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PRIMAIRE (en milliards)</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-3,3</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-13,5</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9,2</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-51,7</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-42,6</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-24,0</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-32,4</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BUDGÉTAIRE DE BASE (en milliards)</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-9,7</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-22,1</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3,2</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-56,6</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-48,1</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-32,4</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-39,9</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GLOBAL, base engagements, hors dons (en milliards)</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-53,9</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-52,4</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-34,7</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-68,7</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-65,4</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-78,3</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-127,1</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SOLDE GLOBAL, base caisse (en milliards)  </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-68,1</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-43,7</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-24,3</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-59,5</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-79,2</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-88,4</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-132,1</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STOCK DETTE publique milliards)</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433,7</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429,8</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424,0</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452,6</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452,1</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452,7</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501,5</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dette extérieure</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292,0</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288,1</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290,5</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318,0</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310,4</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311,0</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359,8</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dette intérieure</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141,7</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141,7</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133,5</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134,6</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141,7</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141,7</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141,7</w:t>
            </w:r>
          </w:p>
        </w:tc>
      </w:tr>
      <w:tr w:rsidR="004D6A11"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4D6A11" w:rsidRPr="00544154" w:rsidRDefault="004D6A11" w:rsidP="004D6A11">
            <w:pPr>
              <w:ind w:firstLine="0"/>
              <w:rPr>
                <w:rFonts w:ascii="Times New Roman" w:hAnsi="Times New Roman"/>
                <w:sz w:val="18"/>
                <w:szCs w:val="20"/>
              </w:rPr>
            </w:pPr>
            <w:r w:rsidRPr="00544154">
              <w:rPr>
                <w:rFonts w:ascii="Times New Roman" w:hAnsi="Times New Roman"/>
                <w:sz w:val="18"/>
                <w:szCs w:val="20"/>
              </w:rPr>
              <w:t>ARRIERES GESTION COURANTE  (en milliards)</w:t>
            </w:r>
          </w:p>
        </w:tc>
        <w:tc>
          <w:tcPr>
            <w:tcW w:w="765" w:type="dxa"/>
            <w:noWrap/>
            <w:hideMark/>
          </w:tcPr>
          <w:p w:rsidR="004D6A11" w:rsidRPr="00544154" w:rsidRDefault="004D6A11"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8,0</w:t>
            </w:r>
          </w:p>
        </w:tc>
        <w:tc>
          <w:tcPr>
            <w:tcW w:w="788" w:type="dxa"/>
            <w:noWrap/>
            <w:hideMark/>
          </w:tcPr>
          <w:p w:rsidR="004D6A11" w:rsidRPr="00544154" w:rsidRDefault="004D6A11"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6,3</w:t>
            </w:r>
          </w:p>
        </w:tc>
        <w:tc>
          <w:tcPr>
            <w:tcW w:w="765" w:type="dxa"/>
            <w:noWrap/>
            <w:hideMark/>
          </w:tcPr>
          <w:p w:rsidR="004D6A11" w:rsidRPr="00544154" w:rsidRDefault="004D6A11"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8,1</w:t>
            </w:r>
          </w:p>
        </w:tc>
        <w:tc>
          <w:tcPr>
            <w:tcW w:w="665" w:type="dxa"/>
            <w:noWrap/>
            <w:hideMark/>
          </w:tcPr>
          <w:p w:rsidR="004D6A11" w:rsidRPr="00544154" w:rsidRDefault="004D6A11"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6,5</w:t>
            </w:r>
          </w:p>
        </w:tc>
        <w:tc>
          <w:tcPr>
            <w:tcW w:w="1026" w:type="dxa"/>
            <w:noWrap/>
            <w:hideMark/>
          </w:tcPr>
          <w:p w:rsidR="004D6A11" w:rsidRPr="001C509F" w:rsidRDefault="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C33E0F">
              <w:rPr>
                <w:sz w:val="18"/>
                <w:szCs w:val="18"/>
              </w:rPr>
              <w:t>&gt;0</w:t>
            </w:r>
          </w:p>
        </w:tc>
        <w:tc>
          <w:tcPr>
            <w:tcW w:w="936" w:type="dxa"/>
            <w:noWrap/>
            <w:hideMark/>
          </w:tcPr>
          <w:p w:rsidR="004D6A11" w:rsidRPr="001C509F" w:rsidRDefault="004D6A11"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1C509F">
              <w:rPr>
                <w:sz w:val="18"/>
                <w:szCs w:val="18"/>
              </w:rPr>
              <w:t>&gt;0</w:t>
            </w:r>
          </w:p>
        </w:tc>
        <w:tc>
          <w:tcPr>
            <w:tcW w:w="812" w:type="dxa"/>
            <w:noWrap/>
            <w:hideMark/>
          </w:tcPr>
          <w:p w:rsidR="004D6A11" w:rsidRPr="004058E8" w:rsidRDefault="004D6A11"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highlight w:val="yellow"/>
              </w:rPr>
            </w:pPr>
            <w:r w:rsidRPr="004058E8">
              <w:rPr>
                <w:rFonts w:ascii="Times New Roman" w:hAnsi="Times New Roman"/>
                <w:sz w:val="16"/>
                <w:szCs w:val="16"/>
              </w:rPr>
              <w:t>0,0</w:t>
            </w:r>
          </w:p>
        </w:tc>
      </w:tr>
      <w:tr w:rsidR="004D6A11"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4D6A11" w:rsidRPr="00544154" w:rsidRDefault="004D6A11" w:rsidP="004D6A11">
            <w:pPr>
              <w:ind w:firstLine="0"/>
              <w:rPr>
                <w:rFonts w:ascii="Times New Roman" w:hAnsi="Times New Roman"/>
                <w:sz w:val="18"/>
                <w:szCs w:val="20"/>
              </w:rPr>
            </w:pPr>
            <w:r w:rsidRPr="00544154">
              <w:rPr>
                <w:rFonts w:ascii="Times New Roman" w:hAnsi="Times New Roman"/>
                <w:sz w:val="18"/>
                <w:szCs w:val="20"/>
              </w:rPr>
              <w:t xml:space="preserve">       arriérés extérieurs</w:t>
            </w:r>
          </w:p>
        </w:tc>
        <w:tc>
          <w:tcPr>
            <w:tcW w:w="765" w:type="dxa"/>
            <w:noWrap/>
            <w:hideMark/>
          </w:tcPr>
          <w:p w:rsidR="004D6A11" w:rsidRPr="00544154" w:rsidRDefault="004D6A11"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8,0</w:t>
            </w:r>
          </w:p>
        </w:tc>
        <w:tc>
          <w:tcPr>
            <w:tcW w:w="788" w:type="dxa"/>
            <w:noWrap/>
            <w:hideMark/>
          </w:tcPr>
          <w:p w:rsidR="004D6A11" w:rsidRPr="00544154" w:rsidRDefault="004D6A11"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6,3</w:t>
            </w:r>
          </w:p>
        </w:tc>
        <w:tc>
          <w:tcPr>
            <w:tcW w:w="765" w:type="dxa"/>
            <w:noWrap/>
            <w:hideMark/>
          </w:tcPr>
          <w:p w:rsidR="004D6A11" w:rsidRPr="00544154" w:rsidRDefault="004D6A11"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8,1</w:t>
            </w:r>
          </w:p>
        </w:tc>
        <w:tc>
          <w:tcPr>
            <w:tcW w:w="665" w:type="dxa"/>
            <w:noWrap/>
            <w:hideMark/>
          </w:tcPr>
          <w:p w:rsidR="004D6A11" w:rsidRPr="00544154" w:rsidRDefault="004D6A11"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6,5</w:t>
            </w:r>
          </w:p>
        </w:tc>
        <w:tc>
          <w:tcPr>
            <w:tcW w:w="1026" w:type="dxa"/>
            <w:noWrap/>
            <w:hideMark/>
          </w:tcPr>
          <w:p w:rsidR="004D6A11" w:rsidRPr="001C509F" w:rsidRDefault="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C33E0F">
              <w:rPr>
                <w:sz w:val="18"/>
                <w:szCs w:val="18"/>
              </w:rPr>
              <w:t>&gt;0</w:t>
            </w:r>
          </w:p>
        </w:tc>
        <w:tc>
          <w:tcPr>
            <w:tcW w:w="936" w:type="dxa"/>
            <w:noWrap/>
            <w:hideMark/>
          </w:tcPr>
          <w:p w:rsidR="004D6A11" w:rsidRPr="001C509F" w:rsidRDefault="004D6A11"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1C509F">
              <w:rPr>
                <w:sz w:val="18"/>
                <w:szCs w:val="18"/>
              </w:rPr>
              <w:t>&gt;0</w:t>
            </w:r>
          </w:p>
        </w:tc>
        <w:tc>
          <w:tcPr>
            <w:tcW w:w="812" w:type="dxa"/>
            <w:noWrap/>
            <w:hideMark/>
          </w:tcPr>
          <w:p w:rsidR="004D6A11" w:rsidRPr="004058E8" w:rsidRDefault="004D6A11"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highlight w:val="yellow"/>
              </w:rPr>
            </w:pPr>
            <w:r w:rsidRPr="004058E8">
              <w:rPr>
                <w:rFonts w:ascii="Times New Roman" w:hAnsi="Times New Roman"/>
                <w:sz w:val="16"/>
                <w:szCs w:val="16"/>
              </w:rPr>
              <w:t>0,0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arriérés intérieurs</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26" w:type="dxa"/>
            <w:noWrap/>
            <w:hideMark/>
          </w:tcPr>
          <w:p w:rsidR="00BD3B9B" w:rsidRPr="00C33E0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936" w:type="dxa"/>
            <w:noWrap/>
            <w:hideMark/>
          </w:tcPr>
          <w:p w:rsidR="00BD3B9B" w:rsidRPr="001C509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26" w:type="dxa"/>
            <w:noWrap/>
            <w:hideMark/>
          </w:tcPr>
          <w:p w:rsidR="00BD3B9B" w:rsidRPr="00C33E0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936" w:type="dxa"/>
            <w:noWrap/>
            <w:hideMark/>
          </w:tcPr>
          <w:p w:rsidR="00BD3B9B" w:rsidRPr="001C509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Critères de convergence</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26" w:type="dxa"/>
            <w:noWrap/>
            <w:hideMark/>
          </w:tcPr>
          <w:p w:rsidR="00BD3B9B" w:rsidRPr="00C33E0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936" w:type="dxa"/>
            <w:noWrap/>
            <w:hideMark/>
          </w:tcPr>
          <w:p w:rsidR="00BD3B9B" w:rsidRPr="001C509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budgétaire de base rapporté au PIB nominal (en  %)</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-0,9</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0,3</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-7,5</w:t>
            </w:r>
          </w:p>
        </w:tc>
        <w:tc>
          <w:tcPr>
            <w:tcW w:w="1026" w:type="dxa"/>
            <w:noWrap/>
            <w:hideMark/>
          </w:tcPr>
          <w:p w:rsidR="00BD3B9B" w:rsidRPr="00C33E0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C33E0F">
              <w:rPr>
                <w:rFonts w:ascii="Times New Roman" w:hAnsi="Times New Roman"/>
                <w:sz w:val="18"/>
                <w:szCs w:val="18"/>
              </w:rPr>
              <w:t>-5,6</w:t>
            </w:r>
          </w:p>
        </w:tc>
        <w:tc>
          <w:tcPr>
            <w:tcW w:w="936" w:type="dxa"/>
            <w:noWrap/>
            <w:hideMark/>
          </w:tcPr>
          <w:p w:rsidR="00BD3B9B" w:rsidRPr="001C509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1C509F">
              <w:rPr>
                <w:rFonts w:ascii="Times New Roman" w:hAnsi="Times New Roman"/>
                <w:sz w:val="16"/>
                <w:szCs w:val="16"/>
              </w:rPr>
              <w:t>-3,5</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-3,8</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d'inflation annuel moyen (en  %)</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5,9</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4,0</w:t>
            </w:r>
          </w:p>
        </w:tc>
        <w:tc>
          <w:tcPr>
            <w:tcW w:w="1026" w:type="dxa"/>
            <w:noWrap/>
            <w:hideMark/>
          </w:tcPr>
          <w:p w:rsidR="00BD3B9B" w:rsidRPr="00C33E0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C33E0F">
              <w:rPr>
                <w:rFonts w:ascii="Times New Roman" w:hAnsi="Times New Roman"/>
                <w:sz w:val="18"/>
                <w:szCs w:val="18"/>
              </w:rPr>
              <w:t>17,8</w:t>
            </w:r>
          </w:p>
        </w:tc>
        <w:tc>
          <w:tcPr>
            <w:tcW w:w="936" w:type="dxa"/>
            <w:noWrap/>
            <w:hideMark/>
          </w:tcPr>
          <w:p w:rsidR="00BD3B9B" w:rsidRPr="001C509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1C509F">
              <w:rPr>
                <w:rFonts w:ascii="Times New Roman" w:hAnsi="Times New Roman"/>
                <w:sz w:val="16"/>
                <w:szCs w:val="16"/>
              </w:rPr>
              <w:t>2,0</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d'endettement public en  % du PIB</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41,1</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38,2</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35,1</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60,2</w:t>
            </w:r>
          </w:p>
        </w:tc>
        <w:tc>
          <w:tcPr>
            <w:tcW w:w="1026" w:type="dxa"/>
            <w:noWrap/>
            <w:hideMark/>
          </w:tcPr>
          <w:p w:rsidR="00BD3B9B" w:rsidRPr="00C33E0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C33E0F">
              <w:rPr>
                <w:rFonts w:ascii="Times New Roman" w:hAnsi="Times New Roman"/>
                <w:sz w:val="18"/>
                <w:szCs w:val="18"/>
              </w:rPr>
              <w:t>52,8</w:t>
            </w:r>
          </w:p>
        </w:tc>
        <w:tc>
          <w:tcPr>
            <w:tcW w:w="936" w:type="dxa"/>
            <w:noWrap/>
            <w:hideMark/>
          </w:tcPr>
          <w:p w:rsidR="00BD3B9B" w:rsidRPr="001C509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1C509F">
              <w:rPr>
                <w:rFonts w:ascii="Times New Roman" w:hAnsi="Times New Roman"/>
                <w:sz w:val="16"/>
                <w:szCs w:val="16"/>
              </w:rPr>
              <w:t>49,0</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48,3</w:t>
            </w:r>
          </w:p>
        </w:tc>
      </w:tr>
      <w:tr w:rsidR="004D6A11"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4D6A11" w:rsidRPr="00544154" w:rsidRDefault="004D6A11" w:rsidP="004D6A11">
            <w:pPr>
              <w:ind w:firstLine="0"/>
              <w:rPr>
                <w:rFonts w:ascii="Times New Roman" w:hAnsi="Times New Roman"/>
                <w:sz w:val="18"/>
                <w:szCs w:val="20"/>
              </w:rPr>
            </w:pPr>
            <w:r w:rsidRPr="00544154">
              <w:rPr>
                <w:rFonts w:ascii="Times New Roman" w:hAnsi="Times New Roman"/>
                <w:sz w:val="18"/>
                <w:szCs w:val="20"/>
              </w:rPr>
              <w:t xml:space="preserve">       accumulation arriérés gestion courante (en milliards)</w:t>
            </w:r>
          </w:p>
        </w:tc>
        <w:tc>
          <w:tcPr>
            <w:tcW w:w="765" w:type="dxa"/>
            <w:noWrap/>
            <w:hideMark/>
          </w:tcPr>
          <w:p w:rsidR="004D6A11" w:rsidRPr="00544154" w:rsidRDefault="004D6A11"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8,0</w:t>
            </w:r>
          </w:p>
        </w:tc>
        <w:tc>
          <w:tcPr>
            <w:tcW w:w="788" w:type="dxa"/>
            <w:noWrap/>
            <w:hideMark/>
          </w:tcPr>
          <w:p w:rsidR="004D6A11" w:rsidRPr="00544154" w:rsidRDefault="004D6A11"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6,3</w:t>
            </w:r>
          </w:p>
        </w:tc>
        <w:tc>
          <w:tcPr>
            <w:tcW w:w="765" w:type="dxa"/>
            <w:noWrap/>
            <w:hideMark/>
          </w:tcPr>
          <w:p w:rsidR="004D6A11" w:rsidRPr="00544154" w:rsidRDefault="004D6A11"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8,1</w:t>
            </w:r>
          </w:p>
        </w:tc>
        <w:tc>
          <w:tcPr>
            <w:tcW w:w="665" w:type="dxa"/>
            <w:noWrap/>
            <w:hideMark/>
          </w:tcPr>
          <w:p w:rsidR="004D6A11" w:rsidRPr="00544154" w:rsidRDefault="004D6A11"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6,5</w:t>
            </w:r>
          </w:p>
        </w:tc>
        <w:tc>
          <w:tcPr>
            <w:tcW w:w="1026" w:type="dxa"/>
            <w:noWrap/>
            <w:hideMark/>
          </w:tcPr>
          <w:p w:rsidR="004D6A11" w:rsidRPr="00C33E0F" w:rsidRDefault="00AD7D99"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D7D99">
              <w:rPr>
                <w:sz w:val="18"/>
                <w:szCs w:val="18"/>
              </w:rPr>
              <w:t>&gt;0</w:t>
            </w:r>
          </w:p>
        </w:tc>
        <w:tc>
          <w:tcPr>
            <w:tcW w:w="936" w:type="dxa"/>
            <w:noWrap/>
            <w:hideMark/>
          </w:tcPr>
          <w:p w:rsidR="004D6A11" w:rsidRPr="001C509F" w:rsidRDefault="00AD7D99"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AD7D99">
              <w:rPr>
                <w:sz w:val="18"/>
                <w:szCs w:val="18"/>
              </w:rPr>
              <w:t>&gt;0</w:t>
            </w:r>
          </w:p>
        </w:tc>
        <w:tc>
          <w:tcPr>
            <w:tcW w:w="812" w:type="dxa"/>
            <w:noWrap/>
            <w:hideMark/>
          </w:tcPr>
          <w:p w:rsidR="004D6A11" w:rsidRPr="004058E8" w:rsidRDefault="004D6A11" w:rsidP="004D6A11">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highlight w:val="yellow"/>
              </w:rPr>
            </w:pPr>
            <w:r w:rsidRPr="004058E8">
              <w:rPr>
                <w:rFonts w:ascii="Times New Roman" w:hAnsi="Times New Roman"/>
                <w:sz w:val="16"/>
                <w:szCs w:val="16"/>
              </w:rPr>
              <w:t>0,0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b/>
                <w:bCs/>
                <w:i/>
                <w:iCs/>
                <w:sz w:val="18"/>
                <w:szCs w:val="20"/>
              </w:rPr>
            </w:pPr>
            <w:r w:rsidRPr="00544154">
              <w:rPr>
                <w:rFonts w:ascii="Times New Roman" w:hAnsi="Times New Roman"/>
                <w:b/>
                <w:bCs/>
                <w:i/>
                <w:iCs/>
                <w:sz w:val="18"/>
                <w:szCs w:val="20"/>
              </w:rPr>
              <w:t>Indicateurs</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couverture extérieure de la monnaie (en  %)</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71,1</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70,1</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70,2</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72,2</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78,7</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76,8</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60,3</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budgétaire primaire rapporté au PIB nominal (en  %)</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-0,3</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0,8</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-6,9</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-5,0</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-2,6</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-3,1</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évolution masse salariale par rapport à évolution recettes fiscales ≤ 1</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37,5</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41,1</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38,3</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124,3</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131,4</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83,5</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61,3</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déficit extérieur courant hors dons sur PIB nominal (en  %)</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-10,8</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-8,0</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-9,1</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-8,6</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-16,6</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-13,3</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-9,5</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pression fiscale non pétrolière (en  % du PIB non pétrolier)</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8,7</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7,8</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9,2</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5,3</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4,4</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5,9</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global, base engagements, hors dons sur PIB (en  %)</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0,1</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-2,3</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-6,4</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2,3</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0,8</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-3,8</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global, base caisse sur PIB (en  %)</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-6,5</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-3,9</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-7,9</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-9,3</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-9,6</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-12,7</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COMPTES NATIONAUX</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nominal (en milliards)</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1054,7</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1124,2</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1208,7</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751,5</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856,4</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923,1</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1038,7</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nominal hors pétrole (en milliards)</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1054,7</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1124,2</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1208,7</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751,5</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856,4</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923,1</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1038,7</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en volume (au prix de l'année de base de 2005)</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862,8</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890,9</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926,4</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586,5</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592,1</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621,2</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658,0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184"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croissance du PIB en volume (en  %)</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2,9</w:t>
            </w:r>
          </w:p>
        </w:tc>
        <w:tc>
          <w:tcPr>
            <w:tcW w:w="78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3,3</w:t>
            </w:r>
          </w:p>
        </w:tc>
        <w:tc>
          <w:tcPr>
            <w:tcW w:w="7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4,0</w:t>
            </w:r>
          </w:p>
        </w:tc>
        <w:tc>
          <w:tcPr>
            <w:tcW w:w="665"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-36,7</w:t>
            </w:r>
          </w:p>
        </w:tc>
        <w:tc>
          <w:tcPr>
            <w:tcW w:w="1026" w:type="dxa"/>
            <w:noWrap/>
            <w:hideMark/>
          </w:tcPr>
          <w:p w:rsidR="00BD3B9B" w:rsidRPr="00EC0623"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1,0</w:t>
            </w:r>
          </w:p>
        </w:tc>
        <w:tc>
          <w:tcPr>
            <w:tcW w:w="93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4,9</w:t>
            </w:r>
          </w:p>
        </w:tc>
        <w:tc>
          <w:tcPr>
            <w:tcW w:w="81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5,9</w:t>
            </w:r>
          </w:p>
        </w:tc>
      </w:tr>
    </w:tbl>
    <w:p w:rsidR="00BD3B9B" w:rsidRPr="00544154" w:rsidRDefault="00BD3B9B" w:rsidP="00BD3B9B">
      <w:pPr>
        <w:pStyle w:val="xl46"/>
        <w:pBdr>
          <w:bottom w:val="none" w:sz="0" w:space="0" w:color="auto"/>
        </w:pBdr>
        <w:spacing w:before="0" w:beforeAutospacing="0" w:after="0" w:afterAutospacing="0"/>
        <w:jc w:val="both"/>
        <w:rPr>
          <w:rFonts w:ascii="Times New Roman" w:hAnsi="Times New Roman" w:cs="Times New Roman"/>
          <w:i/>
          <w:snapToGrid w:val="0"/>
          <w:sz w:val="18"/>
          <w:szCs w:val="18"/>
        </w:rPr>
      </w:pPr>
      <w:r w:rsidRPr="00544154">
        <w:rPr>
          <w:rFonts w:ascii="Times New Roman" w:hAnsi="Times New Roman" w:cs="Times New Roman"/>
          <w:i/>
          <w:snapToGrid w:val="0"/>
          <w:sz w:val="18"/>
          <w:szCs w:val="18"/>
          <w:u w:val="single"/>
        </w:rPr>
        <w:t>Sources</w:t>
      </w:r>
      <w:r w:rsidRPr="00544154">
        <w:rPr>
          <w:rFonts w:ascii="Times New Roman" w:hAnsi="Times New Roman" w:cs="Times New Roman"/>
          <w:i/>
          <w:snapToGrid w:val="0"/>
          <w:sz w:val="18"/>
          <w:szCs w:val="18"/>
        </w:rPr>
        <w:t xml:space="preserve"> : Commission de la CEMAC.</w:t>
      </w:r>
    </w:p>
    <w:p w:rsidR="00BD3B9B" w:rsidRPr="00544154" w:rsidRDefault="00BD3B9B" w:rsidP="00BD3B9B">
      <w:pPr>
        <w:pStyle w:val="Lgende"/>
        <w:jc w:val="both"/>
        <w:rPr>
          <w:rFonts w:ascii="Times New Roman" w:hAnsi="Times New Roman"/>
          <w:b w:val="0"/>
          <w:bCs/>
        </w:rPr>
      </w:pPr>
      <w:r w:rsidRPr="00544154">
        <w:rPr>
          <w:rFonts w:ascii="Times New Roman" w:hAnsi="Times New Roman"/>
        </w:rPr>
        <w:br w:type="page"/>
      </w:r>
      <w:r w:rsidRPr="00544154">
        <w:rPr>
          <w:rFonts w:ascii="Times New Roman" w:hAnsi="Times New Roman"/>
          <w:b w:val="0"/>
        </w:rPr>
        <w:lastRenderedPageBreak/>
        <w:t>CONGO, Synthèse des opérations financières de l'État et principaux indicateurs macroéconomiques</w:t>
      </w:r>
    </w:p>
    <w:tbl>
      <w:tblPr>
        <w:tblStyle w:val="Tableauclassique1"/>
        <w:tblW w:w="10594" w:type="dxa"/>
        <w:jc w:val="center"/>
        <w:tblLook w:val="04A0" w:firstRow="1" w:lastRow="0" w:firstColumn="1" w:lastColumn="0" w:noHBand="0" w:noVBand="1"/>
      </w:tblPr>
      <w:tblGrid>
        <w:gridCol w:w="3936"/>
        <w:gridCol w:w="851"/>
        <w:gridCol w:w="850"/>
        <w:gridCol w:w="851"/>
        <w:gridCol w:w="850"/>
        <w:gridCol w:w="1206"/>
        <w:gridCol w:w="1096"/>
        <w:gridCol w:w="954"/>
      </w:tblGrid>
      <w:tr w:rsidR="00BD3B9B" w:rsidRPr="00544154" w:rsidTr="002E7809">
        <w:trPr>
          <w:cnfStyle w:val="100000000000" w:firstRow="1" w:lastRow="0" w:firstColumn="0" w:lastColumn="0" w:oddVBand="0" w:evenVBand="0" w:oddHBand="0"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Congo</w:t>
            </w:r>
          </w:p>
        </w:tc>
        <w:tc>
          <w:tcPr>
            <w:tcW w:w="851"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rPr>
            </w:pPr>
            <w:r w:rsidRPr="00544154">
              <w:rPr>
                <w:rFonts w:ascii="Times New Roman" w:hAnsi="Times New Roman"/>
                <w:b/>
                <w:bCs/>
                <w:sz w:val="18"/>
              </w:rPr>
              <w:t>2010</w:t>
            </w:r>
          </w:p>
        </w:tc>
        <w:tc>
          <w:tcPr>
            <w:tcW w:w="850"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rPr>
            </w:pPr>
            <w:r w:rsidRPr="00544154">
              <w:rPr>
                <w:rFonts w:ascii="Times New Roman" w:hAnsi="Times New Roman"/>
                <w:b/>
                <w:bCs/>
                <w:sz w:val="18"/>
              </w:rPr>
              <w:t>2011</w:t>
            </w:r>
          </w:p>
        </w:tc>
        <w:tc>
          <w:tcPr>
            <w:tcW w:w="851"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rPr>
            </w:pPr>
            <w:r w:rsidRPr="00544154">
              <w:rPr>
                <w:rFonts w:ascii="Times New Roman" w:hAnsi="Times New Roman"/>
                <w:b/>
                <w:bCs/>
                <w:sz w:val="18"/>
              </w:rPr>
              <w:t>2012</w:t>
            </w:r>
          </w:p>
        </w:tc>
        <w:tc>
          <w:tcPr>
            <w:tcW w:w="850"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rPr>
            </w:pPr>
            <w:r w:rsidRPr="00544154">
              <w:rPr>
                <w:rFonts w:ascii="Times New Roman" w:hAnsi="Times New Roman"/>
                <w:b/>
                <w:bCs/>
                <w:sz w:val="18"/>
              </w:rPr>
              <w:t>2013</w:t>
            </w:r>
          </w:p>
        </w:tc>
        <w:tc>
          <w:tcPr>
            <w:tcW w:w="1206"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rPr>
            </w:pPr>
            <w:r w:rsidRPr="00544154">
              <w:rPr>
                <w:rFonts w:ascii="Times New Roman" w:hAnsi="Times New Roman"/>
                <w:b/>
                <w:bCs/>
                <w:sz w:val="18"/>
              </w:rPr>
              <w:t>2014</w:t>
            </w:r>
          </w:p>
        </w:tc>
        <w:tc>
          <w:tcPr>
            <w:tcW w:w="109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rPr>
            </w:pPr>
            <w:r w:rsidRPr="00544154">
              <w:rPr>
                <w:rFonts w:ascii="Times New Roman" w:hAnsi="Times New Roman"/>
                <w:b/>
                <w:bCs/>
                <w:sz w:val="18"/>
              </w:rPr>
              <w:t>2015</w:t>
            </w:r>
          </w:p>
        </w:tc>
        <w:tc>
          <w:tcPr>
            <w:tcW w:w="954"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rPr>
            </w:pPr>
            <w:r w:rsidRPr="00544154">
              <w:rPr>
                <w:rFonts w:ascii="Times New Roman" w:hAnsi="Times New Roman"/>
                <w:b/>
                <w:bCs/>
                <w:sz w:val="18"/>
              </w:rPr>
              <w:t>2016</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RECETTES TOTALES ET DONS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3941,0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2894,0</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2975,8</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3131,4</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2863,6</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1455,0</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1901,9</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TOTALES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2629,0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2858,6</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2965,8</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3103,3</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2860,0</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1455,0</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1740,0</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pétrolières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2187,0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2282,8</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2290,7</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2325,7</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2001,5</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549,8</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657,8</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non pétrolières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442,0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575,8</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675,1</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777,6</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858,5</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905,2</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1082,1</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fiscales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411,6</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554,7</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632,2</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768,2</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847,7</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896,2</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1046,6</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non fiscales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30,4</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21,1</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43,0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9,5</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10,8</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9,0</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35,6</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DONS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1312,0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35,4</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10,0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28,1</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3,6</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161,9</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DÉPENSES TOTALES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1353,4</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1774,6</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2535,3</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2713,5</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2626,1</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2072,5</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2621,9</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COURANTES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697,4</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690,7</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1023,1</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1127,8</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989,3</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1088,5</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1111,3</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salaires et traitements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180,0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206,7</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248,4</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274,7</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321,2</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356,3</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410,1</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intérêts de la dette publique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65,4</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10,9</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12,9</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15,9</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15,8</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27,5</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36,6</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EN CAPITAL</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656,0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1083,9</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1512,2</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1585,7</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1636,8</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984,0</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1510,5</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sur financement interne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516,0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867,9</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1207,1</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1054,0</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1414,8</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860,0</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1009,3</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PRIMAIRE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1481,0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1310,9</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748,5</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937,3</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471,7</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-466,0</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-344,1</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BUDGÉTAIRE DE BASE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1415,6</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1300,0</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735,6</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921,5</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455,9</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-493,5</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-380,7</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GLOBAL, base engagements, hors dons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1275,6</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1084,0</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430,5</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389,8</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233,9</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-617,5</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-881,9</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SOLDE GLOBAL, base caisse (en milliards)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1143,5</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963,2</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304,8</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209,2</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206,1</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-632,7</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-896,8</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STOCK DETTE Publique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1461,2</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1658,9</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1831,0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2255,4</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2813,7</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2822,8</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2897,5</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dette extérieure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1348,7</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1566,4</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1758,5</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2202,9</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2435,1</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2437,2</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2511,9</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dette intérieure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112,5</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92,5</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72,5</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52,5</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378,6</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385,7</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385,7</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ARRIERES GESTION COURANTE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0,0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0,0</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0,0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0,0</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0,0</w:t>
            </w:r>
          </w:p>
        </w:tc>
        <w:tc>
          <w:tcPr>
            <w:tcW w:w="1096" w:type="dxa"/>
            <w:noWrap/>
            <w:hideMark/>
          </w:tcPr>
          <w:p w:rsidR="00BD3B9B" w:rsidRPr="0027185F" w:rsidRDefault="00AD7D99"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AD7D99">
              <w:rPr>
                <w:sz w:val="16"/>
                <w:szCs w:val="16"/>
              </w:rPr>
              <w:t>&gt;0</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highlight w:val="yellow"/>
              </w:rPr>
            </w:pPr>
            <w:r w:rsidRPr="004058E8">
              <w:rPr>
                <w:rFonts w:ascii="Times New Roman" w:hAnsi="Times New Roman"/>
                <w:sz w:val="16"/>
                <w:szCs w:val="16"/>
              </w:rPr>
              <w:t>0,0</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arriérés extérieurs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0,0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0,0</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0,0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0,0</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0,0</w:t>
            </w:r>
          </w:p>
        </w:tc>
        <w:tc>
          <w:tcPr>
            <w:tcW w:w="1096" w:type="dxa"/>
            <w:noWrap/>
            <w:hideMark/>
          </w:tcPr>
          <w:p w:rsidR="00BD3B9B" w:rsidRPr="0027185F" w:rsidRDefault="00AD7D99"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AD7D99">
              <w:rPr>
                <w:sz w:val="16"/>
                <w:szCs w:val="16"/>
              </w:rPr>
              <w:t>0,0</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highlight w:val="yellow"/>
              </w:rPr>
            </w:pPr>
            <w:r w:rsidRPr="004058E8">
              <w:rPr>
                <w:rFonts w:ascii="Times New Roman" w:hAnsi="Times New Roman"/>
                <w:sz w:val="16"/>
                <w:szCs w:val="16"/>
              </w:rPr>
              <w:t>0,0</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arriérés intérieurs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96" w:type="dxa"/>
            <w:noWrap/>
            <w:hideMark/>
          </w:tcPr>
          <w:p w:rsidR="00BD3B9B" w:rsidRPr="0027185F" w:rsidRDefault="00AD7D99"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AD7D99">
              <w:rPr>
                <w:sz w:val="16"/>
                <w:szCs w:val="16"/>
              </w:rPr>
              <w:t>&gt;0</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 xml:space="preserve">critères de convergence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budgétaire de base rapporté au PIB nominal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23,1</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18,4</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10,4</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13,4</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6,5</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-9,2</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-7,7</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d'inflation annuel moyen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0,4</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2,2</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5,0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4,7</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0,9</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1,8</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1,7</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d'endettement public en  % du PIB</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23,8</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23,5</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25,9</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32,8</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40,0</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52,5</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58,4</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accumulation arriérés gestion courante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0,0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0,0</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0,0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0,0</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0,0</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highlight w:val="yellow"/>
              </w:rPr>
            </w:pPr>
            <w:r w:rsidRPr="004058E8">
              <w:rPr>
                <w:rFonts w:ascii="Times New Roman" w:hAnsi="Times New Roman"/>
                <w:sz w:val="16"/>
                <w:szCs w:val="16"/>
              </w:rPr>
              <w:t>0,0</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highlight w:val="yellow"/>
              </w:rPr>
            </w:pPr>
            <w:r w:rsidRPr="004058E8">
              <w:rPr>
                <w:rFonts w:ascii="Times New Roman" w:hAnsi="Times New Roman"/>
                <w:sz w:val="16"/>
                <w:szCs w:val="16"/>
              </w:rPr>
              <w:t>0,0</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b/>
                <w:bCs/>
                <w:i/>
                <w:iCs/>
                <w:sz w:val="18"/>
                <w:szCs w:val="20"/>
              </w:rPr>
            </w:pPr>
            <w:r w:rsidRPr="00544154">
              <w:rPr>
                <w:rFonts w:ascii="Times New Roman" w:hAnsi="Times New Roman"/>
                <w:b/>
                <w:bCs/>
                <w:i/>
                <w:iCs/>
                <w:sz w:val="18"/>
                <w:szCs w:val="20"/>
              </w:rPr>
              <w:t>Indicateurs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couverture extérieure de la monnaie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100,6</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101,2</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101,2</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101,1</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88,9</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71,2</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57,5</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budgétaire primaire rapporté au PIB nominal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24,1</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18,6</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10,6</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13,6</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6,7</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-8,7</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-6,9</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évolution masse salariale par rapport à évolution recettes fiscales ≤ 1</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0,0</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0,1</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0,5</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0,2</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11,2</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24,5</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23,6</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déficit extérieur courant hors dons sur PIB nominal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6,9</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7,6</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3,2</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12,4</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-7,0</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-42,1</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-39,2</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pression fiscale non pétrolière (en  % du PIB non pétrolier)</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22,4</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26,8</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27,5</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28,2</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28,1</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28,9</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31,8</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global, base engagements, hors dons sur PIB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20,8</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15,4</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6,1</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5,7</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3,3</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-11,5</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-17,8</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global, base caisse sur PIB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18,6</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13,6</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4,3</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3,0</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2,9</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-11,8</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-18,1</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COMPTES NATIONAUX</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nominal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6140,7</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7062,0</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7064,4</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6869,1</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7039,3</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5374,0</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4960,2</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nominal hors pétrole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1839,1</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2072,3</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2301,9</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2728,0</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3015,7</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3099,5</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3286,4</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en volume (au prix de l'année de base de 1990)</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1393,9</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1441,6</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1496,7</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1546,1</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1649,3</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1689,5</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1748,1</w:t>
            </w:r>
          </w:p>
        </w:tc>
      </w:tr>
      <w:tr w:rsidR="00BD3B9B" w:rsidRPr="003D53AC"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3936"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croissance du PIB en volume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8,7</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3,4</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3,8</w:t>
            </w:r>
          </w:p>
        </w:tc>
        <w:tc>
          <w:tcPr>
            <w:tcW w:w="85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rPr>
            </w:pPr>
            <w:r w:rsidRPr="00544154">
              <w:rPr>
                <w:rFonts w:ascii="Times New Roman" w:hAnsi="Times New Roman"/>
                <w:sz w:val="18"/>
              </w:rPr>
              <w:t>3,3</w:t>
            </w:r>
          </w:p>
        </w:tc>
        <w:tc>
          <w:tcPr>
            <w:tcW w:w="120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6,7</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2,4</w:t>
            </w:r>
          </w:p>
        </w:tc>
        <w:tc>
          <w:tcPr>
            <w:tcW w:w="95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3,5</w:t>
            </w:r>
          </w:p>
        </w:tc>
      </w:tr>
    </w:tbl>
    <w:p w:rsidR="00BD3B9B" w:rsidRPr="00544154" w:rsidRDefault="00BD3B9B" w:rsidP="00BD3B9B">
      <w:pPr>
        <w:pStyle w:val="xl46"/>
        <w:pBdr>
          <w:bottom w:val="none" w:sz="0" w:space="0" w:color="auto"/>
        </w:pBdr>
        <w:spacing w:before="0" w:beforeAutospacing="0" w:after="0" w:afterAutospacing="0"/>
        <w:jc w:val="both"/>
        <w:rPr>
          <w:rFonts w:ascii="Times New Roman" w:hAnsi="Times New Roman" w:cs="Times New Roman"/>
          <w:i/>
          <w:snapToGrid w:val="0"/>
          <w:sz w:val="18"/>
          <w:szCs w:val="18"/>
        </w:rPr>
      </w:pPr>
      <w:r w:rsidRPr="00544154">
        <w:rPr>
          <w:rFonts w:ascii="Times New Roman" w:hAnsi="Times New Roman" w:cs="Times New Roman"/>
          <w:i/>
          <w:snapToGrid w:val="0"/>
          <w:sz w:val="18"/>
          <w:szCs w:val="18"/>
          <w:u w:val="single"/>
        </w:rPr>
        <w:t>Sources</w:t>
      </w:r>
      <w:r w:rsidRPr="00544154">
        <w:rPr>
          <w:rFonts w:ascii="Times New Roman" w:hAnsi="Times New Roman" w:cs="Times New Roman"/>
          <w:i/>
          <w:snapToGrid w:val="0"/>
          <w:sz w:val="18"/>
          <w:szCs w:val="18"/>
        </w:rPr>
        <w:t xml:space="preserve"> : Commission de la CEMAC.</w:t>
      </w:r>
    </w:p>
    <w:p w:rsidR="00BD3B9B" w:rsidRPr="00544154" w:rsidRDefault="00BD3B9B" w:rsidP="00BD3B9B">
      <w:pPr>
        <w:pStyle w:val="Lgende"/>
        <w:jc w:val="both"/>
        <w:rPr>
          <w:rFonts w:ascii="Times New Roman" w:hAnsi="Times New Roman"/>
          <w:b w:val="0"/>
          <w:bCs/>
        </w:rPr>
      </w:pPr>
      <w:r w:rsidRPr="00544154">
        <w:rPr>
          <w:rFonts w:ascii="Times New Roman" w:hAnsi="Times New Roman"/>
        </w:rPr>
        <w:br w:type="page"/>
      </w:r>
      <w:r w:rsidRPr="00544154">
        <w:rPr>
          <w:rFonts w:ascii="Times New Roman" w:hAnsi="Times New Roman"/>
          <w:b w:val="0"/>
        </w:rPr>
        <w:lastRenderedPageBreak/>
        <w:t>GABON, Synthèse des opérations financières de l'État et principaux indicateurs macroéconomiques</w:t>
      </w:r>
    </w:p>
    <w:tbl>
      <w:tblPr>
        <w:tblStyle w:val="Tableauclassique1"/>
        <w:tblW w:w="9784" w:type="dxa"/>
        <w:jc w:val="center"/>
        <w:tblLayout w:type="fixed"/>
        <w:tblLook w:val="04A0" w:firstRow="1" w:lastRow="0" w:firstColumn="1" w:lastColumn="0" w:noHBand="0" w:noVBand="1"/>
      </w:tblPr>
      <w:tblGrid>
        <w:gridCol w:w="4219"/>
        <w:gridCol w:w="851"/>
        <w:gridCol w:w="766"/>
        <w:gridCol w:w="793"/>
        <w:gridCol w:w="766"/>
        <w:gridCol w:w="829"/>
        <w:gridCol w:w="840"/>
        <w:gridCol w:w="720"/>
      </w:tblGrid>
      <w:tr w:rsidR="00BD3B9B" w:rsidRPr="00544154" w:rsidTr="002E7809">
        <w:trPr>
          <w:cnfStyle w:val="100000000000" w:firstRow="1" w:lastRow="0" w:firstColumn="0" w:lastColumn="0" w:oddVBand="0" w:evenVBand="0" w:oddHBand="0"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Gabon</w:t>
            </w:r>
          </w:p>
        </w:tc>
        <w:tc>
          <w:tcPr>
            <w:tcW w:w="851"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2010</w:t>
            </w:r>
          </w:p>
        </w:tc>
        <w:tc>
          <w:tcPr>
            <w:tcW w:w="76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2011</w:t>
            </w:r>
          </w:p>
        </w:tc>
        <w:tc>
          <w:tcPr>
            <w:tcW w:w="793"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2012</w:t>
            </w:r>
          </w:p>
        </w:tc>
        <w:tc>
          <w:tcPr>
            <w:tcW w:w="76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2013</w:t>
            </w:r>
          </w:p>
        </w:tc>
        <w:tc>
          <w:tcPr>
            <w:tcW w:w="829"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2014</w:t>
            </w:r>
          </w:p>
        </w:tc>
        <w:tc>
          <w:tcPr>
            <w:tcW w:w="840"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2015</w:t>
            </w:r>
          </w:p>
        </w:tc>
        <w:tc>
          <w:tcPr>
            <w:tcW w:w="720"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RECETTES TOTALES ET DONS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1838,8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2495,9</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2638,1</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2615,8</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2349,0</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1886,3</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1948,8</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TOTALES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1838,8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2495,9</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2638,1</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2621,8</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2349,0</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1886,3</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1948,8</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pétrolières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990,4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1385,7</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1531,3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1344,0</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1034,6</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698,3</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505,6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non pétrolières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848,4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1110,2</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1106,8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1277,8</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1314,4</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1188,0</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1443,2</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fiscales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802,9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1021,1</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1047,7</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1212,9</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1192,2</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1118,0</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1369,4</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non fiscales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45,5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89,1</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59,1</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64,8</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122,2</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70,0</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73,7</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DONS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-6,0</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0,0</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DÉPENSES TOTALES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1833,8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2364,9</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2458,3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2468,0</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2119,9</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2008,4</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2152,2</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COURANTES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979,5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1268,0</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1502,7</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1541,7</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1477,1</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1475,4</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1589,4</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salaires et traitements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412,4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450,1</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514,6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552,8</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691,3</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728,0</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732,2</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intérêts de la dette publique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92,7</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79,0</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87,1</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151,7</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110,8</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125,4</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180,2</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EN CAPITAL</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854,3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1096,9</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955,6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926,3</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642,8</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533,0</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562,8</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sur financement interne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630,7</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847,1</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770,7</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655,7</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386,6</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332,0</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180,7</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PRIMAIRE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321,3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459,8</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451,8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576,1</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596,2</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204,3</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358,9</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BUDGÉTAIRE DE BASE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228,6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380,8</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364,7</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424,4</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485,3</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78,9</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178,7</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GLOBAL, base ordonnancements, hors dons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131,0</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179,8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153,8</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229,1</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-122,1</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-203,4</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SOLDE GLOBAL, base caisse (en milliards)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-117,6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14,8</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158,3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20,0</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-31,5</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-466,7</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-284,2</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STOCK DETTE publique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1363,1</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1469,5</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1484,1</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2283,2</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2698,3</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2941,6</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3124,4</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dette extérieure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1283,8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1390,2</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1427,1</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2039,0</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2454,1</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2697,5</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2880,2</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dette intérieure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79,3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79,3</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57,0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244,2</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244,2</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244,2</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244,2</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ARRIERES GESTION COURANTE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19,6</w:t>
            </w:r>
          </w:p>
        </w:tc>
        <w:tc>
          <w:tcPr>
            <w:tcW w:w="840" w:type="dxa"/>
            <w:noWrap/>
            <w:hideMark/>
          </w:tcPr>
          <w:p w:rsidR="00BD3B9B" w:rsidRPr="001C509F" w:rsidRDefault="00AD7D99"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AD7D99">
              <w:rPr>
                <w:sz w:val="16"/>
                <w:szCs w:val="16"/>
              </w:rPr>
              <w:t>&gt;0</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arriérés extérieurs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19,6</w:t>
            </w:r>
          </w:p>
        </w:tc>
        <w:tc>
          <w:tcPr>
            <w:tcW w:w="840" w:type="dxa"/>
            <w:noWrap/>
            <w:hideMark/>
          </w:tcPr>
          <w:p w:rsidR="00BD3B9B" w:rsidRPr="001C509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1C509F">
              <w:rPr>
                <w:rFonts w:ascii="Times New Roman" w:hAnsi="Times New Roman"/>
                <w:sz w:val="16"/>
                <w:szCs w:val="16"/>
              </w:rPr>
              <w:t>0,0</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arriérés intérieurs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40" w:type="dxa"/>
            <w:noWrap/>
            <w:hideMark/>
          </w:tcPr>
          <w:p w:rsidR="00BD3B9B" w:rsidRPr="001C509F" w:rsidRDefault="00AD7D99"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AD7D99">
              <w:rPr>
                <w:sz w:val="16"/>
                <w:szCs w:val="16"/>
              </w:rPr>
              <w:t>&gt;0</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40" w:type="dxa"/>
            <w:noWrap/>
            <w:hideMark/>
          </w:tcPr>
          <w:p w:rsidR="00BD3B9B" w:rsidRPr="001C509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 xml:space="preserve">critères de convergence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budgétaire de base rapporté au PIB nominal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3,1</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4,3</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4,6</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5,2</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1,0</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2,3</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d'inflation annuel moyen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2,7</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0,5</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4,7</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-0,3</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2,5</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d'endettement public en  % du PIB</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16,6</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24,6</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28,9</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35,9</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39,5</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accumulation arriérés gestion courante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19,6</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b/>
                <w:bCs/>
                <w:i/>
                <w:iCs/>
                <w:sz w:val="18"/>
                <w:szCs w:val="20"/>
              </w:rPr>
            </w:pPr>
            <w:r w:rsidRPr="00544154">
              <w:rPr>
                <w:rFonts w:ascii="Times New Roman" w:hAnsi="Times New Roman"/>
                <w:b/>
                <w:bCs/>
                <w:i/>
                <w:iCs/>
                <w:sz w:val="18"/>
                <w:szCs w:val="20"/>
              </w:rPr>
              <w:t>Indicateurs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couverture extérieure de la monnaie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85,4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89,0</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89,5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90,0</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89,1</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75,5</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73,3</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budgétaire primaire rapporté au PIB nominal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5,2</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6,2</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6,4</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2,5</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4,5</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évolution masse salariale par rapport à évolution recettes fiscales ≤ 1</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18,0</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19,5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21,1</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29,4</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38,6</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37,6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déficit extérieur courant hors dons sur PIB nominal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15,0</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6,1</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3,7</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-2,7</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-9,7</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pression fiscale non pétrolière (en  % du PIB non pétrolier)</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19,7</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23,2</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21,9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22,7</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21,2</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19,5</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21,9</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global, base ordonnancements, hors dons sur PIB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0,1</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1,7</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2,5</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-1,5</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global, base caisse sur PIB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0,2</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1,7</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0,2</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-0,3</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-5,7</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COMPTES NATIONAUX</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nominal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7370,5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8866,3</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9094,4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9298,8</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9339,3</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8187,1</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7910,0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nominal hors pétrole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4071,8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4408,3</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4779,1</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5344,6</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5626,7</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5732,1</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6259,8</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en volume (au prix de l'année de base de 2001)</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4296,4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4598,2</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4829,8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5101,0</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5319,9</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5535,1</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5732,8</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croissance du PIB en volume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7,0</w:t>
            </w:r>
          </w:p>
        </w:tc>
        <w:tc>
          <w:tcPr>
            <w:tcW w:w="7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5,6</w:t>
            </w:r>
          </w:p>
        </w:tc>
        <w:tc>
          <w:tcPr>
            <w:tcW w:w="82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4,3</w:t>
            </w:r>
          </w:p>
        </w:tc>
        <w:tc>
          <w:tcPr>
            <w:tcW w:w="8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4,0</w:t>
            </w:r>
          </w:p>
        </w:tc>
        <w:tc>
          <w:tcPr>
            <w:tcW w:w="72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3,6</w:t>
            </w:r>
          </w:p>
        </w:tc>
      </w:tr>
    </w:tbl>
    <w:p w:rsidR="00BD3B9B" w:rsidRPr="00544154" w:rsidRDefault="00BD3B9B" w:rsidP="00BD3B9B">
      <w:pPr>
        <w:pStyle w:val="xl46"/>
        <w:pBdr>
          <w:bottom w:val="none" w:sz="0" w:space="0" w:color="auto"/>
        </w:pBdr>
        <w:spacing w:before="0" w:beforeAutospacing="0" w:after="0" w:afterAutospacing="0"/>
        <w:jc w:val="both"/>
        <w:rPr>
          <w:rFonts w:ascii="Times New Roman" w:hAnsi="Times New Roman" w:cs="Times New Roman"/>
          <w:i/>
          <w:snapToGrid w:val="0"/>
          <w:sz w:val="18"/>
          <w:szCs w:val="18"/>
        </w:rPr>
      </w:pPr>
      <w:r w:rsidRPr="00544154">
        <w:rPr>
          <w:rFonts w:ascii="Times New Roman" w:hAnsi="Times New Roman" w:cs="Times New Roman"/>
          <w:i/>
          <w:snapToGrid w:val="0"/>
          <w:sz w:val="18"/>
          <w:szCs w:val="18"/>
          <w:u w:val="single"/>
        </w:rPr>
        <w:t>Sources</w:t>
      </w:r>
      <w:r w:rsidRPr="00544154">
        <w:rPr>
          <w:rFonts w:ascii="Times New Roman" w:hAnsi="Times New Roman" w:cs="Times New Roman"/>
          <w:i/>
          <w:snapToGrid w:val="0"/>
          <w:sz w:val="18"/>
          <w:szCs w:val="18"/>
        </w:rPr>
        <w:t xml:space="preserve"> : Commission de la CEMAC.</w:t>
      </w:r>
    </w:p>
    <w:p w:rsidR="00BD3B9B" w:rsidRPr="00544154" w:rsidRDefault="00BD3B9B" w:rsidP="00BD3B9B">
      <w:pPr>
        <w:pStyle w:val="Lgende"/>
        <w:jc w:val="both"/>
        <w:rPr>
          <w:rFonts w:ascii="Times New Roman" w:hAnsi="Times New Roman"/>
          <w:b w:val="0"/>
          <w:bCs/>
        </w:rPr>
      </w:pPr>
      <w:r w:rsidRPr="00544154">
        <w:rPr>
          <w:rFonts w:ascii="Times New Roman" w:hAnsi="Times New Roman"/>
        </w:rPr>
        <w:br w:type="page"/>
      </w:r>
      <w:r w:rsidRPr="00544154">
        <w:rPr>
          <w:rFonts w:ascii="Times New Roman" w:hAnsi="Times New Roman"/>
          <w:b w:val="0"/>
        </w:rPr>
        <w:lastRenderedPageBreak/>
        <w:t>GUINEE-EQUATORIALE, Synthèse des opérations financières de l'État et principaux indicateurs macroéconomiques</w:t>
      </w:r>
    </w:p>
    <w:tbl>
      <w:tblPr>
        <w:tblStyle w:val="Tableauclassique1"/>
        <w:tblW w:w="10724" w:type="dxa"/>
        <w:jc w:val="center"/>
        <w:tblLook w:val="04A0" w:firstRow="1" w:lastRow="0" w:firstColumn="1" w:lastColumn="0" w:noHBand="0" w:noVBand="1"/>
      </w:tblPr>
      <w:tblGrid>
        <w:gridCol w:w="4077"/>
        <w:gridCol w:w="851"/>
        <w:gridCol w:w="766"/>
        <w:gridCol w:w="866"/>
        <w:gridCol w:w="766"/>
        <w:gridCol w:w="1206"/>
        <w:gridCol w:w="1096"/>
        <w:gridCol w:w="1096"/>
      </w:tblGrid>
      <w:tr w:rsidR="00BD3B9B" w:rsidRPr="00544154" w:rsidTr="002E7809">
        <w:trPr>
          <w:cnfStyle w:val="100000000000" w:firstRow="1" w:lastRow="0" w:firstColumn="0" w:lastColumn="0" w:oddVBand="0" w:evenVBand="0" w:oddHBand="0"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Guinée Equatoriale</w:t>
            </w:r>
          </w:p>
        </w:tc>
        <w:tc>
          <w:tcPr>
            <w:tcW w:w="851"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2010</w:t>
            </w:r>
          </w:p>
        </w:tc>
        <w:tc>
          <w:tcPr>
            <w:tcW w:w="76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2011</w:t>
            </w:r>
          </w:p>
        </w:tc>
        <w:tc>
          <w:tcPr>
            <w:tcW w:w="86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2012</w:t>
            </w:r>
          </w:p>
        </w:tc>
        <w:tc>
          <w:tcPr>
            <w:tcW w:w="76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2013</w:t>
            </w:r>
          </w:p>
        </w:tc>
        <w:tc>
          <w:tcPr>
            <w:tcW w:w="120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2014</w:t>
            </w:r>
          </w:p>
        </w:tc>
        <w:tc>
          <w:tcPr>
            <w:tcW w:w="109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2015</w:t>
            </w:r>
          </w:p>
        </w:tc>
        <w:tc>
          <w:tcPr>
            <w:tcW w:w="109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RECETTES TOTALES ET DONS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2150,9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2849,0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3154,5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2688,5</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2583,4</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2070,7</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1536,7</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TOTALES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2150,9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2849,0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3154,5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2694,5</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2583,4</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2070,7</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1536,7</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pétrolières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1938,5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2639,4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2852,5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2446,6</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2302,4</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1731,1</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1184,6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non pétrolières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212,4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209,6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301,9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247,9</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281,0</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339,6</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352,1</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fiscales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122,5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143,2</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172,2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149,9</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177,6</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213,7</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174,7</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non fiscales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89,9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66,4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129,7</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97,9</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103,5</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119,4</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175,0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DONS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-6,0</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0,0</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DÉPENSES TOTALES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2516,8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2767,0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4023,5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3329,1</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3102,1</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2332,1</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2226,8</w:t>
            </w:r>
          </w:p>
        </w:tc>
      </w:tr>
      <w:tr w:rsidR="00BD3B9B" w:rsidRPr="00544154" w:rsidTr="002E7809">
        <w:trPr>
          <w:trHeight w:val="306"/>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COURANTES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453,9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500,6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815,4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871,9</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763,8</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689,1</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885,4</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salaires et traitements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77,8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79,8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99,8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109,5</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125,8</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135,0</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147,0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intérêts de la dette publique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19,6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27,8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31,8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37,7</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50,0</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29,1</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65,8</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EN CAPITAL</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2062,9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2266,4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3208,1</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2457,2</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2338,3</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1643,1</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1341,4</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sur financement interne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2062,9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2266,4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3208,1</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2457,2</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2336,7</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1643,1</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1335,4</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PRIMAIRE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-346,4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109,8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-796,9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-596,8</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-467,1</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-232,3</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-618,3</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BUDGÉTAIRE DE BASE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-365,9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82,0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-828,8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-634,6</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-517,1</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-261,4</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-684,1</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GLOBAL, base engagements, hors dons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-365,9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82,0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-828,8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-634,6</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-518,7</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-261,4</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-690,1</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SOLDE GLOBAL, base caisse (en milliards)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-365,9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82,0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-828,8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-634,6</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-518,7</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-261,4</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-690,1</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STOCK DETTE publique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344,5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689,6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833,6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665,8</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977,5</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1001,8</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1589,7</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dette extérieure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344,5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689,6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833,6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665,8</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977,5</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1001,8</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1588,7</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dette intérieure</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0,0</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ARRIERES GESTION COURANTE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0,0</w:t>
            </w:r>
          </w:p>
        </w:tc>
        <w:tc>
          <w:tcPr>
            <w:tcW w:w="1096" w:type="dxa"/>
            <w:noWrap/>
            <w:hideMark/>
          </w:tcPr>
          <w:p w:rsidR="00BD3B9B" w:rsidRPr="001C509F" w:rsidRDefault="00AD7D99"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AD7D99">
              <w:rPr>
                <w:sz w:val="16"/>
                <w:szCs w:val="16"/>
              </w:rPr>
              <w:t>&gt;0</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arriérés extérieurs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0,0</w:t>
            </w:r>
          </w:p>
        </w:tc>
        <w:tc>
          <w:tcPr>
            <w:tcW w:w="1096" w:type="dxa"/>
            <w:noWrap/>
            <w:hideMark/>
          </w:tcPr>
          <w:p w:rsidR="00BD3B9B" w:rsidRPr="001C509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1C509F">
              <w:rPr>
                <w:rFonts w:ascii="Times New Roman" w:hAnsi="Times New Roman"/>
                <w:sz w:val="16"/>
                <w:szCs w:val="16"/>
              </w:rPr>
              <w:t>0,0</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arriérés intérieurs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96" w:type="dxa"/>
            <w:noWrap/>
            <w:hideMark/>
          </w:tcPr>
          <w:p w:rsidR="00BD3B9B" w:rsidRPr="001C509F" w:rsidRDefault="00AD7D99"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AD7D99">
              <w:rPr>
                <w:sz w:val="16"/>
                <w:szCs w:val="16"/>
              </w:rPr>
              <w:t>&gt;0</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96" w:type="dxa"/>
            <w:noWrap/>
            <w:hideMark/>
          </w:tcPr>
          <w:p w:rsidR="00BD3B9B" w:rsidRPr="001C509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 xml:space="preserve">critères de convergence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96" w:type="dxa"/>
            <w:noWrap/>
            <w:hideMark/>
          </w:tcPr>
          <w:p w:rsidR="00BD3B9B" w:rsidRPr="001C509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budgétaire de base rapporté au PIB nominal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-7,0</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-6,1</w:t>
            </w:r>
          </w:p>
        </w:tc>
        <w:tc>
          <w:tcPr>
            <w:tcW w:w="1096" w:type="dxa"/>
            <w:noWrap/>
            <w:hideMark/>
          </w:tcPr>
          <w:p w:rsidR="00BD3B9B" w:rsidRPr="001C509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1C509F">
              <w:rPr>
                <w:rFonts w:ascii="Times New Roman" w:hAnsi="Times New Roman"/>
                <w:sz w:val="16"/>
                <w:szCs w:val="16"/>
              </w:rPr>
              <w:t>-4,9</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-16,4</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d'inflation annuel moyen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3,0</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4,3</w:t>
            </w:r>
          </w:p>
        </w:tc>
        <w:tc>
          <w:tcPr>
            <w:tcW w:w="1096" w:type="dxa"/>
            <w:noWrap/>
            <w:hideMark/>
          </w:tcPr>
          <w:p w:rsidR="00BD3B9B" w:rsidRPr="001C509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1C509F">
              <w:rPr>
                <w:rFonts w:ascii="Times New Roman" w:hAnsi="Times New Roman"/>
                <w:sz w:val="16"/>
                <w:szCs w:val="16"/>
              </w:rPr>
              <w:t>1,7</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1,9</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d'endettement public en  % du PIB</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7,4</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11,5</w:t>
            </w:r>
          </w:p>
        </w:tc>
        <w:tc>
          <w:tcPr>
            <w:tcW w:w="1096" w:type="dxa"/>
            <w:noWrap/>
            <w:hideMark/>
          </w:tcPr>
          <w:p w:rsidR="00BD3B9B" w:rsidRPr="001C509F"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1C509F">
              <w:rPr>
                <w:rFonts w:ascii="Times New Roman" w:hAnsi="Times New Roman"/>
                <w:sz w:val="16"/>
                <w:szCs w:val="16"/>
              </w:rPr>
              <w:t>18,7</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38,2</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accumulation arriérés gestion courante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0,0</w:t>
            </w:r>
          </w:p>
        </w:tc>
        <w:tc>
          <w:tcPr>
            <w:tcW w:w="1096" w:type="dxa"/>
            <w:noWrap/>
            <w:hideMark/>
          </w:tcPr>
          <w:p w:rsidR="00BD3B9B" w:rsidRPr="001C509F" w:rsidRDefault="00AD7D99"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AD7D99">
              <w:rPr>
                <w:sz w:val="16"/>
                <w:szCs w:val="16"/>
              </w:rPr>
              <w:t>&gt;0</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r>
      <w:tr w:rsidR="00BD3B9B" w:rsidRPr="00544154" w:rsidTr="002E7809">
        <w:trPr>
          <w:trHeight w:val="306"/>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b/>
                <w:bCs/>
                <w:i/>
                <w:iCs/>
                <w:sz w:val="18"/>
                <w:szCs w:val="20"/>
              </w:rPr>
            </w:pPr>
            <w:r w:rsidRPr="00544154">
              <w:rPr>
                <w:rFonts w:ascii="Times New Roman" w:hAnsi="Times New Roman"/>
                <w:b/>
                <w:bCs/>
                <w:i/>
                <w:iCs/>
                <w:sz w:val="18"/>
                <w:szCs w:val="20"/>
              </w:rPr>
              <w:t>Indicateurs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couverture extérieure de la monnaie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122,4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101,8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100,9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100,7</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80,6</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55,9</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31,0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budgétaire primaire rapporté au PIB nominal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-5,1</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-6,6</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-5,5</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-4,3</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-14,8</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évolution masse salariale par rapport à évolution recettes fiscales ≤ 1</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4,1</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4,9</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6,5</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9,6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déficit extérieur courant hors dons sur PIB nominal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7,7</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3,9</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-3,2</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-17,4</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-25,4</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pression fiscale non pétrolière (en  % du PIB non pétrolier)</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11,7</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13,5</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15,7</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13,6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global, base engagements, hors dons sur PIB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-7,0</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-6,1</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-4,9</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-16,6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global, base caisse sur PIB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0,9</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-7,0</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-6,1</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-4,9</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-16,6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COMPTES NATIONAUX</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nominal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6825,3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8685,4</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10110,9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9022,2</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8518,2</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5352,6</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4166,8</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nominal hors pétrole (en milliards)</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920,4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1052,6</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1367,7</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1280,8</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1318,7</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1361,1</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1285,6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en volume (au prix de l'année de base de 1985)</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2544,9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2653,8</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2923,8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2690,8</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2708,1</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2542,6</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2478,8</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07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croissance du PIB en volume (en  %)</w:t>
            </w:r>
          </w:p>
        </w:tc>
        <w:tc>
          <w:tcPr>
            <w:tcW w:w="851"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4,3</w:t>
            </w:r>
          </w:p>
        </w:tc>
        <w:tc>
          <w:tcPr>
            <w:tcW w:w="8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-8,0</w:t>
            </w:r>
          </w:p>
        </w:tc>
        <w:tc>
          <w:tcPr>
            <w:tcW w:w="1206"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0,6</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-6,1</w:t>
            </w:r>
          </w:p>
        </w:tc>
        <w:tc>
          <w:tcPr>
            <w:tcW w:w="1096"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-2,5</w:t>
            </w:r>
          </w:p>
        </w:tc>
      </w:tr>
    </w:tbl>
    <w:p w:rsidR="00BD3B9B" w:rsidRPr="00544154" w:rsidRDefault="00BD3B9B" w:rsidP="00BD3B9B">
      <w:pPr>
        <w:pStyle w:val="xl46"/>
        <w:pBdr>
          <w:bottom w:val="none" w:sz="0" w:space="0" w:color="auto"/>
        </w:pBdr>
        <w:spacing w:before="0" w:beforeAutospacing="0" w:after="0" w:afterAutospacing="0"/>
        <w:jc w:val="both"/>
        <w:rPr>
          <w:rFonts w:ascii="Times New Roman" w:hAnsi="Times New Roman" w:cs="Times New Roman"/>
          <w:i/>
          <w:snapToGrid w:val="0"/>
          <w:sz w:val="18"/>
          <w:szCs w:val="18"/>
        </w:rPr>
      </w:pPr>
      <w:r w:rsidRPr="00544154">
        <w:rPr>
          <w:rFonts w:ascii="Times New Roman" w:hAnsi="Times New Roman" w:cs="Times New Roman"/>
          <w:i/>
          <w:snapToGrid w:val="0"/>
          <w:sz w:val="18"/>
          <w:szCs w:val="18"/>
          <w:u w:val="single"/>
        </w:rPr>
        <w:t>Sources</w:t>
      </w:r>
      <w:r w:rsidRPr="00544154">
        <w:rPr>
          <w:rFonts w:ascii="Times New Roman" w:hAnsi="Times New Roman" w:cs="Times New Roman"/>
          <w:i/>
          <w:snapToGrid w:val="0"/>
          <w:sz w:val="18"/>
          <w:szCs w:val="18"/>
        </w:rPr>
        <w:t xml:space="preserve"> : Commission de la CEMAC.</w:t>
      </w:r>
    </w:p>
    <w:p w:rsidR="00BD3B9B" w:rsidRPr="00544154" w:rsidRDefault="00BD3B9B" w:rsidP="00BD3B9B">
      <w:pPr>
        <w:pStyle w:val="Lgende"/>
        <w:jc w:val="both"/>
        <w:rPr>
          <w:rFonts w:ascii="Times New Roman" w:hAnsi="Times New Roman"/>
          <w:b w:val="0"/>
          <w:bCs/>
        </w:rPr>
      </w:pPr>
      <w:r w:rsidRPr="00544154">
        <w:rPr>
          <w:rFonts w:ascii="Times New Roman" w:hAnsi="Times New Roman"/>
        </w:rPr>
        <w:br w:type="page"/>
      </w:r>
      <w:r w:rsidRPr="00544154">
        <w:rPr>
          <w:rFonts w:ascii="Times New Roman" w:hAnsi="Times New Roman"/>
          <w:b w:val="0"/>
        </w:rPr>
        <w:lastRenderedPageBreak/>
        <w:t>TCHAD, Synthèse des opérations financières de l'État et principaux indicateurs macroéconomiques</w:t>
      </w:r>
    </w:p>
    <w:tbl>
      <w:tblPr>
        <w:tblStyle w:val="Tableauclassique1"/>
        <w:tblW w:w="9629" w:type="dxa"/>
        <w:jc w:val="center"/>
        <w:tblLayout w:type="fixed"/>
        <w:tblLook w:val="04A0" w:firstRow="1" w:lastRow="0" w:firstColumn="1" w:lastColumn="0" w:noHBand="0" w:noVBand="1"/>
      </w:tblPr>
      <w:tblGrid>
        <w:gridCol w:w="4219"/>
        <w:gridCol w:w="766"/>
        <w:gridCol w:w="766"/>
        <w:gridCol w:w="766"/>
        <w:gridCol w:w="766"/>
        <w:gridCol w:w="939"/>
        <w:gridCol w:w="703"/>
        <w:gridCol w:w="704"/>
      </w:tblGrid>
      <w:tr w:rsidR="00BD3B9B" w:rsidRPr="00544154" w:rsidTr="002E7809">
        <w:trPr>
          <w:cnfStyle w:val="100000000000" w:firstRow="1" w:lastRow="0" w:firstColumn="0" w:lastColumn="0" w:oddVBand="0" w:evenVBand="0" w:oddHBand="0"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Tchad</w:t>
            </w:r>
          </w:p>
        </w:tc>
        <w:tc>
          <w:tcPr>
            <w:tcW w:w="76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2010</w:t>
            </w:r>
          </w:p>
        </w:tc>
        <w:tc>
          <w:tcPr>
            <w:tcW w:w="76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2011</w:t>
            </w:r>
          </w:p>
        </w:tc>
        <w:tc>
          <w:tcPr>
            <w:tcW w:w="76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2012</w:t>
            </w:r>
          </w:p>
        </w:tc>
        <w:tc>
          <w:tcPr>
            <w:tcW w:w="766"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2013</w:t>
            </w:r>
          </w:p>
        </w:tc>
        <w:tc>
          <w:tcPr>
            <w:tcW w:w="939"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2014</w:t>
            </w:r>
          </w:p>
        </w:tc>
        <w:tc>
          <w:tcPr>
            <w:tcW w:w="703"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2015</w:t>
            </w:r>
          </w:p>
        </w:tc>
        <w:tc>
          <w:tcPr>
            <w:tcW w:w="704" w:type="dxa"/>
            <w:noWrap/>
            <w:hideMark/>
          </w:tcPr>
          <w:p w:rsidR="00BD3B9B" w:rsidRPr="00544154" w:rsidRDefault="00BD3B9B" w:rsidP="002E780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18"/>
                <w:szCs w:val="20"/>
              </w:rPr>
            </w:pPr>
            <w:r w:rsidRPr="00544154">
              <w:rPr>
                <w:rFonts w:ascii="Times New Roman" w:hAnsi="Times New Roman"/>
                <w:b/>
                <w:bCs/>
                <w:sz w:val="18"/>
                <w:szCs w:val="20"/>
              </w:rPr>
              <w:t>2016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RECETTES TOTALES ET DONS (en milliards)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1090,2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1457,8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1542,4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1315,7</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1566,4</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954,1</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1219,9</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TOTALES (en milliards)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1000,2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1331,5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1375,4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1212,5</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1424,2</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858,5</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1000,9</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pétrolières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675,9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1017,2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1020,0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751,2</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633,1</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430,2</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229,2</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non pétrolières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324,3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314,3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355,4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461,4</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791,1</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428,2</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771,6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fiscales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313,4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296,0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339,0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443,6</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436,8</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370,0</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436,5</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recettes non fiscales </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17,8</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354,3</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58,2</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335,1</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DONS (en milliards)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90,1</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126,3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167,0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103,1</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142,2</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95,7</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219,0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DÉPENSES TOTALES (en milliards)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1230,5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1385,5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1630,8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1521,4</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1585,9</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1041,2</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1310,0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COURANTES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700,1</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734,9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747,6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876,6</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883,4</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699,0</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709,0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salaires et traitements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137,8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175,6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224,9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276,7</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363,4</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287,6</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298,1</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intérêts de la dette publique</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17,9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34,0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27,9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42,0</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49,7</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49,5</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56,5</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EN CAPITAL</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530,4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650,6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883,2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644,7</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702,5</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342,2</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601,0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sur financement interne</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400,6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416,3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640,2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495,4</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510,5</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213,0</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373,0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PRIMAIRE (en milliards)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-82,6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214,3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-117,5</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80,0</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-4,0</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-24,6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BUDGÉTAIRE DE BASE (en milliards)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-100,5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180,3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-159,5</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30,2</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-53,5</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-81,1</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SOLDE GLOBAL, base engagements, hors dons (en milliards)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-230,3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-54,0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-255,5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-308,8</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-161,8</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-182,7</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-309,1</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SOLDE GLOBAL, base caisse (en milliards)  </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-272,3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-87,0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-364,5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-539,8</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-281,8</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-269,6</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-349,1</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STOCK DETTE publique (en milliards)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822,2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1237,8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1406,2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1706,8</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2265,2</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2330,6</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2440,6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dette extérieure</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746,9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855,2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1017,3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1244,8</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1730,6</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1796,0</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1906,0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dette intérieure</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75,3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382,6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388,8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462,0</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534,6</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534,6</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534,6</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ARRIERES GESTION COURANTE  (en milliards)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0,0</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highlight w:val="yellow"/>
              </w:rPr>
            </w:pPr>
            <w:r w:rsidRPr="004058E8">
              <w:rPr>
                <w:rFonts w:ascii="Times New Roman" w:hAnsi="Times New Roman"/>
                <w:sz w:val="16"/>
                <w:szCs w:val="16"/>
              </w:rPr>
              <w:t>0,0</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arriérés extérieurs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0,0</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highlight w:val="yellow"/>
              </w:rPr>
            </w:pPr>
            <w:r w:rsidRPr="004058E8">
              <w:rPr>
                <w:rFonts w:ascii="Times New Roman" w:hAnsi="Times New Roman"/>
                <w:sz w:val="16"/>
                <w:szCs w:val="16"/>
              </w:rPr>
              <w:t>0,0</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arriérés intérieurs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 xml:space="preserve">critères de convergence </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budgétaire de base rapporté au PIB nominal (en  %)</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-2,3</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0,4</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-0,7</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-1,2</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d'inflation annuel moyen (en  %)</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-2,1</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0,2</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1,7</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3,7</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2,9</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d'endettement public en  % du PIB</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15,1</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24,6</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31,3</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32,5</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34,8</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accumulation arriérés gestion courante (en milliards)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0,0</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0,0</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8"/>
                <w:szCs w:val="18"/>
              </w:rPr>
            </w:pP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8"/>
                <w:szCs w:val="18"/>
              </w:rPr>
            </w:pP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6"/>
                <w:szCs w:val="16"/>
              </w:rPr>
            </w:pP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b/>
                <w:bCs/>
                <w:i/>
                <w:iCs/>
                <w:sz w:val="18"/>
                <w:szCs w:val="20"/>
              </w:rPr>
            </w:pPr>
            <w:r w:rsidRPr="00544154">
              <w:rPr>
                <w:rFonts w:ascii="Times New Roman" w:hAnsi="Times New Roman"/>
                <w:b/>
                <w:bCs/>
                <w:i/>
                <w:iCs/>
                <w:sz w:val="18"/>
                <w:szCs w:val="20"/>
              </w:rPr>
              <w:t>Indicateurs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8"/>
                <w:szCs w:val="18"/>
              </w:rPr>
            </w:pP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8"/>
                <w:szCs w:val="18"/>
              </w:rPr>
            </w:pP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6"/>
                <w:szCs w:val="16"/>
              </w:rPr>
            </w:pP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couverture extérieure de la monnaie (en  %)</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58,0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69,6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72,2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73,0</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73,2</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32,5</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15,9</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budgétaire primaire rapporté au PIB nominal (en  %)</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-1,7</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1,1</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-0,1</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-0,4</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évolution masse salariale par rapport à évolution recettes fiscales ≤ 1</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16,4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22,8</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25,5</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33,5</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29,8</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déficit extérieur courant hors dons sur PIB nominal (en  %)</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-14,9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-11,7</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-12,0</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-15,9</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-21,0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pression fiscale non pétrolière (en  % du PIB non pétrolier)</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7,9</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7,3</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6,0</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6,8</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global, base engagements, hors dons sur PIB (en  %)</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-4,5</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-2,2</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-2,6</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-4,4</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solde global, base caisse sur PIB (en  %)</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-5,0</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-7,8</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-3,9</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-3,8</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-5,0</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b/>
                <w:bCs/>
                <w:sz w:val="18"/>
                <w:szCs w:val="20"/>
              </w:rPr>
            </w:pPr>
            <w:r w:rsidRPr="00544154">
              <w:rPr>
                <w:rFonts w:ascii="Times New Roman" w:hAnsi="Times New Roman"/>
                <w:b/>
                <w:bCs/>
                <w:sz w:val="18"/>
                <w:szCs w:val="20"/>
              </w:rPr>
              <w:t>COMPTES NATIONAUX</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nominal (en milliards)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5433,5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5618,8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6812,2</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6927,3</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7244,5</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7162,4</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7010,7</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nominal hors pétrole (en milliards)</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4292,5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4493,9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5292,8</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5648,0</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6013,1</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6153,4</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6384,5</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PIB en volume (au prix de l'année de base de 2005)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5116,6</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5138,9</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5460,5</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5623,3</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5972,9</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6171,5</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6155,2</w:t>
            </w:r>
          </w:p>
        </w:tc>
      </w:tr>
      <w:tr w:rsidR="00BD3B9B" w:rsidRPr="00544154" w:rsidTr="002E7809">
        <w:trPr>
          <w:trHeight w:val="280"/>
          <w:jc w:val="center"/>
        </w:trPr>
        <w:tc>
          <w:tcPr>
            <w:cnfStyle w:val="001000000000" w:firstRow="0" w:lastRow="0" w:firstColumn="1" w:lastColumn="0" w:oddVBand="0" w:evenVBand="0" w:oddHBand="0" w:evenHBand="0" w:firstRowFirstColumn="0" w:firstRowLastColumn="0" w:lastRowFirstColumn="0" w:lastRowLastColumn="0"/>
            <w:tcW w:w="4219"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taux de croissance du PIB en volume (en  %)</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13,4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0,4</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6,3</w:t>
            </w:r>
          </w:p>
        </w:tc>
        <w:tc>
          <w:tcPr>
            <w:tcW w:w="766"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3,0</w:t>
            </w:r>
          </w:p>
        </w:tc>
        <w:tc>
          <w:tcPr>
            <w:tcW w:w="939" w:type="dxa"/>
            <w:noWrap/>
            <w:hideMark/>
          </w:tcPr>
          <w:p w:rsidR="00BD3B9B" w:rsidRPr="00EF1D1D"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6,2</w:t>
            </w:r>
          </w:p>
        </w:tc>
        <w:tc>
          <w:tcPr>
            <w:tcW w:w="7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3,3</w:t>
            </w:r>
          </w:p>
        </w:tc>
        <w:tc>
          <w:tcPr>
            <w:tcW w:w="704"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4058E8">
              <w:rPr>
                <w:rFonts w:ascii="Times New Roman" w:hAnsi="Times New Roman"/>
                <w:sz w:val="16"/>
                <w:szCs w:val="16"/>
              </w:rPr>
              <w:t>-0,3</w:t>
            </w:r>
          </w:p>
        </w:tc>
      </w:tr>
    </w:tbl>
    <w:p w:rsidR="00BD3B9B" w:rsidRPr="00544154" w:rsidRDefault="00BD3B9B" w:rsidP="00BD3B9B">
      <w:pPr>
        <w:pStyle w:val="xl46"/>
        <w:pBdr>
          <w:bottom w:val="none" w:sz="0" w:space="0" w:color="auto"/>
        </w:pBdr>
        <w:spacing w:before="0" w:beforeAutospacing="0" w:after="0" w:afterAutospacing="0"/>
        <w:jc w:val="both"/>
        <w:rPr>
          <w:rFonts w:ascii="Times New Roman" w:hAnsi="Times New Roman" w:cs="Times New Roman"/>
          <w:i/>
          <w:snapToGrid w:val="0"/>
          <w:sz w:val="18"/>
          <w:szCs w:val="18"/>
        </w:rPr>
      </w:pPr>
      <w:r w:rsidRPr="00544154">
        <w:rPr>
          <w:rFonts w:ascii="Times New Roman" w:hAnsi="Times New Roman" w:cs="Times New Roman"/>
          <w:i/>
          <w:snapToGrid w:val="0"/>
          <w:sz w:val="18"/>
          <w:szCs w:val="18"/>
          <w:u w:val="single"/>
        </w:rPr>
        <w:t>Sources</w:t>
      </w:r>
      <w:r w:rsidRPr="00544154">
        <w:rPr>
          <w:rFonts w:ascii="Times New Roman" w:hAnsi="Times New Roman" w:cs="Times New Roman"/>
          <w:i/>
          <w:snapToGrid w:val="0"/>
          <w:sz w:val="18"/>
          <w:szCs w:val="18"/>
        </w:rPr>
        <w:t xml:space="preserve"> : Commission de la CEMAC.</w:t>
      </w:r>
    </w:p>
    <w:p w:rsidR="00BD3B9B" w:rsidRPr="00544154" w:rsidRDefault="00BD3B9B" w:rsidP="00BD3B9B">
      <w:pPr>
        <w:pStyle w:val="Lgende"/>
        <w:jc w:val="both"/>
        <w:rPr>
          <w:rFonts w:ascii="Times New Roman" w:hAnsi="Times New Roman"/>
          <w:b w:val="0"/>
          <w:bCs/>
        </w:rPr>
      </w:pPr>
      <w:r w:rsidRPr="00544154">
        <w:rPr>
          <w:rFonts w:ascii="Times New Roman" w:hAnsi="Times New Roman"/>
        </w:rPr>
        <w:br w:type="page"/>
      </w:r>
      <w:r w:rsidRPr="00544154">
        <w:rPr>
          <w:rFonts w:ascii="Times New Roman" w:hAnsi="Times New Roman"/>
          <w:b w:val="0"/>
        </w:rPr>
        <w:lastRenderedPageBreak/>
        <w:t>CEMAC, Produit Intérieur Brut (PIB) par secteur (en milliards de FCFA)</w:t>
      </w:r>
    </w:p>
    <w:tbl>
      <w:tblPr>
        <w:tblStyle w:val="Tableauclassique1"/>
        <w:tblW w:w="9527" w:type="dxa"/>
        <w:tblLook w:val="04A0" w:firstRow="1" w:lastRow="0" w:firstColumn="1" w:lastColumn="0" w:noHBand="0" w:noVBand="1"/>
      </w:tblPr>
      <w:tblGrid>
        <w:gridCol w:w="3227"/>
        <w:gridCol w:w="880"/>
        <w:gridCol w:w="880"/>
        <w:gridCol w:w="880"/>
        <w:gridCol w:w="880"/>
        <w:gridCol w:w="940"/>
        <w:gridCol w:w="960"/>
        <w:gridCol w:w="880"/>
      </w:tblGrid>
      <w:tr w:rsidR="00BD3B9B" w:rsidRPr="00544154" w:rsidTr="002E7809">
        <w:trPr>
          <w:cnfStyle w:val="100000000000" w:firstRow="1" w:lastRow="0" w:firstColumn="0" w:lastColumn="0" w:oddVBand="0" w:evenVBand="0" w:oddHBand="0"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Agrégats</w:t>
            </w:r>
          </w:p>
        </w:tc>
        <w:tc>
          <w:tcPr>
            <w:tcW w:w="88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2010</w:t>
            </w:r>
          </w:p>
        </w:tc>
        <w:tc>
          <w:tcPr>
            <w:tcW w:w="88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2011</w:t>
            </w:r>
          </w:p>
        </w:tc>
        <w:tc>
          <w:tcPr>
            <w:tcW w:w="88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2012</w:t>
            </w:r>
          </w:p>
        </w:tc>
        <w:tc>
          <w:tcPr>
            <w:tcW w:w="88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2013</w:t>
            </w:r>
          </w:p>
        </w:tc>
        <w:tc>
          <w:tcPr>
            <w:tcW w:w="94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2014</w:t>
            </w:r>
          </w:p>
        </w:tc>
        <w:tc>
          <w:tcPr>
            <w:tcW w:w="96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2015</w:t>
            </w:r>
          </w:p>
        </w:tc>
        <w:tc>
          <w:tcPr>
            <w:tcW w:w="880"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2016</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tcBorders>
              <w:bottom w:val="nil"/>
            </w:tcBorders>
            <w:noWrap/>
            <w:hideMark/>
          </w:tcPr>
          <w:p w:rsidR="00BD3B9B" w:rsidRPr="00544154" w:rsidRDefault="00BD3B9B" w:rsidP="002E7809">
            <w:pPr>
              <w:ind w:firstLine="0"/>
              <w:jc w:val="right"/>
              <w:rPr>
                <w:rFonts w:ascii="Times New Roman" w:hAnsi="Times New Roman"/>
                <w:sz w:val="18"/>
                <w:szCs w:val="18"/>
              </w:rPr>
            </w:pPr>
          </w:p>
        </w:tc>
        <w:tc>
          <w:tcPr>
            <w:tcW w:w="880" w:type="dxa"/>
            <w:tcBorders>
              <w:bottom w:val="nil"/>
            </w:tcBorders>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tcBorders>
              <w:bottom w:val="nil"/>
            </w:tcBorders>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tcBorders>
              <w:bottom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Estim.</w:t>
            </w:r>
          </w:p>
        </w:tc>
        <w:tc>
          <w:tcPr>
            <w:tcW w:w="880" w:type="dxa"/>
            <w:tcBorders>
              <w:bottom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Estim.</w:t>
            </w:r>
          </w:p>
        </w:tc>
        <w:tc>
          <w:tcPr>
            <w:tcW w:w="940" w:type="dxa"/>
            <w:tcBorders>
              <w:bottom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Estim.</w:t>
            </w:r>
          </w:p>
        </w:tc>
        <w:tc>
          <w:tcPr>
            <w:tcW w:w="960" w:type="dxa"/>
            <w:tcBorders>
              <w:bottom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Estim.</w:t>
            </w:r>
          </w:p>
        </w:tc>
        <w:tc>
          <w:tcPr>
            <w:tcW w:w="880" w:type="dxa"/>
            <w:tcBorders>
              <w:bottom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Prév.</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9527" w:type="dxa"/>
            <w:gridSpan w:val="8"/>
            <w:tcBorders>
              <w:top w:val="nil"/>
              <w:bottom w:val="nil"/>
              <w:right w:val="nil"/>
            </w:tcBorders>
            <w:noWrap/>
          </w:tcPr>
          <w:p w:rsidR="00BD3B9B" w:rsidRPr="00544154" w:rsidRDefault="00BD3B9B" w:rsidP="002E7809">
            <w:pPr>
              <w:ind w:firstLine="0"/>
              <w:jc w:val="center"/>
              <w:rPr>
                <w:rFonts w:ascii="Times New Roman" w:hAnsi="Times New Roman"/>
                <w:sz w:val="18"/>
                <w:szCs w:val="18"/>
              </w:rPr>
            </w:pPr>
            <w:r w:rsidRPr="00544154">
              <w:rPr>
                <w:rFonts w:ascii="Times New Roman" w:hAnsi="Times New Roman"/>
                <w:sz w:val="18"/>
                <w:szCs w:val="18"/>
              </w:rPr>
              <w:t>Prix courants</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tcBorders>
              <w:top w:val="nil"/>
            </w:tcBorders>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Secteur primaire</w:t>
            </w:r>
          </w:p>
        </w:tc>
        <w:tc>
          <w:tcPr>
            <w:tcW w:w="880"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18 991,5 </w:t>
            </w:r>
          </w:p>
        </w:tc>
        <w:tc>
          <w:tcPr>
            <w:tcW w:w="880"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21 927,1 </w:t>
            </w:r>
          </w:p>
        </w:tc>
        <w:tc>
          <w:tcPr>
            <w:tcW w:w="880"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23 526,3 </w:t>
            </w:r>
          </w:p>
        </w:tc>
        <w:tc>
          <w:tcPr>
            <w:tcW w:w="880"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21 423,9 </w:t>
            </w:r>
          </w:p>
        </w:tc>
        <w:tc>
          <w:tcPr>
            <w:tcW w:w="940"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21 082,2 </w:t>
            </w:r>
          </w:p>
        </w:tc>
        <w:tc>
          <w:tcPr>
            <w:tcW w:w="960" w:type="dxa"/>
            <w:tcBorders>
              <w:top w:val="nil"/>
            </w:tcBorders>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16 039,5 </w:t>
            </w:r>
          </w:p>
        </w:tc>
        <w:tc>
          <w:tcPr>
            <w:tcW w:w="880" w:type="dxa"/>
            <w:tcBorders>
              <w:top w:val="nil"/>
            </w:tcBorders>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13 897,6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Agriculture, Élevage, Chasse et Pêche</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4 954,8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4 952,9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5 567,6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5 658,0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6 037,7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6 403,7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6 914,3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Sylviculture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336,2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344,7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360,7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341,5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347,4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387,5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437,7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Industries extractives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13 700,6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16 629,5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17 598,0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15 424,4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14 697,1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9 248,3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6 545,6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Secteur secondaire</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6 834,7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8 187,5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9 231,7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9 669,3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9 914,3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8 889,4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9 220,9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Industries manufacturières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2 423,7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2 467,8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2 744,0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2 869,9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3 064,6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3 221,3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3 456,7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Bâtiments et Travaux Publics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1 701,4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2 143,9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2 569,5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2 877,1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3 067,3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3 065,6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3 349,3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Autres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2 709,5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3 575,8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3 918,2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3 922,3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3 782,5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2 602,5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2 414,9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Secteur tertiaire</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10 961,8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11 881,9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12 981,0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14 141,8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15 375,6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16 330,5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17 101,7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Services marchands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8 275,9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8 964,3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9 722,4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10 500,1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11 420,2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12 350,4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13 056,7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Services non marchands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2 685,9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2 917,6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3 258,6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3 641,6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3 955,4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3 980,1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4 045,1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jc w:val="right"/>
              <w:rPr>
                <w:rFonts w:ascii="Times New Roman" w:hAnsi="Times New Roman"/>
                <w:sz w:val="18"/>
                <w:szCs w:val="18"/>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au coût des facteurs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36 788,0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41 996,4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45 739,0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45 235,0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46 372,1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41 259,4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40 220,2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Taxes nettes sur les produits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1 736,4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1 905,8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2 066,4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2 241,6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2 472,2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2 555,5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2 748,9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jc w:val="right"/>
              <w:rPr>
                <w:rFonts w:ascii="Times New Roman" w:hAnsi="Times New Roman"/>
                <w:sz w:val="18"/>
                <w:szCs w:val="18"/>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aux prix courants du marché</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38 524,4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43 902,2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47 805,4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47 476,6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48 844,3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43 814,9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42 969,0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du secteur pétrolier</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15 423,8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19 166,1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20 439,9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18 206,3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17 286,0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10 599,0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7 443,7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tcBorders>
              <w:bottom w:val="nil"/>
            </w:tcBorders>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du secteur non pétrolier</w:t>
            </w:r>
          </w:p>
        </w:tc>
        <w:tc>
          <w:tcPr>
            <w:tcW w:w="880" w:type="dxa"/>
            <w:tcBorders>
              <w:bottom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23 100,6 </w:t>
            </w:r>
          </w:p>
        </w:tc>
        <w:tc>
          <w:tcPr>
            <w:tcW w:w="880" w:type="dxa"/>
            <w:tcBorders>
              <w:bottom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24 736,1 </w:t>
            </w:r>
          </w:p>
        </w:tc>
        <w:tc>
          <w:tcPr>
            <w:tcW w:w="880" w:type="dxa"/>
            <w:tcBorders>
              <w:bottom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27 365,5 </w:t>
            </w:r>
          </w:p>
        </w:tc>
        <w:tc>
          <w:tcPr>
            <w:tcW w:w="880" w:type="dxa"/>
            <w:tcBorders>
              <w:bottom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29 270,2 </w:t>
            </w:r>
          </w:p>
        </w:tc>
        <w:tc>
          <w:tcPr>
            <w:tcW w:w="940" w:type="dxa"/>
            <w:tcBorders>
              <w:bottom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31 558,3 </w:t>
            </w:r>
          </w:p>
        </w:tc>
        <w:tc>
          <w:tcPr>
            <w:tcW w:w="960" w:type="dxa"/>
            <w:tcBorders>
              <w:bottom w:val="nil"/>
            </w:tcBorders>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33 215,9 </w:t>
            </w:r>
          </w:p>
        </w:tc>
        <w:tc>
          <w:tcPr>
            <w:tcW w:w="880" w:type="dxa"/>
            <w:tcBorders>
              <w:bottom w:val="nil"/>
            </w:tcBorders>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35 525,4 </w:t>
            </w:r>
          </w:p>
        </w:tc>
      </w:tr>
      <w:tr w:rsidR="00BD3B9B" w:rsidRPr="00544154" w:rsidTr="002E7809">
        <w:trPr>
          <w:trHeight w:val="277"/>
        </w:trPr>
        <w:tc>
          <w:tcPr>
            <w:cnfStyle w:val="001000000000" w:firstRow="0" w:lastRow="0" w:firstColumn="1" w:lastColumn="0" w:oddVBand="0" w:evenVBand="0" w:oddHBand="0" w:evenHBand="0" w:firstRowFirstColumn="0" w:firstRowLastColumn="0" w:lastRowFirstColumn="0" w:lastRowLastColumn="0"/>
            <w:tcW w:w="9527" w:type="dxa"/>
            <w:gridSpan w:val="8"/>
            <w:tcBorders>
              <w:top w:val="nil"/>
              <w:bottom w:val="nil"/>
              <w:right w:val="nil"/>
            </w:tcBorders>
            <w:noWrap/>
            <w:hideMark/>
          </w:tcPr>
          <w:p w:rsidR="00BD3B9B" w:rsidRPr="00544154" w:rsidRDefault="00BD3B9B" w:rsidP="002E7809">
            <w:pPr>
              <w:ind w:firstLine="0"/>
              <w:jc w:val="center"/>
              <w:rPr>
                <w:rFonts w:ascii="Times New Roman" w:hAnsi="Times New Roman"/>
                <w:sz w:val="20"/>
                <w:szCs w:val="20"/>
              </w:rPr>
            </w:pPr>
            <w:r w:rsidRPr="00544154">
              <w:rPr>
                <w:rFonts w:ascii="Times New Roman" w:hAnsi="Times New Roman"/>
                <w:sz w:val="18"/>
                <w:szCs w:val="18"/>
              </w:rPr>
              <w:t>Prix constants, aux prix de 1992</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tcBorders>
              <w:top w:val="nil"/>
            </w:tcBorders>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Secteur primaire</w:t>
            </w:r>
          </w:p>
        </w:tc>
        <w:tc>
          <w:tcPr>
            <w:tcW w:w="880"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14 010,1 </w:t>
            </w:r>
          </w:p>
        </w:tc>
        <w:tc>
          <w:tcPr>
            <w:tcW w:w="880"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13 547,6 </w:t>
            </w:r>
          </w:p>
        </w:tc>
        <w:tc>
          <w:tcPr>
            <w:tcW w:w="880"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13 847,6 </w:t>
            </w:r>
          </w:p>
        </w:tc>
        <w:tc>
          <w:tcPr>
            <w:tcW w:w="880"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13 027,6 </w:t>
            </w:r>
          </w:p>
        </w:tc>
        <w:tc>
          <w:tcPr>
            <w:tcW w:w="940"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13 560,2 </w:t>
            </w:r>
          </w:p>
        </w:tc>
        <w:tc>
          <w:tcPr>
            <w:tcW w:w="960" w:type="dxa"/>
            <w:tcBorders>
              <w:top w:val="nil"/>
            </w:tcBorders>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13 949,8 </w:t>
            </w:r>
          </w:p>
        </w:tc>
        <w:tc>
          <w:tcPr>
            <w:tcW w:w="880" w:type="dxa"/>
            <w:tcBorders>
              <w:top w:val="nil"/>
            </w:tcBorders>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13 809,0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Agriculture, Élevage, Chasse et Pêche</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4 457,6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4 292,0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4 721,5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4 658,6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4 908,3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5 014,8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5 265,0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Sylviculture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251,6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248,9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256,3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247,5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279,2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295,3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315,3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Industries extractives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9 301,0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9 006,7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8 869,7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8 121,5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8 372,6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8 639,7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8 228,8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Secteur secondaire</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5 394,2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5 964,1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6 333,8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6 616,0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6 855,0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6 785,6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7 295,4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Industries manufacturières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2 141,4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2 243,0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2 362,8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2 434,6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2 560,4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2 691,3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2 845,6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Bâtiments et Travaux Publics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1 170,3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1 479,9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1 695,5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1 793,8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1 850,7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1 787,3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1 934,6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Autres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2 082,5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2 241,2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2 275,6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2 387,6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2 443,9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2 307,0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2 515,2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Secteur tertiaire</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10 134,9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10 926,6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11 607,3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12 339,4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13 064,9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13 631,7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14 109,1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Services marchands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7 810,9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8 368,8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8 835,6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9 316,0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9 831,5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10 379,6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10 815,5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Services non marchands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2 323,9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2 557,8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2 771,7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3 023,3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3 233,4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3 252,1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3 293,5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jc w:val="right"/>
              <w:rPr>
                <w:rFonts w:ascii="Times New Roman" w:hAnsi="Times New Roman"/>
                <w:sz w:val="18"/>
                <w:szCs w:val="18"/>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au coût des facteurs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29 539,2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30 438,3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31 788,7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31 982,9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33 480,1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34 367,1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35 213,6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Taxes nettes sur les produits</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1 644,5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1 976,1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2 492,3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2 758,0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2 941,3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3 074,7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3 243,8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jc w:val="right"/>
              <w:rPr>
                <w:rFonts w:ascii="Times New Roman" w:hAnsi="Times New Roman"/>
                <w:sz w:val="18"/>
                <w:szCs w:val="18"/>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880" w:type="dxa"/>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0"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aux prix constants du marché de 2005</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31 183,7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32 414,4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34 281,0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34 741,0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36 421,4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37 441,8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38 457,4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du secteur pétrolier</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10 515,1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10 331,5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10 212,1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9 470,2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9 725,7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9 801,6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9 501,8 </w:t>
            </w:r>
          </w:p>
        </w:tc>
      </w:tr>
      <w:tr w:rsidR="00BD3B9B" w:rsidRPr="00544154" w:rsidTr="002E7809">
        <w:trPr>
          <w:trHeight w:val="230"/>
        </w:trPr>
        <w:tc>
          <w:tcPr>
            <w:cnfStyle w:val="001000000000" w:firstRow="0" w:lastRow="0" w:firstColumn="1" w:lastColumn="0" w:oddVBand="0" w:evenVBand="0" w:oddHBand="0" w:evenHBand="0" w:firstRowFirstColumn="0" w:firstRowLastColumn="0" w:lastRowFirstColumn="0" w:lastRowLastColumn="0"/>
            <w:tcW w:w="3227" w:type="dxa"/>
            <w:noWrap/>
            <w:hideMark/>
          </w:tcPr>
          <w:p w:rsidR="00BD3B9B" w:rsidRPr="00544154" w:rsidRDefault="00BD3B9B" w:rsidP="002E7809">
            <w:pPr>
              <w:ind w:firstLine="0"/>
              <w:rPr>
                <w:rFonts w:ascii="Times New Roman" w:hAnsi="Times New Roman"/>
                <w:sz w:val="18"/>
                <w:szCs w:val="18"/>
              </w:rPr>
            </w:pPr>
            <w:r w:rsidRPr="00544154">
              <w:rPr>
                <w:rFonts w:ascii="Times New Roman" w:hAnsi="Times New Roman"/>
                <w:sz w:val="18"/>
                <w:szCs w:val="18"/>
              </w:rPr>
              <w:t xml:space="preserve">                 PIB du secteur non pétrolier</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20 668,6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22 082,8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24 069,0 </w:t>
            </w:r>
          </w:p>
        </w:tc>
        <w:tc>
          <w:tcPr>
            <w:tcW w:w="88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44154">
              <w:rPr>
                <w:rFonts w:ascii="Times New Roman" w:hAnsi="Times New Roman"/>
                <w:sz w:val="18"/>
                <w:szCs w:val="18"/>
              </w:rPr>
              <w:t xml:space="preserve">25 270,8 </w:t>
            </w:r>
          </w:p>
        </w:tc>
        <w:tc>
          <w:tcPr>
            <w:tcW w:w="940"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26 695,6 </w:t>
            </w:r>
          </w:p>
        </w:tc>
        <w:tc>
          <w:tcPr>
            <w:tcW w:w="96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27 640,1 </w:t>
            </w:r>
          </w:p>
        </w:tc>
        <w:tc>
          <w:tcPr>
            <w:tcW w:w="880" w:type="dxa"/>
            <w:noWrap/>
            <w:vAlign w:val="bottom"/>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4058E8">
              <w:rPr>
                <w:rFonts w:ascii="Times New Roman" w:hAnsi="Times New Roman"/>
                <w:sz w:val="18"/>
                <w:szCs w:val="18"/>
              </w:rPr>
              <w:t xml:space="preserve">28 955,6 </w:t>
            </w:r>
          </w:p>
        </w:tc>
      </w:tr>
    </w:tbl>
    <w:p w:rsidR="00BD3B9B" w:rsidRPr="00544154" w:rsidRDefault="00BD3B9B" w:rsidP="00BD3B9B">
      <w:pPr>
        <w:pStyle w:val="xl46"/>
        <w:pBdr>
          <w:bottom w:val="none" w:sz="0" w:space="0" w:color="auto"/>
        </w:pBdr>
        <w:spacing w:before="0" w:beforeAutospacing="0" w:after="0" w:afterAutospacing="0"/>
        <w:jc w:val="both"/>
        <w:rPr>
          <w:rFonts w:ascii="Times New Roman" w:hAnsi="Times New Roman" w:cs="Times New Roman"/>
          <w:i/>
          <w:snapToGrid w:val="0"/>
          <w:sz w:val="18"/>
          <w:szCs w:val="18"/>
        </w:rPr>
      </w:pPr>
      <w:r w:rsidRPr="00544154">
        <w:rPr>
          <w:rFonts w:ascii="Times New Roman" w:hAnsi="Times New Roman" w:cs="Times New Roman"/>
          <w:i/>
          <w:snapToGrid w:val="0"/>
          <w:sz w:val="18"/>
          <w:szCs w:val="18"/>
          <w:u w:val="single"/>
        </w:rPr>
        <w:t>Sources</w:t>
      </w:r>
      <w:r w:rsidRPr="00544154">
        <w:rPr>
          <w:rFonts w:ascii="Times New Roman" w:hAnsi="Times New Roman" w:cs="Times New Roman"/>
          <w:i/>
          <w:snapToGrid w:val="0"/>
          <w:sz w:val="18"/>
          <w:szCs w:val="18"/>
        </w:rPr>
        <w:t xml:space="preserve"> : Commission de la CEMAC.</w:t>
      </w:r>
    </w:p>
    <w:p w:rsidR="00BD3B9B" w:rsidRPr="00544154" w:rsidRDefault="00BD3B9B" w:rsidP="00BD3B9B">
      <w:pPr>
        <w:pStyle w:val="Lgende"/>
        <w:jc w:val="both"/>
        <w:rPr>
          <w:rFonts w:ascii="Times New Roman" w:hAnsi="Times New Roman"/>
          <w:b w:val="0"/>
          <w:bCs/>
        </w:rPr>
      </w:pPr>
      <w:r w:rsidRPr="00544154">
        <w:rPr>
          <w:rFonts w:ascii="Times New Roman" w:hAnsi="Times New Roman"/>
        </w:rPr>
        <w:br w:type="page"/>
      </w:r>
      <w:r w:rsidRPr="00544154">
        <w:rPr>
          <w:rFonts w:ascii="Times New Roman" w:hAnsi="Times New Roman"/>
          <w:b w:val="0"/>
        </w:rPr>
        <w:lastRenderedPageBreak/>
        <w:t>CEMAC, Ressources et Emplois (en milliards de FCFA)</w:t>
      </w:r>
    </w:p>
    <w:tbl>
      <w:tblPr>
        <w:tblStyle w:val="Tableauclassique1"/>
        <w:tblW w:w="10359" w:type="dxa"/>
        <w:jc w:val="center"/>
        <w:tblLayout w:type="fixed"/>
        <w:tblLook w:val="04A0" w:firstRow="1" w:lastRow="0" w:firstColumn="1" w:lastColumn="0" w:noHBand="0" w:noVBand="1"/>
      </w:tblPr>
      <w:tblGrid>
        <w:gridCol w:w="3367"/>
        <w:gridCol w:w="1028"/>
        <w:gridCol w:w="992"/>
        <w:gridCol w:w="992"/>
        <w:gridCol w:w="992"/>
        <w:gridCol w:w="993"/>
        <w:gridCol w:w="992"/>
        <w:gridCol w:w="1003"/>
      </w:tblGrid>
      <w:tr w:rsidR="00BD3B9B" w:rsidRPr="00544154" w:rsidTr="002E7809">
        <w:trPr>
          <w:cnfStyle w:val="100000000000" w:firstRow="1" w:lastRow="0" w:firstColumn="0" w:lastColumn="0" w:oddVBand="0" w:evenVBand="0" w:oddHBand="0"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Agrégats</w:t>
            </w:r>
          </w:p>
        </w:tc>
        <w:tc>
          <w:tcPr>
            <w:tcW w:w="1028"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2010</w:t>
            </w:r>
          </w:p>
        </w:tc>
        <w:tc>
          <w:tcPr>
            <w:tcW w:w="992"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2011</w:t>
            </w:r>
          </w:p>
        </w:tc>
        <w:tc>
          <w:tcPr>
            <w:tcW w:w="992"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2012</w:t>
            </w:r>
          </w:p>
        </w:tc>
        <w:tc>
          <w:tcPr>
            <w:tcW w:w="992"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2013</w:t>
            </w:r>
          </w:p>
        </w:tc>
        <w:tc>
          <w:tcPr>
            <w:tcW w:w="993"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2014</w:t>
            </w:r>
          </w:p>
        </w:tc>
        <w:tc>
          <w:tcPr>
            <w:tcW w:w="992"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2015</w:t>
            </w:r>
          </w:p>
        </w:tc>
        <w:tc>
          <w:tcPr>
            <w:tcW w:w="1003" w:type="dxa"/>
            <w:noWrap/>
            <w:hideMark/>
          </w:tcPr>
          <w:p w:rsidR="00BD3B9B" w:rsidRPr="00544154" w:rsidRDefault="00BD3B9B" w:rsidP="002E7809">
            <w:pPr>
              <w:ind w:firstLine="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2016</w:t>
            </w:r>
          </w:p>
        </w:tc>
      </w:tr>
      <w:tr w:rsidR="00BD3B9B" w:rsidRPr="00544154"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tcBorders>
              <w:bottom w:val="nil"/>
            </w:tcBorders>
            <w:noWrap/>
            <w:hideMark/>
          </w:tcPr>
          <w:p w:rsidR="00BD3B9B" w:rsidRPr="00544154" w:rsidRDefault="00BD3B9B" w:rsidP="002E7809">
            <w:pPr>
              <w:ind w:firstLine="0"/>
              <w:jc w:val="right"/>
              <w:rPr>
                <w:rFonts w:ascii="Times New Roman" w:hAnsi="Times New Roman"/>
                <w:sz w:val="18"/>
                <w:szCs w:val="20"/>
              </w:rPr>
            </w:pPr>
          </w:p>
        </w:tc>
        <w:tc>
          <w:tcPr>
            <w:tcW w:w="1028" w:type="dxa"/>
            <w:tcBorders>
              <w:bottom w:val="nil"/>
            </w:tcBorders>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c>
          <w:tcPr>
            <w:tcW w:w="992" w:type="dxa"/>
            <w:tcBorders>
              <w:bottom w:val="nil"/>
            </w:tcBorders>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c>
          <w:tcPr>
            <w:tcW w:w="992" w:type="dxa"/>
            <w:tcBorders>
              <w:bottom w:val="nil"/>
            </w:tcBorders>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Estim.</w:t>
            </w:r>
          </w:p>
        </w:tc>
        <w:tc>
          <w:tcPr>
            <w:tcW w:w="992" w:type="dxa"/>
            <w:tcBorders>
              <w:bottom w:val="nil"/>
            </w:tcBorders>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Estim.</w:t>
            </w:r>
          </w:p>
        </w:tc>
        <w:tc>
          <w:tcPr>
            <w:tcW w:w="993" w:type="dxa"/>
            <w:tcBorders>
              <w:bottom w:val="nil"/>
            </w:tcBorders>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Estim.</w:t>
            </w:r>
          </w:p>
        </w:tc>
        <w:tc>
          <w:tcPr>
            <w:tcW w:w="992" w:type="dxa"/>
            <w:tcBorders>
              <w:bottom w:val="nil"/>
            </w:tcBorders>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Estim.</w:t>
            </w:r>
          </w:p>
        </w:tc>
        <w:tc>
          <w:tcPr>
            <w:tcW w:w="1003" w:type="dxa"/>
            <w:tcBorders>
              <w:bottom w:val="nil"/>
            </w:tcBorders>
            <w:noWrap/>
            <w:hideMark/>
          </w:tcPr>
          <w:p w:rsidR="00BD3B9B" w:rsidRPr="00544154" w:rsidRDefault="00BD3B9B" w:rsidP="002E7809">
            <w:pPr>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Prév.</w:t>
            </w:r>
          </w:p>
        </w:tc>
      </w:tr>
      <w:tr w:rsidR="00BD3B9B" w:rsidRPr="00544154"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10359" w:type="dxa"/>
            <w:gridSpan w:val="8"/>
            <w:tcBorders>
              <w:top w:val="nil"/>
              <w:bottom w:val="nil"/>
              <w:right w:val="nil"/>
            </w:tcBorders>
            <w:noWrap/>
          </w:tcPr>
          <w:p w:rsidR="00BD3B9B" w:rsidRPr="00544154" w:rsidRDefault="00BD3B9B" w:rsidP="002E7809">
            <w:pPr>
              <w:ind w:firstLine="0"/>
              <w:jc w:val="center"/>
              <w:rPr>
                <w:rFonts w:ascii="Times New Roman" w:hAnsi="Times New Roman"/>
                <w:sz w:val="18"/>
                <w:szCs w:val="20"/>
              </w:rPr>
            </w:pPr>
            <w:r w:rsidRPr="00544154">
              <w:rPr>
                <w:rFonts w:ascii="Times New Roman" w:hAnsi="Times New Roman"/>
                <w:sz w:val="18"/>
                <w:szCs w:val="20"/>
              </w:rPr>
              <w:t>Prix courants</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tcBorders>
              <w:top w:val="nil"/>
            </w:tcBorders>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PRODUIT INTÉRIEUR BRUT</w:t>
            </w:r>
          </w:p>
        </w:tc>
        <w:tc>
          <w:tcPr>
            <w:tcW w:w="1028"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38 524,4</w:t>
            </w:r>
          </w:p>
        </w:tc>
        <w:tc>
          <w:tcPr>
            <w:tcW w:w="992"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43 902,2</w:t>
            </w:r>
          </w:p>
        </w:tc>
        <w:tc>
          <w:tcPr>
            <w:tcW w:w="992"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47 805,4</w:t>
            </w:r>
          </w:p>
        </w:tc>
        <w:tc>
          <w:tcPr>
            <w:tcW w:w="992"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47 476,6</w:t>
            </w:r>
          </w:p>
        </w:tc>
        <w:tc>
          <w:tcPr>
            <w:tcW w:w="993"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48 844,3</w:t>
            </w:r>
          </w:p>
        </w:tc>
        <w:tc>
          <w:tcPr>
            <w:tcW w:w="992" w:type="dxa"/>
            <w:tcBorders>
              <w:top w:val="nil"/>
            </w:tcBorders>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43 814,9</w:t>
            </w:r>
          </w:p>
        </w:tc>
        <w:tc>
          <w:tcPr>
            <w:tcW w:w="1003" w:type="dxa"/>
            <w:tcBorders>
              <w:top w:val="nil"/>
            </w:tcBorders>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42 969,0</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INTÉRIEURES BRUTES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34 949,3</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37 204,1</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40 904,8</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41 708,3</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45 675,1</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46 163,1</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46 755,3</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Consommation</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23 948,2</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24 695,0</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26 275,5</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28 611,6</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30 240,4</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31 334,4</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32 307,1</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Publique (État)</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3 798,1</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4 091,8</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4 853,6</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5 652,4</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5 839,0</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5 543,6</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6 076,1</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Privée</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20 150,1</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20 603,2</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21 421,9</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22 959,2</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24 401,4</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25 790,8</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26 231,0</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Investissements bruts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11 001,1</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12 509,2</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14 629,3</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13 096,6</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15 434,7</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14 828,7</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14 448,2</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Formation brute de capital fixe</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10 941,9</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12 487,0</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14 580,4</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13 085,2</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15 389,4</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14 815,5</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14 435,0</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Publique (Etat et Ad. Publiques)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4 461,9</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5 471,2</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6 989,2</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5 983,4</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5 653,3</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4 185,3</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4 924,8</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Privée (Entreprises et ménages)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6 480,0</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7 015,8</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7 591,2</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7 101,8</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9 736,0</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10 630,2</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9 510,2</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Secteur pétrolier</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3 550,0</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3 621,1</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4 062,0</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3 198,9</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5 055,0</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5 193,8</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3 516,2</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Secteur non pétrolier</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2 930,0</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3 394,7</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3 529,1</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3 902,9</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4 681,0</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5 436,4</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5 994,0</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Variations des stocks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59,2</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22,2</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48,9</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11,5</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45,3</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13,2</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13,2</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EXPORTATIONS NETTES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3 575,1</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6 698,1</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6 900,6</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5 768,3</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3 169,2</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-2 348,1</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-3 786,3</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Exportations de biens et services non-facteurs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19 742,3</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23 836,4</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25 941,4</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23 376,2</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23 106,4</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16 769,1</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14 074,1</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Biens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18 422,2</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22 292,3</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24 339,8</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21 684,7</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21 178,3</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14 752,9</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12 000,7</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Pétrole brut</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13 479,1</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16 106,3</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17 590,9</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15 102,5</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14 631,2</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9 125,6</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6 181,0</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Autres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4 943,1</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6 186,0</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6 749,0</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6 582,2</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6 547,2</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5 627,3</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5 819,6</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Services non-facteurs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1 320,1</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1 544,1</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1 601,6</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1 691,6</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1 928,1</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2 016,3</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2 073,4</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Importations de biens et services non-facteurs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-16 167,1</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-17 138,4</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-19 040,8</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-17 607,9</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-19 937,2</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-19 117,2</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-17 860,4</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Biens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-10 138,7</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-10 285,0</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-12 065,0</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-11 320,8</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-12 567,3</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-11 644,3</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-11 123,7</w:t>
            </w:r>
          </w:p>
        </w:tc>
      </w:tr>
      <w:tr w:rsidR="00BD3B9B" w:rsidRPr="00A06A48"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tcBorders>
              <w:bottom w:val="nil"/>
            </w:tcBorders>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Services non-facteurs</w:t>
            </w:r>
          </w:p>
        </w:tc>
        <w:tc>
          <w:tcPr>
            <w:tcW w:w="1028" w:type="dxa"/>
            <w:tcBorders>
              <w:bottom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-6 028,4</w:t>
            </w:r>
          </w:p>
        </w:tc>
        <w:tc>
          <w:tcPr>
            <w:tcW w:w="992" w:type="dxa"/>
            <w:tcBorders>
              <w:bottom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-6 853,4</w:t>
            </w:r>
          </w:p>
        </w:tc>
        <w:tc>
          <w:tcPr>
            <w:tcW w:w="992" w:type="dxa"/>
            <w:tcBorders>
              <w:bottom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-6 975,8</w:t>
            </w:r>
          </w:p>
        </w:tc>
        <w:tc>
          <w:tcPr>
            <w:tcW w:w="992" w:type="dxa"/>
            <w:tcBorders>
              <w:bottom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-6 287,2</w:t>
            </w:r>
          </w:p>
        </w:tc>
        <w:tc>
          <w:tcPr>
            <w:tcW w:w="993" w:type="dxa"/>
            <w:tcBorders>
              <w:bottom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-7 369,9</w:t>
            </w:r>
          </w:p>
        </w:tc>
        <w:tc>
          <w:tcPr>
            <w:tcW w:w="992" w:type="dxa"/>
            <w:tcBorders>
              <w:bottom w:val="nil"/>
            </w:tcBorders>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-7 472,9</w:t>
            </w:r>
          </w:p>
        </w:tc>
        <w:tc>
          <w:tcPr>
            <w:tcW w:w="1003" w:type="dxa"/>
            <w:tcBorders>
              <w:bottom w:val="nil"/>
            </w:tcBorders>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-6 736,6</w:t>
            </w:r>
          </w:p>
        </w:tc>
      </w:tr>
      <w:tr w:rsidR="00BD3B9B" w:rsidRPr="00544154" w:rsidTr="002E7809">
        <w:trPr>
          <w:trHeight w:val="306"/>
          <w:jc w:val="center"/>
        </w:trPr>
        <w:tc>
          <w:tcPr>
            <w:cnfStyle w:val="001000000000" w:firstRow="0" w:lastRow="0" w:firstColumn="1" w:lastColumn="0" w:oddVBand="0" w:evenVBand="0" w:oddHBand="0" w:evenHBand="0" w:firstRowFirstColumn="0" w:firstRowLastColumn="0" w:lastRowFirstColumn="0" w:lastRowLastColumn="0"/>
            <w:tcW w:w="10359" w:type="dxa"/>
            <w:gridSpan w:val="8"/>
            <w:tcBorders>
              <w:top w:val="nil"/>
              <w:bottom w:val="nil"/>
              <w:right w:val="nil"/>
            </w:tcBorders>
            <w:noWrap/>
            <w:hideMark/>
          </w:tcPr>
          <w:p w:rsidR="00BD3B9B" w:rsidRPr="00544154" w:rsidRDefault="00BD3B9B" w:rsidP="002E7809">
            <w:pPr>
              <w:ind w:firstLine="0"/>
              <w:jc w:val="center"/>
              <w:rPr>
                <w:rFonts w:ascii="Times New Roman" w:hAnsi="Times New Roman"/>
                <w:sz w:val="18"/>
                <w:szCs w:val="20"/>
              </w:rPr>
            </w:pPr>
            <w:r w:rsidRPr="00544154">
              <w:rPr>
                <w:rFonts w:ascii="Times New Roman" w:hAnsi="Times New Roman"/>
                <w:sz w:val="18"/>
                <w:szCs w:val="20"/>
              </w:rPr>
              <w:t>Prix constants</w:t>
            </w:r>
          </w:p>
        </w:tc>
      </w:tr>
      <w:tr w:rsidR="00BD3B9B" w:rsidRPr="00544154"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tcBorders>
              <w:top w:val="nil"/>
            </w:tcBorders>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PRODUIT INTÉRIEUR BRUT</w:t>
            </w:r>
          </w:p>
        </w:tc>
        <w:tc>
          <w:tcPr>
            <w:tcW w:w="1028"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31 183,7</w:t>
            </w:r>
          </w:p>
        </w:tc>
        <w:tc>
          <w:tcPr>
            <w:tcW w:w="992"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32 414,4</w:t>
            </w:r>
          </w:p>
        </w:tc>
        <w:tc>
          <w:tcPr>
            <w:tcW w:w="992"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34 281,0</w:t>
            </w:r>
          </w:p>
        </w:tc>
        <w:tc>
          <w:tcPr>
            <w:tcW w:w="992"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34 741,0</w:t>
            </w:r>
          </w:p>
        </w:tc>
        <w:tc>
          <w:tcPr>
            <w:tcW w:w="993" w:type="dxa"/>
            <w:tcBorders>
              <w:top w:val="nil"/>
            </w:tcBorders>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36 421,4</w:t>
            </w:r>
          </w:p>
        </w:tc>
        <w:tc>
          <w:tcPr>
            <w:tcW w:w="992" w:type="dxa"/>
            <w:tcBorders>
              <w:top w:val="nil"/>
            </w:tcBorders>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37 441,8</w:t>
            </w:r>
          </w:p>
        </w:tc>
        <w:tc>
          <w:tcPr>
            <w:tcW w:w="1003" w:type="dxa"/>
            <w:tcBorders>
              <w:top w:val="nil"/>
            </w:tcBorders>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38 457,4</w:t>
            </w:r>
          </w:p>
        </w:tc>
      </w:tr>
      <w:tr w:rsidR="00BD3B9B" w:rsidRPr="00544154" w:rsidTr="002E7809">
        <w:trPr>
          <w:trHeight w:val="32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DÉPENSES INTÉRIEURES BRUTES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34 086,0</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35 507,6</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39 199,5</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39 093,9</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42 537,0</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40 813,1</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39 724,0</w:t>
            </w:r>
          </w:p>
        </w:tc>
      </w:tr>
      <w:tr w:rsidR="00BD3B9B" w:rsidRPr="00544154"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Consommation</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25 240,2</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26 388,5</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28 481,5</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29 557,6</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31 010,5</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29 901,7</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30 025,5</w:t>
            </w:r>
          </w:p>
        </w:tc>
      </w:tr>
      <w:tr w:rsidR="00BD3B9B" w:rsidRPr="00544154"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Publique (État)</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3 296,7</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3 443,4</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4 009,6</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4 574,9</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4 593,0</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4 250,7</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4 564,9</w:t>
            </w:r>
          </w:p>
        </w:tc>
      </w:tr>
      <w:tr w:rsidR="00BD3B9B" w:rsidRPr="00544154"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Privée</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21 943,6</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22 945,1</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24 471,9</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24 982,7</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26 417,5</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25 651,0</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25 460,6</w:t>
            </w:r>
          </w:p>
        </w:tc>
      </w:tr>
      <w:tr w:rsidR="00BD3B9B" w:rsidRPr="00544154"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Investissements bruts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8 845,7</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9 119,1</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10 718,0</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9 536,4</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11 526,5</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10 911,4</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9 698,4</w:t>
            </w:r>
          </w:p>
        </w:tc>
      </w:tr>
      <w:tr w:rsidR="00BD3B9B" w:rsidRPr="00544154" w:rsidTr="002E7809">
        <w:trPr>
          <w:trHeight w:val="305"/>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Formation brute de capital fixe</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8 717,5</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9 153,7</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10 664,5</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9 501,3</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11 446,7</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10 890,7</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9 677,9</w:t>
            </w:r>
          </w:p>
        </w:tc>
      </w:tr>
      <w:tr w:rsidR="00BD3B9B" w:rsidRPr="00544154"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Publique (Etat et Ad. Publiques)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2 859,1</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3 265,2</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4 312,0</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3 543,6</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3 224,3</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2 397,3</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2 809,2</w:t>
            </w:r>
          </w:p>
        </w:tc>
      </w:tr>
      <w:tr w:rsidR="00BD3B9B" w:rsidRPr="00544154"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Privée (Entreprises et ménages)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5 858,4</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5 888,5</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6 352,5</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5 957,8</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8 222,4</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8 493,4</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6 868,6</w:t>
            </w:r>
          </w:p>
        </w:tc>
      </w:tr>
      <w:tr w:rsidR="00BD3B9B" w:rsidRPr="00544154"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Secteur pétrolier</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3 080,0</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3 007,6</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3 228,2</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2 603,3</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4 289,5</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4 200,4</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2 325,1</w:t>
            </w:r>
          </w:p>
        </w:tc>
      </w:tr>
      <w:tr w:rsidR="00BD3B9B" w:rsidRPr="00544154"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Secteur non pétrolier</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2 778,4</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2 880,9</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3 124,3</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3 354,5</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3 932,9</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4 293,0</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4 543,5</w:t>
            </w:r>
          </w:p>
        </w:tc>
      </w:tr>
      <w:tr w:rsidR="00BD3B9B" w:rsidRPr="00544154"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Variations des stocks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128,2</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-34,6</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53,5</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35,1</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79,8</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20,7</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20,6</w:t>
            </w:r>
          </w:p>
        </w:tc>
      </w:tr>
      <w:tr w:rsidR="00BD3B9B" w:rsidRPr="00544154"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EXPORTATIONS NETTES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-2 902,3</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-3 093,3</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-4 918,5</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-4 352,9</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-6 115,6</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-3 371,3</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-1 266,6</w:t>
            </w:r>
          </w:p>
        </w:tc>
      </w:tr>
      <w:tr w:rsidR="00BD3B9B" w:rsidRPr="00544154"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Exportations de biens et services non-facteurs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12 322,7</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12 381,3</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11 939,9</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544154">
              <w:rPr>
                <w:rFonts w:ascii="Times New Roman" w:hAnsi="Times New Roman"/>
                <w:sz w:val="18"/>
                <w:szCs w:val="20"/>
              </w:rPr>
              <w:t>11 508,9</w:t>
            </w:r>
          </w:p>
        </w:tc>
        <w:tc>
          <w:tcPr>
            <w:tcW w:w="993"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11 788,6</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12 371,8</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13 234,0</w:t>
            </w:r>
          </w:p>
        </w:tc>
      </w:tr>
      <w:tr w:rsidR="00BD3B9B" w:rsidRPr="00544154" w:rsidTr="002E7809">
        <w:trPr>
          <w:trHeight w:val="260"/>
          <w:jc w:val="center"/>
        </w:trPr>
        <w:tc>
          <w:tcPr>
            <w:cnfStyle w:val="001000000000" w:firstRow="0" w:lastRow="0" w:firstColumn="1" w:lastColumn="0" w:oddVBand="0" w:evenVBand="0" w:oddHBand="0" w:evenHBand="0" w:firstRowFirstColumn="0" w:firstRowLastColumn="0" w:lastRowFirstColumn="0" w:lastRowLastColumn="0"/>
            <w:tcW w:w="3367" w:type="dxa"/>
            <w:noWrap/>
            <w:hideMark/>
          </w:tcPr>
          <w:p w:rsidR="00BD3B9B" w:rsidRPr="00544154" w:rsidRDefault="00BD3B9B" w:rsidP="002E7809">
            <w:pPr>
              <w:ind w:firstLine="0"/>
              <w:rPr>
                <w:rFonts w:ascii="Times New Roman" w:hAnsi="Times New Roman"/>
                <w:sz w:val="18"/>
                <w:szCs w:val="20"/>
              </w:rPr>
            </w:pPr>
            <w:r w:rsidRPr="00544154">
              <w:rPr>
                <w:rFonts w:ascii="Times New Roman" w:hAnsi="Times New Roman"/>
                <w:sz w:val="18"/>
                <w:szCs w:val="20"/>
              </w:rPr>
              <w:t xml:space="preserve">     Importations de biens et services non-facteurs</w:t>
            </w:r>
          </w:p>
        </w:tc>
        <w:tc>
          <w:tcPr>
            <w:tcW w:w="1028"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7"/>
              </w:rPr>
            </w:pPr>
            <w:r w:rsidRPr="00544154">
              <w:rPr>
                <w:rFonts w:ascii="Times New Roman" w:hAnsi="Times New Roman"/>
                <w:sz w:val="16"/>
                <w:szCs w:val="17"/>
              </w:rPr>
              <w:t>-15 225,1</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7"/>
              </w:rPr>
            </w:pPr>
            <w:r w:rsidRPr="00544154">
              <w:rPr>
                <w:rFonts w:ascii="Times New Roman" w:hAnsi="Times New Roman"/>
                <w:sz w:val="16"/>
                <w:szCs w:val="17"/>
              </w:rPr>
              <w:t>-15 474,5</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7"/>
              </w:rPr>
            </w:pPr>
            <w:r w:rsidRPr="00544154">
              <w:rPr>
                <w:rFonts w:ascii="Times New Roman" w:hAnsi="Times New Roman"/>
                <w:sz w:val="16"/>
                <w:szCs w:val="17"/>
              </w:rPr>
              <w:t>-16 858,4</w:t>
            </w:r>
          </w:p>
        </w:tc>
        <w:tc>
          <w:tcPr>
            <w:tcW w:w="992" w:type="dxa"/>
            <w:noWrap/>
            <w:hideMark/>
          </w:tcPr>
          <w:p w:rsidR="00BD3B9B" w:rsidRPr="00544154"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7"/>
              </w:rPr>
            </w:pPr>
            <w:r w:rsidRPr="00544154">
              <w:rPr>
                <w:rFonts w:ascii="Times New Roman" w:hAnsi="Times New Roman"/>
                <w:sz w:val="16"/>
                <w:szCs w:val="17"/>
              </w:rPr>
              <w:t>-15 861,9</w:t>
            </w:r>
          </w:p>
        </w:tc>
        <w:tc>
          <w:tcPr>
            <w:tcW w:w="99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-17 904,2</w:t>
            </w:r>
          </w:p>
        </w:tc>
        <w:tc>
          <w:tcPr>
            <w:tcW w:w="992"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-15 743,1</w:t>
            </w:r>
          </w:p>
        </w:tc>
        <w:tc>
          <w:tcPr>
            <w:tcW w:w="1003" w:type="dxa"/>
            <w:noWrap/>
            <w:hideMark/>
          </w:tcPr>
          <w:p w:rsidR="00BD3B9B" w:rsidRPr="004058E8" w:rsidRDefault="00BD3B9B" w:rsidP="002E7809">
            <w:pPr>
              <w:ind w:firstLine="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r w:rsidRPr="004058E8">
              <w:rPr>
                <w:rFonts w:ascii="Times New Roman" w:hAnsi="Times New Roman"/>
                <w:sz w:val="18"/>
                <w:szCs w:val="20"/>
              </w:rPr>
              <w:t>-14 500,6</w:t>
            </w:r>
          </w:p>
        </w:tc>
      </w:tr>
    </w:tbl>
    <w:p w:rsidR="00BD3B9B" w:rsidRPr="00544154" w:rsidRDefault="00BD3B9B" w:rsidP="00BD3B9B">
      <w:pPr>
        <w:pStyle w:val="xl46"/>
        <w:pBdr>
          <w:bottom w:val="none" w:sz="0" w:space="0" w:color="auto"/>
        </w:pBdr>
        <w:spacing w:before="0" w:beforeAutospacing="0" w:after="0" w:afterAutospacing="0"/>
        <w:jc w:val="both"/>
        <w:rPr>
          <w:rFonts w:ascii="Times New Roman" w:hAnsi="Times New Roman" w:cs="Times New Roman"/>
          <w:i/>
          <w:snapToGrid w:val="0"/>
          <w:sz w:val="18"/>
          <w:szCs w:val="18"/>
        </w:rPr>
      </w:pPr>
      <w:r w:rsidRPr="00544154">
        <w:rPr>
          <w:rFonts w:ascii="Times New Roman" w:hAnsi="Times New Roman" w:cs="Times New Roman"/>
          <w:i/>
          <w:snapToGrid w:val="0"/>
          <w:sz w:val="18"/>
          <w:szCs w:val="18"/>
          <w:u w:val="single"/>
        </w:rPr>
        <w:t>Sources</w:t>
      </w:r>
      <w:r w:rsidRPr="00544154">
        <w:rPr>
          <w:rFonts w:ascii="Times New Roman" w:hAnsi="Times New Roman" w:cs="Times New Roman"/>
          <w:i/>
          <w:snapToGrid w:val="0"/>
          <w:sz w:val="18"/>
          <w:szCs w:val="18"/>
        </w:rPr>
        <w:t xml:space="preserve"> : Commission de la CEMAC.</w:t>
      </w:r>
    </w:p>
    <w:p w:rsidR="00BD3B9B" w:rsidRPr="00544154" w:rsidRDefault="00BD3B9B" w:rsidP="00BD3B9B">
      <w:pPr>
        <w:pStyle w:val="Lgende"/>
        <w:jc w:val="both"/>
        <w:rPr>
          <w:rFonts w:ascii="Times New Roman" w:hAnsi="Times New Roman"/>
          <w:i/>
          <w:snapToGrid w:val="0"/>
        </w:rPr>
      </w:pPr>
    </w:p>
    <w:bookmarkEnd w:id="343"/>
    <w:p w:rsidR="00053AF1" w:rsidRPr="0002665D" w:rsidRDefault="00053AF1" w:rsidP="00053AF1">
      <w:pPr>
        <w:rPr>
          <w:rFonts w:asciiTheme="minorHAnsi" w:hAnsiTheme="minorHAnsi"/>
          <w:b/>
          <w:bCs/>
          <w:sz w:val="20"/>
          <w:szCs w:val="20"/>
          <w:u w:val="single"/>
          <w:lang w:eastAsia="en-US" w:bidi="en-US"/>
        </w:rPr>
      </w:pPr>
    </w:p>
    <w:p w:rsidR="00053AF1" w:rsidRPr="0002665D" w:rsidRDefault="00053AF1">
      <w:pPr>
        <w:rPr>
          <w:rFonts w:asciiTheme="minorHAnsi" w:hAnsiTheme="minorHAnsi"/>
          <w:b/>
          <w:bCs/>
          <w:sz w:val="24"/>
          <w:szCs w:val="24"/>
          <w:u w:val="single"/>
          <w:lang w:eastAsia="en-US" w:bidi="en-US"/>
        </w:rPr>
      </w:pPr>
    </w:p>
    <w:p w:rsidR="00053AF1" w:rsidRPr="0002665D" w:rsidRDefault="00053AF1">
      <w:pPr>
        <w:rPr>
          <w:rFonts w:asciiTheme="minorHAnsi" w:hAnsiTheme="minorHAnsi"/>
          <w:b/>
          <w:bCs/>
          <w:sz w:val="24"/>
          <w:szCs w:val="24"/>
          <w:u w:val="single"/>
          <w:lang w:eastAsia="en-US" w:bidi="en-US"/>
        </w:rPr>
      </w:pPr>
    </w:p>
    <w:p w:rsidR="00053AF1" w:rsidRPr="0002665D" w:rsidRDefault="00053AF1">
      <w:pPr>
        <w:rPr>
          <w:rFonts w:asciiTheme="minorHAnsi" w:hAnsiTheme="minorHAnsi"/>
          <w:b/>
          <w:bCs/>
          <w:sz w:val="24"/>
          <w:szCs w:val="24"/>
          <w:u w:val="single"/>
          <w:lang w:eastAsia="en-US" w:bidi="en-US"/>
        </w:rPr>
      </w:pPr>
    </w:p>
    <w:p w:rsidR="00053AF1" w:rsidRPr="0002665D" w:rsidRDefault="00053AF1">
      <w:pPr>
        <w:rPr>
          <w:rFonts w:asciiTheme="minorHAnsi" w:hAnsiTheme="minorHAnsi"/>
          <w:b/>
          <w:bCs/>
          <w:sz w:val="24"/>
          <w:szCs w:val="24"/>
          <w:u w:val="single"/>
          <w:lang w:eastAsia="en-US" w:bidi="en-US"/>
        </w:rPr>
      </w:pPr>
    </w:p>
    <w:p w:rsidR="00053AF1" w:rsidRPr="0002665D" w:rsidRDefault="00053AF1">
      <w:pPr>
        <w:rPr>
          <w:rFonts w:asciiTheme="minorHAnsi" w:hAnsiTheme="minorHAnsi"/>
          <w:b/>
          <w:bCs/>
          <w:sz w:val="24"/>
          <w:szCs w:val="24"/>
          <w:u w:val="single"/>
          <w:lang w:eastAsia="en-US" w:bidi="en-US"/>
        </w:rPr>
      </w:pPr>
    </w:p>
    <w:p w:rsidR="00053AF1" w:rsidRPr="0002665D" w:rsidRDefault="00053AF1">
      <w:pPr>
        <w:rPr>
          <w:rFonts w:asciiTheme="minorHAnsi" w:hAnsiTheme="minorHAnsi"/>
          <w:b/>
          <w:bCs/>
          <w:sz w:val="24"/>
          <w:szCs w:val="24"/>
          <w:u w:val="single"/>
          <w:lang w:eastAsia="en-US" w:bidi="en-US"/>
        </w:rPr>
      </w:pPr>
    </w:p>
    <w:p w:rsidR="00053AF1" w:rsidRPr="0002665D" w:rsidRDefault="00053AF1">
      <w:pPr>
        <w:rPr>
          <w:rFonts w:asciiTheme="minorHAnsi" w:hAnsiTheme="minorHAnsi"/>
          <w:b/>
          <w:bCs/>
          <w:sz w:val="24"/>
          <w:szCs w:val="24"/>
          <w:u w:val="single"/>
          <w:lang w:eastAsia="en-US" w:bidi="en-US"/>
        </w:rPr>
      </w:pPr>
    </w:p>
    <w:p w:rsidR="00053AF1" w:rsidRPr="0002665D" w:rsidRDefault="00053AF1">
      <w:pPr>
        <w:rPr>
          <w:rFonts w:asciiTheme="minorHAnsi" w:hAnsiTheme="minorHAnsi"/>
          <w:b/>
          <w:bCs/>
          <w:sz w:val="24"/>
          <w:szCs w:val="24"/>
          <w:u w:val="single"/>
          <w:lang w:eastAsia="en-US" w:bidi="en-US"/>
        </w:rPr>
      </w:pPr>
    </w:p>
    <w:p w:rsidR="00053AF1" w:rsidRDefault="00053AF1">
      <w:pPr>
        <w:rPr>
          <w:rFonts w:asciiTheme="minorHAnsi" w:hAnsiTheme="minorHAnsi"/>
          <w:b/>
          <w:bCs/>
          <w:sz w:val="24"/>
          <w:szCs w:val="24"/>
          <w:u w:val="single"/>
          <w:lang w:eastAsia="en-US" w:bidi="en-US"/>
        </w:rPr>
      </w:pPr>
    </w:p>
    <w:p w:rsidR="00053AF1" w:rsidRDefault="00053AF1">
      <w:pPr>
        <w:rPr>
          <w:rFonts w:asciiTheme="minorHAnsi" w:hAnsiTheme="minorHAnsi"/>
          <w:b/>
          <w:bCs/>
          <w:sz w:val="24"/>
          <w:szCs w:val="24"/>
          <w:u w:val="single"/>
          <w:lang w:eastAsia="en-US" w:bidi="en-US"/>
        </w:rPr>
      </w:pPr>
    </w:p>
    <w:p w:rsidR="00053AF1" w:rsidRDefault="00053AF1">
      <w:pPr>
        <w:rPr>
          <w:rFonts w:asciiTheme="minorHAnsi" w:hAnsiTheme="minorHAnsi"/>
          <w:b/>
          <w:bCs/>
          <w:sz w:val="24"/>
          <w:szCs w:val="24"/>
          <w:u w:val="single"/>
          <w:lang w:eastAsia="en-US" w:bidi="en-US"/>
        </w:rPr>
      </w:pPr>
    </w:p>
    <w:p w:rsidR="00053AF1" w:rsidRPr="00053AF1" w:rsidRDefault="00053AF1" w:rsidP="00053AF1">
      <w:pPr>
        <w:keepNext/>
        <w:pBdr>
          <w:bottom w:val="single" w:sz="12" w:space="1" w:color="548DD4"/>
        </w:pBdr>
        <w:spacing w:after="120" w:line="276" w:lineRule="auto"/>
        <w:jc w:val="center"/>
        <w:outlineLvl w:val="0"/>
        <w:rPr>
          <w:rFonts w:asciiTheme="minorHAnsi" w:hAnsiTheme="minorHAnsi"/>
          <w:sz w:val="20"/>
          <w:szCs w:val="20"/>
          <w:u w:val="single"/>
          <w:lang w:eastAsia="en-US" w:bidi="en-US"/>
        </w:rPr>
      </w:pPr>
      <w:bookmarkStart w:id="344" w:name="_Toc444614027"/>
      <w:r w:rsidRPr="00053AF1">
        <w:rPr>
          <w:rFonts w:asciiTheme="minorHAnsi" w:hAnsiTheme="minorHAnsi"/>
          <w:sz w:val="20"/>
          <w:szCs w:val="20"/>
        </w:rPr>
        <w:t xml:space="preserve">ANNEXE </w:t>
      </w:r>
      <w:r>
        <w:rPr>
          <w:rFonts w:asciiTheme="minorHAnsi" w:hAnsiTheme="minorHAnsi"/>
          <w:sz w:val="20"/>
          <w:szCs w:val="20"/>
        </w:rPr>
        <w:t>4</w:t>
      </w:r>
      <w:r w:rsidRPr="00053AF1">
        <w:rPr>
          <w:rFonts w:asciiTheme="minorHAnsi" w:hAnsiTheme="minorHAnsi"/>
          <w:sz w:val="20"/>
          <w:szCs w:val="20"/>
        </w:rPr>
        <w:t xml:space="preserve"> : La situation économique et financière </w:t>
      </w:r>
      <w:r>
        <w:rPr>
          <w:rFonts w:asciiTheme="minorHAnsi" w:hAnsiTheme="minorHAnsi"/>
          <w:sz w:val="20"/>
          <w:szCs w:val="20"/>
        </w:rPr>
        <w:t>des Comores</w:t>
      </w:r>
      <w:bookmarkEnd w:id="344"/>
    </w:p>
    <w:p w:rsidR="00053AF1" w:rsidRPr="00053AF1" w:rsidRDefault="00053AF1" w:rsidP="00053AF1">
      <w:pPr>
        <w:rPr>
          <w:rFonts w:asciiTheme="minorHAnsi" w:hAnsiTheme="minorHAnsi"/>
          <w:b/>
          <w:bCs/>
          <w:sz w:val="20"/>
          <w:szCs w:val="20"/>
          <w:u w:val="single"/>
          <w:lang w:eastAsia="en-US" w:bidi="en-US"/>
        </w:rPr>
      </w:pPr>
    </w:p>
    <w:bookmarkEnd w:id="325"/>
    <w:bookmarkEnd w:id="328"/>
    <w:bookmarkEnd w:id="329"/>
    <w:bookmarkEnd w:id="330"/>
    <w:bookmarkEnd w:id="331"/>
    <w:bookmarkEnd w:id="332"/>
    <w:bookmarkEnd w:id="333"/>
    <w:bookmarkEnd w:id="334"/>
    <w:bookmarkEnd w:id="335"/>
    <w:bookmarkEnd w:id="336"/>
    <w:bookmarkEnd w:id="337"/>
    <w:bookmarkEnd w:id="338"/>
    <w:bookmarkEnd w:id="339"/>
    <w:bookmarkEnd w:id="340"/>
    <w:p w:rsidR="009722A4" w:rsidRPr="009722A4" w:rsidRDefault="009722A4" w:rsidP="009722A4">
      <w:pPr>
        <w:rPr>
          <w:rFonts w:asciiTheme="minorHAnsi" w:hAnsiTheme="minorHAnsi" w:cstheme="minorHAnsi"/>
          <w:sz w:val="20"/>
          <w:szCs w:val="20"/>
        </w:rPr>
      </w:pPr>
    </w:p>
    <w:tbl>
      <w:tblPr>
        <w:tblW w:w="10086" w:type="dxa"/>
        <w:tblInd w:w="-5" w:type="dxa"/>
        <w:tblLayout w:type="fixed"/>
        <w:tblCellMar>
          <w:left w:w="10" w:type="dxa"/>
          <w:right w:w="10" w:type="dxa"/>
        </w:tblCellMar>
        <w:tblLook w:val="0000" w:firstRow="0" w:lastRow="0" w:firstColumn="0" w:lastColumn="0" w:noHBand="0" w:noVBand="0"/>
      </w:tblPr>
      <w:tblGrid>
        <w:gridCol w:w="15"/>
        <w:gridCol w:w="5169"/>
        <w:gridCol w:w="1011"/>
        <w:gridCol w:w="1011"/>
        <w:gridCol w:w="1011"/>
        <w:gridCol w:w="1012"/>
        <w:gridCol w:w="857"/>
      </w:tblGrid>
      <w:tr w:rsidR="009722A4" w:rsidRPr="009722A4" w:rsidTr="00DA26F3">
        <w:trPr>
          <w:gridAfter w:val="1"/>
          <w:wAfter w:w="857" w:type="dxa"/>
          <w:trHeight w:val="314"/>
        </w:trPr>
        <w:tc>
          <w:tcPr>
            <w:tcW w:w="9229" w:type="dxa"/>
            <w:gridSpan w:val="6"/>
            <w:tcBorders>
              <w:top w:val="single" w:sz="6" w:space="0" w:color="auto"/>
              <w:left w:val="single" w:sz="6" w:space="0" w:color="auto"/>
              <w:bottom w:val="single" w:sz="6" w:space="0" w:color="auto"/>
              <w:right w:val="single" w:sz="6" w:space="0" w:color="auto"/>
            </w:tcBorders>
            <w:shd w:val="clear" w:color="auto" w:fill="FFFF00"/>
            <w:vAlign w:val="bottom"/>
          </w:tcPr>
          <w:p w:rsidR="009722A4" w:rsidRPr="009722A4" w:rsidRDefault="009722A4" w:rsidP="009722A4">
            <w:pPr>
              <w:rPr>
                <w:rFonts w:asciiTheme="minorHAnsi" w:hAnsiTheme="minorHAnsi" w:cstheme="minorHAnsi"/>
                <w:b/>
                <w:bCs/>
                <w:i/>
                <w:iCs/>
                <w:sz w:val="20"/>
                <w:szCs w:val="20"/>
              </w:rPr>
            </w:pPr>
            <w:r w:rsidRPr="009722A4">
              <w:rPr>
                <w:rFonts w:asciiTheme="minorHAnsi" w:hAnsiTheme="minorHAnsi" w:cstheme="minorHAnsi"/>
                <w:sz w:val="20"/>
                <w:szCs w:val="20"/>
              </w:rPr>
              <w:br w:type="page"/>
            </w:r>
            <w:r w:rsidRPr="009722A4">
              <w:rPr>
                <w:rFonts w:asciiTheme="minorHAnsi" w:hAnsiTheme="minorHAnsi" w:cstheme="minorHAnsi"/>
                <w:sz w:val="20"/>
                <w:szCs w:val="20"/>
              </w:rPr>
              <w:br w:type="page"/>
            </w:r>
            <w:r w:rsidRPr="009722A4">
              <w:rPr>
                <w:rFonts w:asciiTheme="minorHAnsi" w:hAnsiTheme="minorHAnsi" w:cstheme="minorHAnsi"/>
                <w:sz w:val="20"/>
                <w:szCs w:val="20"/>
              </w:rPr>
              <w:br w:type="page"/>
            </w:r>
            <w:r w:rsidRPr="009722A4">
              <w:rPr>
                <w:rFonts w:asciiTheme="minorHAnsi" w:hAnsiTheme="minorHAnsi" w:cstheme="minorHAnsi"/>
                <w:sz w:val="20"/>
                <w:szCs w:val="20"/>
              </w:rPr>
              <w:br w:type="page"/>
            </w:r>
            <w:r w:rsidRPr="009722A4">
              <w:rPr>
                <w:rFonts w:asciiTheme="minorHAnsi" w:hAnsiTheme="minorHAnsi" w:cstheme="minorHAnsi"/>
                <w:sz w:val="20"/>
                <w:szCs w:val="20"/>
              </w:rPr>
              <w:br w:type="page"/>
            </w:r>
            <w:r w:rsidRPr="009722A4">
              <w:rPr>
                <w:rFonts w:asciiTheme="minorHAnsi" w:hAnsiTheme="minorHAnsi" w:cstheme="minorHAnsi"/>
                <w:sz w:val="20"/>
                <w:szCs w:val="20"/>
              </w:rPr>
              <w:br w:type="page"/>
            </w:r>
            <w:r w:rsidRPr="009722A4">
              <w:rPr>
                <w:rFonts w:asciiTheme="minorHAnsi" w:hAnsiTheme="minorHAnsi" w:cstheme="minorHAnsi"/>
                <w:b/>
                <w:bCs/>
                <w:i/>
                <w:iCs/>
                <w:sz w:val="20"/>
                <w:szCs w:val="20"/>
              </w:rPr>
              <w:t xml:space="preserve">INDICATEURS ECONOMIQUES, MONETAIRES ET FINANCIERS DES COMORES                             </w:t>
            </w:r>
          </w:p>
          <w:p w:rsidR="009722A4" w:rsidRPr="009722A4" w:rsidRDefault="009722A4" w:rsidP="009722A4">
            <w:pPr>
              <w:rPr>
                <w:rFonts w:asciiTheme="minorHAnsi" w:hAnsiTheme="minorHAnsi" w:cstheme="minorHAnsi"/>
                <w:b/>
                <w:bCs/>
                <w:i/>
                <w:iCs/>
                <w:sz w:val="20"/>
                <w:szCs w:val="20"/>
              </w:rPr>
            </w:pPr>
            <w:r w:rsidRPr="009722A4">
              <w:rPr>
                <w:rFonts w:asciiTheme="minorHAnsi" w:hAnsiTheme="minorHAnsi" w:cstheme="minorHAnsi"/>
                <w:b/>
                <w:bCs/>
                <w:i/>
                <w:iCs/>
                <w:sz w:val="20"/>
                <w:szCs w:val="20"/>
              </w:rPr>
              <w:t xml:space="preserve"> (en millions FC)</w:t>
            </w:r>
          </w:p>
        </w:tc>
      </w:tr>
      <w:tr w:rsidR="009722A4" w:rsidRPr="009722A4" w:rsidTr="00DA26F3">
        <w:tblPrEx>
          <w:tblCellMar>
            <w:left w:w="70" w:type="dxa"/>
            <w:right w:w="70" w:type="dxa"/>
          </w:tblCellMar>
        </w:tblPrEx>
        <w:trPr>
          <w:gridBefore w:val="1"/>
          <w:gridAfter w:val="1"/>
          <w:wBefore w:w="15" w:type="dxa"/>
          <w:wAfter w:w="857" w:type="dxa"/>
          <w:trHeight w:val="65"/>
        </w:trPr>
        <w:tc>
          <w:tcPr>
            <w:tcW w:w="5169" w:type="dxa"/>
            <w:tcBorders>
              <w:top w:val="single" w:sz="6" w:space="0" w:color="auto"/>
              <w:left w:val="single" w:sz="6" w:space="0" w:color="auto"/>
              <w:bottom w:val="single" w:sz="6" w:space="0" w:color="auto"/>
              <w:right w:val="single" w:sz="6" w:space="0" w:color="000000"/>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Rubriques</w:t>
            </w:r>
          </w:p>
        </w:tc>
        <w:tc>
          <w:tcPr>
            <w:tcW w:w="1011" w:type="dxa"/>
            <w:tcBorders>
              <w:top w:val="single" w:sz="6" w:space="0" w:color="auto"/>
              <w:left w:val="nil"/>
              <w:bottom w:val="single" w:sz="6" w:space="0" w:color="auto"/>
              <w:right w:val="single" w:sz="6" w:space="0" w:color="000000"/>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2012</w:t>
            </w:r>
          </w:p>
        </w:tc>
        <w:tc>
          <w:tcPr>
            <w:tcW w:w="1011" w:type="dxa"/>
            <w:tcBorders>
              <w:top w:val="single" w:sz="6" w:space="0" w:color="auto"/>
              <w:left w:val="nil"/>
              <w:bottom w:val="single" w:sz="6" w:space="0" w:color="auto"/>
              <w:right w:val="single" w:sz="6" w:space="0" w:color="000000"/>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2013</w:t>
            </w:r>
          </w:p>
        </w:tc>
        <w:tc>
          <w:tcPr>
            <w:tcW w:w="1011" w:type="dxa"/>
            <w:tcBorders>
              <w:top w:val="single" w:sz="6" w:space="0" w:color="auto"/>
              <w:left w:val="nil"/>
              <w:bottom w:val="single" w:sz="6" w:space="0" w:color="auto"/>
              <w:right w:val="single" w:sz="6" w:space="0" w:color="000000"/>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2014</w:t>
            </w:r>
          </w:p>
        </w:tc>
        <w:tc>
          <w:tcPr>
            <w:tcW w:w="1012" w:type="dxa"/>
            <w:tcBorders>
              <w:top w:val="single" w:sz="6" w:space="0" w:color="auto"/>
              <w:left w:val="nil"/>
              <w:bottom w:val="single" w:sz="6" w:space="0" w:color="auto"/>
              <w:right w:val="single" w:sz="6" w:space="0" w:color="000000"/>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2015*</w:t>
            </w:r>
          </w:p>
        </w:tc>
      </w:tr>
      <w:tr w:rsidR="009722A4" w:rsidRPr="009722A4" w:rsidTr="00DA26F3">
        <w:tblPrEx>
          <w:tblCellMar>
            <w:left w:w="70" w:type="dxa"/>
            <w:right w:w="70" w:type="dxa"/>
          </w:tblCellMar>
        </w:tblPrEx>
        <w:trPr>
          <w:gridBefore w:val="1"/>
          <w:gridAfter w:val="1"/>
          <w:wBefore w:w="15" w:type="dxa"/>
          <w:wAfter w:w="857" w:type="dxa"/>
          <w:trHeight w:val="299"/>
        </w:trPr>
        <w:tc>
          <w:tcPr>
            <w:tcW w:w="5169"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Recettes totales (dons inclus)</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65 971</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55 061</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60 450</w:t>
            </w:r>
          </w:p>
        </w:tc>
        <w:tc>
          <w:tcPr>
            <w:tcW w:w="1012"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64 619</w:t>
            </w:r>
          </w:p>
        </w:tc>
      </w:tr>
      <w:tr w:rsidR="009722A4" w:rsidRPr="009722A4" w:rsidTr="00DA26F3">
        <w:tblPrEx>
          <w:tblCellMar>
            <w:left w:w="70" w:type="dxa"/>
            <w:right w:w="70" w:type="dxa"/>
          </w:tblCellMar>
        </w:tblPrEx>
        <w:trPr>
          <w:gridBefore w:val="1"/>
          <w:gridAfter w:val="1"/>
          <w:wBefore w:w="15" w:type="dxa"/>
          <w:wAfter w:w="857" w:type="dxa"/>
          <w:trHeight w:val="299"/>
        </w:trPr>
        <w:tc>
          <w:tcPr>
            <w:tcW w:w="5169"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 xml:space="preserve"> Recettes intérieures (courantes)  </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45 989</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37 416</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36 752</w:t>
            </w:r>
          </w:p>
        </w:tc>
        <w:tc>
          <w:tcPr>
            <w:tcW w:w="1012"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45 698</w:t>
            </w:r>
          </w:p>
        </w:tc>
      </w:tr>
      <w:tr w:rsidR="009722A4" w:rsidRPr="009722A4" w:rsidTr="00DA26F3">
        <w:tblPrEx>
          <w:tblCellMar>
            <w:left w:w="70" w:type="dxa"/>
            <w:right w:w="70" w:type="dxa"/>
          </w:tblCellMar>
        </w:tblPrEx>
        <w:trPr>
          <w:gridBefore w:val="1"/>
          <w:gridAfter w:val="1"/>
          <w:wBefore w:w="15" w:type="dxa"/>
          <w:wAfter w:w="857" w:type="dxa"/>
          <w:trHeight w:val="269"/>
        </w:trPr>
        <w:tc>
          <w:tcPr>
            <w:tcW w:w="5169"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 xml:space="preserve">    Recettes fiscales </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26 849</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29 236</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29 940</w:t>
            </w:r>
          </w:p>
        </w:tc>
        <w:tc>
          <w:tcPr>
            <w:tcW w:w="1012"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30 540</w:t>
            </w:r>
          </w:p>
        </w:tc>
      </w:tr>
      <w:tr w:rsidR="009722A4" w:rsidRPr="009722A4" w:rsidTr="00DA26F3">
        <w:tblPrEx>
          <w:tblCellMar>
            <w:left w:w="70" w:type="dxa"/>
            <w:right w:w="70" w:type="dxa"/>
          </w:tblCellMar>
        </w:tblPrEx>
        <w:trPr>
          <w:gridBefore w:val="1"/>
          <w:gridAfter w:val="1"/>
          <w:wBefore w:w="15" w:type="dxa"/>
          <w:wAfter w:w="857" w:type="dxa"/>
          <w:trHeight w:val="269"/>
        </w:trPr>
        <w:tc>
          <w:tcPr>
            <w:tcW w:w="5169"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 xml:space="preserve">    Recettes non fiscales </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19 139</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8 180</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6 812</w:t>
            </w:r>
          </w:p>
        </w:tc>
        <w:tc>
          <w:tcPr>
            <w:tcW w:w="1012"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15 158</w:t>
            </w:r>
          </w:p>
        </w:tc>
      </w:tr>
      <w:tr w:rsidR="009722A4" w:rsidRPr="009722A4" w:rsidTr="00DA26F3">
        <w:tblPrEx>
          <w:tblCellMar>
            <w:left w:w="70" w:type="dxa"/>
            <w:right w:w="70" w:type="dxa"/>
          </w:tblCellMar>
        </w:tblPrEx>
        <w:trPr>
          <w:gridBefore w:val="1"/>
          <w:gridAfter w:val="1"/>
          <w:wBefore w:w="15" w:type="dxa"/>
          <w:wAfter w:w="857" w:type="dxa"/>
          <w:trHeight w:val="269"/>
        </w:trPr>
        <w:tc>
          <w:tcPr>
            <w:tcW w:w="5169"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 xml:space="preserve">    Recettes exceptionnelles </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w:t>
            </w:r>
          </w:p>
        </w:tc>
        <w:tc>
          <w:tcPr>
            <w:tcW w:w="1012"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w:t>
            </w:r>
          </w:p>
        </w:tc>
      </w:tr>
      <w:tr w:rsidR="009722A4" w:rsidRPr="009722A4" w:rsidTr="00DA26F3">
        <w:tblPrEx>
          <w:tblCellMar>
            <w:left w:w="70" w:type="dxa"/>
            <w:right w:w="70" w:type="dxa"/>
          </w:tblCellMar>
        </w:tblPrEx>
        <w:trPr>
          <w:gridBefore w:val="1"/>
          <w:gridAfter w:val="1"/>
          <w:wBefore w:w="15" w:type="dxa"/>
          <w:wAfter w:w="857" w:type="dxa"/>
          <w:trHeight w:val="299"/>
        </w:trPr>
        <w:tc>
          <w:tcPr>
            <w:tcW w:w="5169"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 xml:space="preserve"> Dons extérieurs </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19 982</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17 645</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23 698</w:t>
            </w:r>
          </w:p>
        </w:tc>
        <w:tc>
          <w:tcPr>
            <w:tcW w:w="1012"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18 921</w:t>
            </w:r>
          </w:p>
        </w:tc>
      </w:tr>
      <w:tr w:rsidR="009722A4" w:rsidRPr="009722A4" w:rsidTr="00DA26F3">
        <w:tblPrEx>
          <w:tblCellMar>
            <w:left w:w="70" w:type="dxa"/>
            <w:right w:w="70" w:type="dxa"/>
          </w:tblCellMar>
        </w:tblPrEx>
        <w:trPr>
          <w:gridBefore w:val="1"/>
          <w:gridAfter w:val="1"/>
          <w:wBefore w:w="15" w:type="dxa"/>
          <w:wAfter w:w="857" w:type="dxa"/>
          <w:trHeight w:val="65"/>
        </w:trPr>
        <w:tc>
          <w:tcPr>
            <w:tcW w:w="5169" w:type="dxa"/>
            <w:tcBorders>
              <w:top w:val="single" w:sz="6" w:space="0" w:color="auto"/>
              <w:left w:val="single" w:sz="6" w:space="0" w:color="auto"/>
              <w:bottom w:val="single" w:sz="6" w:space="0" w:color="auto"/>
              <w:right w:val="nil"/>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 </w:t>
            </w:r>
          </w:p>
        </w:tc>
        <w:tc>
          <w:tcPr>
            <w:tcW w:w="1011" w:type="dxa"/>
            <w:tcBorders>
              <w:top w:val="single" w:sz="6" w:space="0" w:color="auto"/>
              <w:left w:val="nil"/>
              <w:bottom w:val="single" w:sz="6" w:space="0" w:color="auto"/>
              <w:right w:val="nil"/>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single" w:sz="6" w:space="0" w:color="auto"/>
              <w:left w:val="nil"/>
              <w:bottom w:val="single" w:sz="6" w:space="0" w:color="auto"/>
              <w:right w:val="nil"/>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p>
        </w:tc>
        <w:tc>
          <w:tcPr>
            <w:tcW w:w="1012"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p>
        </w:tc>
      </w:tr>
      <w:tr w:rsidR="009722A4" w:rsidRPr="009722A4" w:rsidTr="00DA26F3">
        <w:tblPrEx>
          <w:tblCellMar>
            <w:left w:w="70" w:type="dxa"/>
            <w:right w:w="70" w:type="dxa"/>
          </w:tblCellMar>
        </w:tblPrEx>
        <w:trPr>
          <w:gridBefore w:val="1"/>
          <w:gridAfter w:val="1"/>
          <w:wBefore w:w="15" w:type="dxa"/>
          <w:wAfter w:w="857" w:type="dxa"/>
          <w:trHeight w:val="299"/>
        </w:trPr>
        <w:tc>
          <w:tcPr>
            <w:tcW w:w="5169"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 xml:space="preserve">Dépenses totales </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58 192</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57 025</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61 788</w:t>
            </w:r>
          </w:p>
        </w:tc>
        <w:tc>
          <w:tcPr>
            <w:tcW w:w="1012"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68 435</w:t>
            </w:r>
          </w:p>
        </w:tc>
      </w:tr>
      <w:tr w:rsidR="009722A4" w:rsidRPr="009722A4" w:rsidTr="00DA26F3">
        <w:tblPrEx>
          <w:tblCellMar>
            <w:left w:w="70" w:type="dxa"/>
            <w:right w:w="70" w:type="dxa"/>
          </w:tblCellMar>
        </w:tblPrEx>
        <w:trPr>
          <w:gridBefore w:val="1"/>
          <w:gridAfter w:val="1"/>
          <w:wBefore w:w="15" w:type="dxa"/>
          <w:wAfter w:w="857" w:type="dxa"/>
          <w:trHeight w:val="299"/>
        </w:trPr>
        <w:tc>
          <w:tcPr>
            <w:tcW w:w="5169"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 xml:space="preserve"> Dépenses courantes </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41 898</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35 403</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41 511</w:t>
            </w:r>
          </w:p>
        </w:tc>
        <w:tc>
          <w:tcPr>
            <w:tcW w:w="1012"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43 740</w:t>
            </w:r>
          </w:p>
        </w:tc>
      </w:tr>
      <w:tr w:rsidR="009722A4" w:rsidRPr="009722A4" w:rsidTr="00DA26F3">
        <w:tblPrEx>
          <w:tblCellMar>
            <w:left w:w="70" w:type="dxa"/>
            <w:right w:w="70" w:type="dxa"/>
          </w:tblCellMar>
        </w:tblPrEx>
        <w:trPr>
          <w:gridBefore w:val="1"/>
          <w:gridAfter w:val="1"/>
          <w:wBefore w:w="15" w:type="dxa"/>
          <w:wAfter w:w="857" w:type="dxa"/>
          <w:trHeight w:val="189"/>
        </w:trPr>
        <w:tc>
          <w:tcPr>
            <w:tcW w:w="5169" w:type="dxa"/>
            <w:tcBorders>
              <w:top w:val="single" w:sz="6" w:space="0" w:color="auto"/>
              <w:left w:val="single" w:sz="6" w:space="0" w:color="auto"/>
              <w:bottom w:val="single" w:sz="6" w:space="0" w:color="auto"/>
              <w:right w:val="nil"/>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 xml:space="preserve">  </w:t>
            </w:r>
            <w:r w:rsidRPr="009722A4">
              <w:rPr>
                <w:rFonts w:asciiTheme="minorHAnsi" w:hAnsiTheme="minorHAnsi" w:cstheme="minorHAnsi"/>
                <w:sz w:val="20"/>
                <w:szCs w:val="20"/>
              </w:rPr>
              <w:t>dont :</w:t>
            </w:r>
          </w:p>
        </w:tc>
        <w:tc>
          <w:tcPr>
            <w:tcW w:w="1011" w:type="dxa"/>
            <w:tcBorders>
              <w:top w:val="single" w:sz="6" w:space="0" w:color="auto"/>
              <w:left w:val="nil"/>
              <w:bottom w:val="single" w:sz="6" w:space="0" w:color="auto"/>
              <w:right w:val="nil"/>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single" w:sz="6" w:space="0" w:color="auto"/>
              <w:left w:val="nil"/>
              <w:bottom w:val="single" w:sz="6" w:space="0" w:color="auto"/>
              <w:right w:val="nil"/>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p>
        </w:tc>
        <w:tc>
          <w:tcPr>
            <w:tcW w:w="1012"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p>
        </w:tc>
      </w:tr>
      <w:tr w:rsidR="009722A4" w:rsidRPr="009722A4" w:rsidTr="00DA26F3">
        <w:tblPrEx>
          <w:tblCellMar>
            <w:left w:w="70" w:type="dxa"/>
            <w:right w:w="70" w:type="dxa"/>
          </w:tblCellMar>
        </w:tblPrEx>
        <w:trPr>
          <w:gridBefore w:val="1"/>
          <w:gridAfter w:val="1"/>
          <w:wBefore w:w="15" w:type="dxa"/>
          <w:wAfter w:w="857" w:type="dxa"/>
          <w:trHeight w:val="284"/>
        </w:trPr>
        <w:tc>
          <w:tcPr>
            <w:tcW w:w="5169"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 xml:space="preserve">     Salaires </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18 278</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18 582</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21 423</w:t>
            </w:r>
          </w:p>
        </w:tc>
        <w:tc>
          <w:tcPr>
            <w:tcW w:w="1012"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24 026</w:t>
            </w:r>
          </w:p>
        </w:tc>
      </w:tr>
      <w:tr w:rsidR="009722A4" w:rsidRPr="009722A4" w:rsidTr="00DA26F3">
        <w:tblPrEx>
          <w:tblCellMar>
            <w:left w:w="70" w:type="dxa"/>
            <w:right w:w="70" w:type="dxa"/>
          </w:tblCellMar>
        </w:tblPrEx>
        <w:trPr>
          <w:gridBefore w:val="1"/>
          <w:gridAfter w:val="1"/>
          <w:wBefore w:w="15" w:type="dxa"/>
          <w:wAfter w:w="857" w:type="dxa"/>
          <w:trHeight w:val="284"/>
        </w:trPr>
        <w:tc>
          <w:tcPr>
            <w:tcW w:w="5169"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 xml:space="preserve">    Intérêts sur la dette </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977</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504</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199</w:t>
            </w:r>
          </w:p>
        </w:tc>
        <w:tc>
          <w:tcPr>
            <w:tcW w:w="1012"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641</w:t>
            </w:r>
          </w:p>
        </w:tc>
      </w:tr>
      <w:tr w:rsidR="009722A4" w:rsidRPr="009722A4" w:rsidTr="00DA26F3">
        <w:tblPrEx>
          <w:tblCellMar>
            <w:left w:w="70" w:type="dxa"/>
            <w:right w:w="70" w:type="dxa"/>
          </w:tblCellMar>
        </w:tblPrEx>
        <w:trPr>
          <w:gridBefore w:val="1"/>
          <w:gridAfter w:val="1"/>
          <w:wBefore w:w="15" w:type="dxa"/>
          <w:wAfter w:w="857" w:type="dxa"/>
          <w:trHeight w:val="299"/>
        </w:trPr>
        <w:tc>
          <w:tcPr>
            <w:tcW w:w="5169"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i/>
                <w:iCs/>
                <w:sz w:val="20"/>
                <w:szCs w:val="20"/>
              </w:rPr>
              <w:t xml:space="preserve">    Assit tech et Projets sur Fin exter</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9 317</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2 043</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2 994</w:t>
            </w:r>
          </w:p>
        </w:tc>
        <w:tc>
          <w:tcPr>
            <w:tcW w:w="1012"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2 411</w:t>
            </w:r>
          </w:p>
        </w:tc>
      </w:tr>
      <w:tr w:rsidR="009722A4" w:rsidRPr="009722A4" w:rsidTr="00DA26F3">
        <w:tblPrEx>
          <w:tblCellMar>
            <w:left w:w="70" w:type="dxa"/>
            <w:right w:w="70" w:type="dxa"/>
          </w:tblCellMar>
        </w:tblPrEx>
        <w:trPr>
          <w:gridBefore w:val="1"/>
          <w:gridAfter w:val="1"/>
          <w:wBefore w:w="15" w:type="dxa"/>
          <w:wAfter w:w="857" w:type="dxa"/>
          <w:trHeight w:val="299"/>
        </w:trPr>
        <w:tc>
          <w:tcPr>
            <w:tcW w:w="5169"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 xml:space="preserve"> Dépenses exceptionnelles</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w:t>
            </w:r>
          </w:p>
        </w:tc>
        <w:tc>
          <w:tcPr>
            <w:tcW w:w="1012"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w:t>
            </w:r>
          </w:p>
        </w:tc>
      </w:tr>
      <w:tr w:rsidR="009722A4" w:rsidRPr="009722A4" w:rsidTr="00DA26F3">
        <w:tblPrEx>
          <w:tblCellMar>
            <w:left w:w="70" w:type="dxa"/>
            <w:right w:w="70" w:type="dxa"/>
          </w:tblCellMar>
        </w:tblPrEx>
        <w:trPr>
          <w:gridBefore w:val="1"/>
          <w:gridAfter w:val="1"/>
          <w:wBefore w:w="15" w:type="dxa"/>
          <w:wAfter w:w="857" w:type="dxa"/>
          <w:trHeight w:val="299"/>
        </w:trPr>
        <w:tc>
          <w:tcPr>
            <w:tcW w:w="5169"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 xml:space="preserve"> Dépenses en capital  </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15 444</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20 321</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20 277</w:t>
            </w:r>
          </w:p>
        </w:tc>
        <w:tc>
          <w:tcPr>
            <w:tcW w:w="1012"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20 746</w:t>
            </w:r>
          </w:p>
        </w:tc>
      </w:tr>
      <w:tr w:rsidR="009722A4" w:rsidRPr="009722A4" w:rsidTr="00DA26F3">
        <w:tblPrEx>
          <w:tblCellMar>
            <w:left w:w="70" w:type="dxa"/>
            <w:right w:w="70" w:type="dxa"/>
          </w:tblCellMar>
        </w:tblPrEx>
        <w:trPr>
          <w:gridBefore w:val="1"/>
          <w:gridAfter w:val="1"/>
          <w:wBefore w:w="15" w:type="dxa"/>
          <w:wAfter w:w="857" w:type="dxa"/>
          <w:trHeight w:val="284"/>
        </w:trPr>
        <w:tc>
          <w:tcPr>
            <w:tcW w:w="5169" w:type="dxa"/>
            <w:tcBorders>
              <w:top w:val="single" w:sz="6" w:space="0" w:color="auto"/>
              <w:left w:val="single" w:sz="6" w:space="0" w:color="auto"/>
              <w:bottom w:val="single" w:sz="4"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 xml:space="preserve">   dont     financées sur ressources intérieures </w:t>
            </w:r>
          </w:p>
        </w:tc>
        <w:tc>
          <w:tcPr>
            <w:tcW w:w="1011" w:type="dxa"/>
            <w:tcBorders>
              <w:top w:val="single" w:sz="6" w:space="0" w:color="auto"/>
              <w:left w:val="single" w:sz="6" w:space="0" w:color="auto"/>
              <w:bottom w:val="single" w:sz="4"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5 747</w:t>
            </w:r>
          </w:p>
        </w:tc>
        <w:tc>
          <w:tcPr>
            <w:tcW w:w="1011" w:type="dxa"/>
            <w:tcBorders>
              <w:top w:val="single" w:sz="6" w:space="0" w:color="auto"/>
              <w:left w:val="single" w:sz="6" w:space="0" w:color="auto"/>
              <w:bottom w:val="single" w:sz="4"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7 116</w:t>
            </w:r>
          </w:p>
        </w:tc>
        <w:tc>
          <w:tcPr>
            <w:tcW w:w="1011" w:type="dxa"/>
            <w:tcBorders>
              <w:top w:val="single" w:sz="6" w:space="0" w:color="auto"/>
              <w:left w:val="single" w:sz="6" w:space="0" w:color="auto"/>
              <w:bottom w:val="single" w:sz="4"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3 470</w:t>
            </w:r>
          </w:p>
        </w:tc>
        <w:tc>
          <w:tcPr>
            <w:tcW w:w="1012" w:type="dxa"/>
            <w:tcBorders>
              <w:top w:val="single" w:sz="6" w:space="0" w:color="auto"/>
              <w:left w:val="single" w:sz="6" w:space="0" w:color="auto"/>
              <w:bottom w:val="single" w:sz="4" w:space="0" w:color="auto"/>
              <w:right w:val="single" w:sz="6" w:space="0" w:color="auto"/>
            </w:tcBorders>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4 389</w:t>
            </w:r>
          </w:p>
        </w:tc>
      </w:tr>
      <w:tr w:rsidR="009722A4" w:rsidRPr="009722A4" w:rsidTr="00DA26F3">
        <w:tblPrEx>
          <w:tblCellMar>
            <w:left w:w="70" w:type="dxa"/>
            <w:right w:w="70" w:type="dxa"/>
          </w:tblCellMar>
        </w:tblPrEx>
        <w:trPr>
          <w:gridBefore w:val="1"/>
          <w:gridAfter w:val="1"/>
          <w:wBefore w:w="15" w:type="dxa"/>
          <w:wAfter w:w="857" w:type="dxa"/>
          <w:trHeight w:val="65"/>
        </w:trPr>
        <w:tc>
          <w:tcPr>
            <w:tcW w:w="5169" w:type="dxa"/>
            <w:tcBorders>
              <w:top w:val="single" w:sz="4" w:space="0" w:color="auto"/>
              <w:left w:val="single" w:sz="4" w:space="0" w:color="auto"/>
              <w:bottom w:val="single" w:sz="4" w:space="0" w:color="auto"/>
              <w:right w:val="single" w:sz="4"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 xml:space="preserve"> Prêts nets</w:t>
            </w:r>
          </w:p>
        </w:tc>
        <w:tc>
          <w:tcPr>
            <w:tcW w:w="1011" w:type="dxa"/>
            <w:tcBorders>
              <w:top w:val="single" w:sz="4" w:space="0" w:color="auto"/>
              <w:left w:val="single" w:sz="4" w:space="0" w:color="auto"/>
              <w:bottom w:val="single" w:sz="4" w:space="0" w:color="auto"/>
              <w:right w:val="single" w:sz="4" w:space="0" w:color="auto"/>
            </w:tcBorders>
            <w:vAlign w:val="bottom"/>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850</w:t>
            </w:r>
          </w:p>
        </w:tc>
        <w:tc>
          <w:tcPr>
            <w:tcW w:w="1011" w:type="dxa"/>
            <w:tcBorders>
              <w:top w:val="single" w:sz="4" w:space="0" w:color="auto"/>
              <w:left w:val="single" w:sz="4" w:space="0" w:color="auto"/>
              <w:bottom w:val="single" w:sz="4" w:space="0" w:color="auto"/>
              <w:right w:val="single" w:sz="4" w:space="0" w:color="auto"/>
            </w:tcBorders>
            <w:vAlign w:val="bottom"/>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1 300</w:t>
            </w:r>
          </w:p>
        </w:tc>
        <w:tc>
          <w:tcPr>
            <w:tcW w:w="1011" w:type="dxa"/>
            <w:tcBorders>
              <w:top w:val="single" w:sz="4" w:space="0" w:color="auto"/>
              <w:left w:val="single" w:sz="4" w:space="0" w:color="auto"/>
              <w:bottom w:val="single" w:sz="4" w:space="0" w:color="auto"/>
              <w:right w:val="single" w:sz="4" w:space="0" w:color="auto"/>
            </w:tcBorders>
            <w:vAlign w:val="bottom"/>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0</w:t>
            </w:r>
          </w:p>
        </w:tc>
        <w:tc>
          <w:tcPr>
            <w:tcW w:w="1012" w:type="dxa"/>
            <w:tcBorders>
              <w:top w:val="single" w:sz="4" w:space="0" w:color="auto"/>
              <w:left w:val="single" w:sz="4" w:space="0" w:color="auto"/>
              <w:bottom w:val="single" w:sz="4" w:space="0" w:color="auto"/>
              <w:right w:val="single" w:sz="4" w:space="0" w:color="auto"/>
            </w:tcBorders>
            <w:vAlign w:val="bottom"/>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3 849</w:t>
            </w:r>
          </w:p>
        </w:tc>
      </w:tr>
      <w:tr w:rsidR="009722A4" w:rsidRPr="009722A4" w:rsidTr="00DA26F3">
        <w:tblPrEx>
          <w:tblCellMar>
            <w:left w:w="70" w:type="dxa"/>
            <w:right w:w="70" w:type="dxa"/>
          </w:tblCellMar>
        </w:tblPrEx>
        <w:trPr>
          <w:gridBefore w:val="1"/>
          <w:gridAfter w:val="1"/>
          <w:wBefore w:w="15" w:type="dxa"/>
          <w:wAfter w:w="857" w:type="dxa"/>
          <w:trHeight w:val="65"/>
        </w:trPr>
        <w:tc>
          <w:tcPr>
            <w:tcW w:w="5169" w:type="dxa"/>
            <w:tcBorders>
              <w:top w:val="single" w:sz="4" w:space="0" w:color="auto"/>
              <w:left w:val="single" w:sz="6" w:space="0" w:color="auto"/>
              <w:bottom w:val="single" w:sz="6" w:space="0" w:color="auto"/>
              <w:right w:val="nil"/>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 </w:t>
            </w:r>
          </w:p>
        </w:tc>
        <w:tc>
          <w:tcPr>
            <w:tcW w:w="1011" w:type="dxa"/>
            <w:tcBorders>
              <w:top w:val="single" w:sz="4" w:space="0" w:color="auto"/>
              <w:left w:val="nil"/>
              <w:bottom w:val="single" w:sz="6" w:space="0" w:color="auto"/>
              <w:right w:val="nil"/>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single" w:sz="4" w:space="0" w:color="auto"/>
              <w:left w:val="nil"/>
              <w:bottom w:val="single" w:sz="6" w:space="0" w:color="auto"/>
              <w:right w:val="nil"/>
            </w:tcBorders>
          </w:tcPr>
          <w:p w:rsidR="009722A4" w:rsidRPr="009722A4" w:rsidRDefault="009722A4" w:rsidP="009722A4">
            <w:pPr>
              <w:rPr>
                <w:rFonts w:asciiTheme="minorHAnsi" w:hAnsiTheme="minorHAnsi" w:cstheme="minorHAnsi"/>
                <w:sz w:val="20"/>
                <w:szCs w:val="20"/>
              </w:rPr>
            </w:pPr>
          </w:p>
        </w:tc>
        <w:tc>
          <w:tcPr>
            <w:tcW w:w="1011" w:type="dxa"/>
            <w:tcBorders>
              <w:top w:val="single" w:sz="4" w:space="0" w:color="auto"/>
              <w:left w:val="nil"/>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p>
        </w:tc>
        <w:tc>
          <w:tcPr>
            <w:tcW w:w="1012" w:type="dxa"/>
            <w:tcBorders>
              <w:top w:val="single" w:sz="4" w:space="0" w:color="auto"/>
              <w:left w:val="nil"/>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p>
        </w:tc>
      </w:tr>
      <w:tr w:rsidR="009722A4" w:rsidRPr="009722A4" w:rsidTr="00DA26F3">
        <w:tblPrEx>
          <w:tblCellMar>
            <w:left w:w="70" w:type="dxa"/>
            <w:right w:w="70" w:type="dxa"/>
          </w:tblCellMar>
        </w:tblPrEx>
        <w:trPr>
          <w:gridBefore w:val="1"/>
          <w:gridAfter w:val="1"/>
          <w:wBefore w:w="15" w:type="dxa"/>
          <w:wAfter w:w="857" w:type="dxa"/>
          <w:trHeight w:val="299"/>
        </w:trPr>
        <w:tc>
          <w:tcPr>
            <w:tcW w:w="5169"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 xml:space="preserve">Solde Budgétaire de Base (SBB) </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6 810</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-4 360</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 -5 234</w:t>
            </w:r>
          </w:p>
        </w:tc>
        <w:tc>
          <w:tcPr>
            <w:tcW w:w="1012"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-3 869</w:t>
            </w:r>
          </w:p>
        </w:tc>
      </w:tr>
      <w:tr w:rsidR="009722A4" w:rsidRPr="009722A4" w:rsidTr="00DA26F3">
        <w:tblPrEx>
          <w:tblCellMar>
            <w:left w:w="70" w:type="dxa"/>
            <w:right w:w="70" w:type="dxa"/>
          </w:tblCellMar>
        </w:tblPrEx>
        <w:trPr>
          <w:gridBefore w:val="1"/>
          <w:gridAfter w:val="1"/>
          <w:wBefore w:w="15" w:type="dxa"/>
          <w:wAfter w:w="857" w:type="dxa"/>
          <w:trHeight w:val="299"/>
        </w:trPr>
        <w:tc>
          <w:tcPr>
            <w:tcW w:w="5169"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 xml:space="preserve">Solde Global (hors dons) </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-12 203 </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-19 609</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-25 035</w:t>
            </w:r>
          </w:p>
        </w:tc>
        <w:tc>
          <w:tcPr>
            <w:tcW w:w="1012"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-22 737</w:t>
            </w:r>
          </w:p>
        </w:tc>
      </w:tr>
      <w:tr w:rsidR="009722A4" w:rsidRPr="009722A4" w:rsidTr="00DA26F3">
        <w:tblPrEx>
          <w:tblCellMar>
            <w:left w:w="70" w:type="dxa"/>
            <w:right w:w="70" w:type="dxa"/>
          </w:tblCellMar>
        </w:tblPrEx>
        <w:trPr>
          <w:gridBefore w:val="1"/>
          <w:gridAfter w:val="1"/>
          <w:wBefore w:w="15" w:type="dxa"/>
          <w:wAfter w:w="857" w:type="dxa"/>
          <w:trHeight w:val="299"/>
        </w:trPr>
        <w:tc>
          <w:tcPr>
            <w:tcW w:w="5169"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Solde Global  (dons inclus)</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7 779</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-1 963</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-1 337</w:t>
            </w:r>
          </w:p>
        </w:tc>
        <w:tc>
          <w:tcPr>
            <w:tcW w:w="1012"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-3 816</w:t>
            </w:r>
          </w:p>
        </w:tc>
      </w:tr>
      <w:tr w:rsidR="009722A4" w:rsidRPr="009722A4" w:rsidTr="00DA26F3">
        <w:tblPrEx>
          <w:tblCellMar>
            <w:left w:w="70" w:type="dxa"/>
            <w:right w:w="70" w:type="dxa"/>
          </w:tblCellMar>
        </w:tblPrEx>
        <w:trPr>
          <w:gridBefore w:val="1"/>
          <w:gridAfter w:val="1"/>
          <w:wBefore w:w="15" w:type="dxa"/>
          <w:wAfter w:w="857" w:type="dxa"/>
          <w:trHeight w:val="79"/>
        </w:trPr>
        <w:tc>
          <w:tcPr>
            <w:tcW w:w="5169"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p>
        </w:tc>
        <w:tc>
          <w:tcPr>
            <w:tcW w:w="1011" w:type="dxa"/>
            <w:tcBorders>
              <w:top w:val="single" w:sz="6" w:space="0" w:color="auto"/>
              <w:left w:val="single" w:sz="6" w:space="0" w:color="auto"/>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single" w:sz="6" w:space="0" w:color="auto"/>
              <w:left w:val="nil"/>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p>
        </w:tc>
        <w:tc>
          <w:tcPr>
            <w:tcW w:w="1011" w:type="dxa"/>
            <w:tcBorders>
              <w:top w:val="single" w:sz="6" w:space="0" w:color="auto"/>
              <w:left w:val="nil"/>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p>
        </w:tc>
        <w:tc>
          <w:tcPr>
            <w:tcW w:w="1012" w:type="dxa"/>
            <w:tcBorders>
              <w:top w:val="single" w:sz="6" w:space="0" w:color="auto"/>
              <w:left w:val="nil"/>
              <w:bottom w:val="single" w:sz="6" w:space="0" w:color="auto"/>
              <w:right w:val="single" w:sz="6" w:space="0" w:color="auto"/>
            </w:tcBorders>
          </w:tcPr>
          <w:p w:rsidR="009722A4" w:rsidRPr="009722A4" w:rsidRDefault="009722A4" w:rsidP="009722A4">
            <w:pPr>
              <w:rPr>
                <w:rFonts w:asciiTheme="minorHAnsi" w:hAnsiTheme="minorHAnsi" w:cstheme="minorHAnsi"/>
                <w:sz w:val="20"/>
                <w:szCs w:val="20"/>
              </w:rPr>
            </w:pPr>
          </w:p>
        </w:tc>
      </w:tr>
      <w:tr w:rsidR="009722A4" w:rsidRPr="009722A4" w:rsidTr="00DA26F3">
        <w:tblPrEx>
          <w:tblCellMar>
            <w:left w:w="70" w:type="dxa"/>
            <w:right w:w="70" w:type="dxa"/>
          </w:tblCellMar>
        </w:tblPrEx>
        <w:trPr>
          <w:gridBefore w:val="1"/>
          <w:gridAfter w:val="1"/>
          <w:wBefore w:w="15" w:type="dxa"/>
          <w:wAfter w:w="857" w:type="dxa"/>
          <w:trHeight w:val="329"/>
        </w:trPr>
        <w:tc>
          <w:tcPr>
            <w:tcW w:w="5169"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 xml:space="preserve"> INDICATEURS DE CONVERGENCE</w:t>
            </w:r>
          </w:p>
        </w:tc>
        <w:tc>
          <w:tcPr>
            <w:tcW w:w="1011" w:type="dxa"/>
            <w:tcBorders>
              <w:top w:val="single" w:sz="6" w:space="0" w:color="auto"/>
              <w:left w:val="single" w:sz="6" w:space="0" w:color="auto"/>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2012</w:t>
            </w:r>
          </w:p>
        </w:tc>
        <w:tc>
          <w:tcPr>
            <w:tcW w:w="1011" w:type="dxa"/>
            <w:tcBorders>
              <w:top w:val="single" w:sz="6" w:space="0" w:color="auto"/>
              <w:left w:val="nil"/>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2013</w:t>
            </w:r>
          </w:p>
        </w:tc>
        <w:tc>
          <w:tcPr>
            <w:tcW w:w="1011" w:type="dxa"/>
            <w:tcBorders>
              <w:top w:val="single" w:sz="6" w:space="0" w:color="auto"/>
              <w:left w:val="nil"/>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2014</w:t>
            </w:r>
          </w:p>
        </w:tc>
        <w:tc>
          <w:tcPr>
            <w:tcW w:w="1012" w:type="dxa"/>
            <w:tcBorders>
              <w:top w:val="single" w:sz="6" w:space="0" w:color="auto"/>
              <w:left w:val="nil"/>
              <w:bottom w:val="single" w:sz="6" w:space="0" w:color="auto"/>
              <w:right w:val="single" w:sz="6" w:space="0" w:color="auto"/>
            </w:tcBorders>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2015</w:t>
            </w: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single" w:sz="6" w:space="0" w:color="auto"/>
              <w:left w:val="single" w:sz="6" w:space="0" w:color="auto"/>
              <w:bottom w:val="single" w:sz="6" w:space="0" w:color="auto"/>
              <w:right w:val="single" w:sz="6" w:space="0" w:color="auto"/>
            </w:tcBorders>
            <w:vAlign w:val="bottom"/>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Critères de 1</w:t>
            </w:r>
            <w:r w:rsidRPr="009722A4">
              <w:rPr>
                <w:rFonts w:asciiTheme="minorHAnsi" w:hAnsiTheme="minorHAnsi" w:cstheme="minorHAnsi"/>
                <w:b/>
                <w:bCs/>
                <w:sz w:val="20"/>
                <w:szCs w:val="20"/>
                <w:vertAlign w:val="superscript"/>
              </w:rPr>
              <w:t>er</w:t>
            </w:r>
            <w:r w:rsidRPr="009722A4">
              <w:rPr>
                <w:rFonts w:asciiTheme="minorHAnsi" w:hAnsiTheme="minorHAnsi" w:cstheme="minorHAnsi"/>
                <w:b/>
                <w:bCs/>
                <w:sz w:val="20"/>
                <w:szCs w:val="20"/>
              </w:rPr>
              <w:t xml:space="preserve"> rang</w:t>
            </w:r>
          </w:p>
        </w:tc>
        <w:tc>
          <w:tcPr>
            <w:tcW w:w="1011"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p>
        </w:tc>
        <w:tc>
          <w:tcPr>
            <w:tcW w:w="1012"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single" w:sz="6" w:space="0" w:color="auto"/>
              <w:left w:val="single" w:sz="6" w:space="0" w:color="auto"/>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Solde Budgétaire de Base (SBB) / PIB nominal &gt;= 0%</w:t>
            </w:r>
          </w:p>
        </w:tc>
        <w:tc>
          <w:tcPr>
            <w:tcW w:w="1011"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3,1</w:t>
            </w:r>
          </w:p>
        </w:tc>
        <w:tc>
          <w:tcPr>
            <w:tcW w:w="1011"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-1,9</w:t>
            </w:r>
          </w:p>
        </w:tc>
        <w:tc>
          <w:tcPr>
            <w:tcW w:w="1011"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-2,2</w:t>
            </w:r>
          </w:p>
        </w:tc>
        <w:tc>
          <w:tcPr>
            <w:tcW w:w="1012"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-1,5</w:t>
            </w: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single" w:sz="6" w:space="0" w:color="auto"/>
              <w:left w:val="single" w:sz="6" w:space="0" w:color="auto"/>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Taux d'inflation annuel moyen &lt;= 3%</w:t>
            </w:r>
          </w:p>
        </w:tc>
        <w:tc>
          <w:tcPr>
            <w:tcW w:w="1011"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6,3</w:t>
            </w:r>
          </w:p>
        </w:tc>
        <w:tc>
          <w:tcPr>
            <w:tcW w:w="1011"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1,6</w:t>
            </w:r>
          </w:p>
        </w:tc>
        <w:tc>
          <w:tcPr>
            <w:tcW w:w="1011" w:type="dxa"/>
            <w:tcBorders>
              <w:top w:val="nil"/>
              <w:left w:val="nil"/>
              <w:bottom w:val="single" w:sz="6" w:space="0" w:color="auto"/>
              <w:right w:val="single" w:sz="6" w:space="0" w:color="auto"/>
            </w:tcBorders>
            <w:shd w:val="clear" w:color="auto" w:fill="auto"/>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1,5</w:t>
            </w:r>
          </w:p>
        </w:tc>
        <w:tc>
          <w:tcPr>
            <w:tcW w:w="1012"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1,3</w:t>
            </w: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nil"/>
              <w:left w:val="single" w:sz="6" w:space="0" w:color="auto"/>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Taux d'endettement public</w:t>
            </w:r>
          </w:p>
        </w:tc>
        <w:tc>
          <w:tcPr>
            <w:tcW w:w="1011" w:type="dxa"/>
            <w:tcBorders>
              <w:top w:val="nil"/>
              <w:left w:val="nil"/>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nil"/>
              <w:left w:val="nil"/>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nil"/>
              <w:left w:val="nil"/>
              <w:bottom w:val="nil"/>
              <w:right w:val="single" w:sz="6" w:space="0" w:color="auto"/>
            </w:tcBorders>
            <w:shd w:val="clear" w:color="auto" w:fill="auto"/>
            <w:vAlign w:val="bottom"/>
          </w:tcPr>
          <w:p w:rsidR="009722A4" w:rsidRPr="009722A4" w:rsidRDefault="009722A4" w:rsidP="009722A4">
            <w:pPr>
              <w:rPr>
                <w:rFonts w:asciiTheme="minorHAnsi" w:hAnsiTheme="minorHAnsi" w:cstheme="minorHAnsi"/>
                <w:sz w:val="20"/>
                <w:szCs w:val="20"/>
              </w:rPr>
            </w:pPr>
          </w:p>
        </w:tc>
        <w:tc>
          <w:tcPr>
            <w:tcW w:w="1012" w:type="dxa"/>
            <w:tcBorders>
              <w:top w:val="nil"/>
              <w:left w:val="nil"/>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nil"/>
              <w:left w:val="single" w:sz="6" w:space="0" w:color="auto"/>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Encours dette publ totale/PIB nom &lt;= 70%</w:t>
            </w:r>
          </w:p>
        </w:tc>
        <w:tc>
          <w:tcPr>
            <w:tcW w:w="1011" w:type="dxa"/>
            <w:tcBorders>
              <w:top w:val="nil"/>
              <w:left w:val="single" w:sz="6" w:space="0" w:color="auto"/>
              <w:bottom w:val="single" w:sz="6" w:space="0" w:color="auto"/>
              <w:right w:val="nil"/>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51,3</w:t>
            </w:r>
          </w:p>
        </w:tc>
        <w:tc>
          <w:tcPr>
            <w:tcW w:w="1011" w:type="dxa"/>
            <w:tcBorders>
              <w:top w:val="nil"/>
              <w:left w:val="single" w:sz="6" w:space="0" w:color="auto"/>
              <w:bottom w:val="single" w:sz="6" w:space="0" w:color="auto"/>
              <w:right w:val="nil"/>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26,3</w:t>
            </w:r>
          </w:p>
        </w:tc>
        <w:tc>
          <w:tcPr>
            <w:tcW w:w="1011" w:type="dxa"/>
            <w:tcBorders>
              <w:top w:val="nil"/>
              <w:left w:val="single" w:sz="6" w:space="0" w:color="auto"/>
              <w:bottom w:val="single" w:sz="6" w:space="0" w:color="auto"/>
              <w:right w:val="single" w:sz="6" w:space="0" w:color="auto"/>
            </w:tcBorders>
            <w:shd w:val="clear" w:color="auto" w:fill="auto"/>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25,9</w:t>
            </w:r>
          </w:p>
        </w:tc>
        <w:tc>
          <w:tcPr>
            <w:tcW w:w="1012" w:type="dxa"/>
            <w:tcBorders>
              <w:top w:val="nil"/>
              <w:left w:val="single" w:sz="6" w:space="0" w:color="auto"/>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21,3</w:t>
            </w: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nil"/>
              <w:left w:val="single" w:sz="6" w:space="0" w:color="auto"/>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Arriérés de paiement intérieurs</w:t>
            </w:r>
          </w:p>
        </w:tc>
        <w:tc>
          <w:tcPr>
            <w:tcW w:w="1011" w:type="dxa"/>
            <w:tcBorders>
              <w:top w:val="nil"/>
              <w:left w:val="nil"/>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nil"/>
              <w:left w:val="nil"/>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nil"/>
              <w:left w:val="nil"/>
              <w:bottom w:val="nil"/>
              <w:right w:val="single" w:sz="6" w:space="0" w:color="auto"/>
            </w:tcBorders>
            <w:shd w:val="clear" w:color="auto" w:fill="auto"/>
            <w:vAlign w:val="bottom"/>
          </w:tcPr>
          <w:p w:rsidR="009722A4" w:rsidRPr="009722A4" w:rsidRDefault="009722A4" w:rsidP="009722A4">
            <w:pPr>
              <w:rPr>
                <w:rFonts w:asciiTheme="minorHAnsi" w:hAnsiTheme="minorHAnsi" w:cstheme="minorHAnsi"/>
                <w:sz w:val="20"/>
                <w:szCs w:val="20"/>
              </w:rPr>
            </w:pPr>
          </w:p>
        </w:tc>
        <w:tc>
          <w:tcPr>
            <w:tcW w:w="1012" w:type="dxa"/>
            <w:tcBorders>
              <w:top w:val="nil"/>
              <w:left w:val="nil"/>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nil"/>
              <w:left w:val="single" w:sz="6" w:space="0" w:color="auto"/>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(non accumulation)</w:t>
            </w:r>
          </w:p>
        </w:tc>
        <w:tc>
          <w:tcPr>
            <w:tcW w:w="1011"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-1 372 </w:t>
            </w:r>
          </w:p>
        </w:tc>
        <w:tc>
          <w:tcPr>
            <w:tcW w:w="1011"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-2 146</w:t>
            </w:r>
          </w:p>
        </w:tc>
        <w:tc>
          <w:tcPr>
            <w:tcW w:w="1011" w:type="dxa"/>
            <w:tcBorders>
              <w:top w:val="nil"/>
              <w:left w:val="nil"/>
              <w:bottom w:val="single" w:sz="6" w:space="0" w:color="auto"/>
              <w:right w:val="single" w:sz="6" w:space="0" w:color="auto"/>
            </w:tcBorders>
            <w:shd w:val="clear" w:color="auto" w:fill="auto"/>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1 011</w:t>
            </w:r>
          </w:p>
        </w:tc>
        <w:tc>
          <w:tcPr>
            <w:tcW w:w="1012"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0</w:t>
            </w: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nil"/>
              <w:left w:val="single" w:sz="6" w:space="0" w:color="auto"/>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Arriérés de paiement extérieurs</w:t>
            </w:r>
          </w:p>
        </w:tc>
        <w:tc>
          <w:tcPr>
            <w:tcW w:w="1011" w:type="dxa"/>
            <w:tcBorders>
              <w:top w:val="nil"/>
              <w:left w:val="nil"/>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nil"/>
              <w:left w:val="nil"/>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nil"/>
              <w:left w:val="nil"/>
              <w:bottom w:val="nil"/>
              <w:right w:val="single" w:sz="6" w:space="0" w:color="auto"/>
            </w:tcBorders>
            <w:shd w:val="clear" w:color="auto" w:fill="auto"/>
            <w:vAlign w:val="bottom"/>
          </w:tcPr>
          <w:p w:rsidR="009722A4" w:rsidRPr="009722A4" w:rsidRDefault="009722A4" w:rsidP="009722A4">
            <w:pPr>
              <w:rPr>
                <w:rFonts w:asciiTheme="minorHAnsi" w:hAnsiTheme="minorHAnsi" w:cstheme="minorHAnsi"/>
                <w:sz w:val="20"/>
                <w:szCs w:val="20"/>
              </w:rPr>
            </w:pPr>
          </w:p>
        </w:tc>
        <w:tc>
          <w:tcPr>
            <w:tcW w:w="1012" w:type="dxa"/>
            <w:tcBorders>
              <w:top w:val="nil"/>
              <w:left w:val="nil"/>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nil"/>
              <w:left w:val="single" w:sz="6" w:space="0" w:color="auto"/>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(non accumulation)</w:t>
            </w:r>
          </w:p>
        </w:tc>
        <w:tc>
          <w:tcPr>
            <w:tcW w:w="1011"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-171 </w:t>
            </w:r>
          </w:p>
        </w:tc>
        <w:tc>
          <w:tcPr>
            <w:tcW w:w="1011"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24</w:t>
            </w:r>
          </w:p>
        </w:tc>
        <w:tc>
          <w:tcPr>
            <w:tcW w:w="1011" w:type="dxa"/>
            <w:tcBorders>
              <w:top w:val="nil"/>
              <w:left w:val="nil"/>
              <w:bottom w:val="single" w:sz="6" w:space="0" w:color="auto"/>
              <w:right w:val="single" w:sz="6" w:space="0" w:color="auto"/>
            </w:tcBorders>
            <w:shd w:val="clear" w:color="auto" w:fill="auto"/>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-390</w:t>
            </w:r>
          </w:p>
        </w:tc>
        <w:tc>
          <w:tcPr>
            <w:tcW w:w="1012"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-3 947</w:t>
            </w: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nil"/>
              <w:left w:val="single" w:sz="6" w:space="0" w:color="auto"/>
              <w:bottom w:val="single" w:sz="6" w:space="0" w:color="auto"/>
              <w:right w:val="single" w:sz="6" w:space="0" w:color="auto"/>
            </w:tcBorders>
            <w:vAlign w:val="bottom"/>
          </w:tcPr>
          <w:p w:rsidR="009722A4" w:rsidRPr="009722A4" w:rsidRDefault="009722A4" w:rsidP="009722A4">
            <w:pPr>
              <w:rPr>
                <w:rFonts w:asciiTheme="minorHAnsi" w:hAnsiTheme="minorHAnsi" w:cstheme="minorHAnsi"/>
                <w:i/>
                <w:iCs/>
                <w:sz w:val="20"/>
                <w:szCs w:val="20"/>
              </w:rPr>
            </w:pPr>
            <w:r w:rsidRPr="009722A4">
              <w:rPr>
                <w:rFonts w:asciiTheme="minorHAnsi" w:hAnsiTheme="minorHAnsi" w:cstheme="minorHAnsi"/>
                <w:i/>
                <w:iCs/>
                <w:sz w:val="20"/>
                <w:szCs w:val="20"/>
              </w:rPr>
              <w:t>Total arriérés de paiement</w:t>
            </w:r>
          </w:p>
        </w:tc>
        <w:tc>
          <w:tcPr>
            <w:tcW w:w="1011"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-1 543 </w:t>
            </w:r>
          </w:p>
        </w:tc>
        <w:tc>
          <w:tcPr>
            <w:tcW w:w="1011"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-2 122</w:t>
            </w:r>
          </w:p>
        </w:tc>
        <w:tc>
          <w:tcPr>
            <w:tcW w:w="1011" w:type="dxa"/>
            <w:tcBorders>
              <w:top w:val="nil"/>
              <w:left w:val="nil"/>
              <w:bottom w:val="single" w:sz="6" w:space="0" w:color="auto"/>
              <w:right w:val="single" w:sz="6" w:space="0" w:color="auto"/>
            </w:tcBorders>
            <w:shd w:val="clear" w:color="auto" w:fill="auto"/>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 621</w:t>
            </w:r>
          </w:p>
        </w:tc>
        <w:tc>
          <w:tcPr>
            <w:tcW w:w="1012"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-3 947</w:t>
            </w: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single" w:sz="6" w:space="0" w:color="auto"/>
              <w:left w:val="single" w:sz="6" w:space="0" w:color="auto"/>
              <w:bottom w:val="single" w:sz="6" w:space="0" w:color="auto"/>
              <w:right w:val="single" w:sz="6" w:space="0" w:color="auto"/>
            </w:tcBorders>
            <w:vAlign w:val="bottom"/>
          </w:tcPr>
          <w:p w:rsidR="009722A4" w:rsidRPr="009722A4" w:rsidRDefault="009722A4" w:rsidP="009722A4">
            <w:pPr>
              <w:rPr>
                <w:rFonts w:asciiTheme="minorHAnsi" w:hAnsiTheme="minorHAnsi" w:cstheme="minorHAnsi"/>
                <w:b/>
                <w:bCs/>
                <w:sz w:val="20"/>
                <w:szCs w:val="20"/>
              </w:rPr>
            </w:pPr>
            <w:r w:rsidRPr="009722A4">
              <w:rPr>
                <w:rFonts w:asciiTheme="minorHAnsi" w:hAnsiTheme="minorHAnsi" w:cstheme="minorHAnsi"/>
                <w:b/>
                <w:bCs/>
                <w:sz w:val="20"/>
                <w:szCs w:val="20"/>
              </w:rPr>
              <w:t>Autres indicateurs</w:t>
            </w:r>
          </w:p>
        </w:tc>
        <w:tc>
          <w:tcPr>
            <w:tcW w:w="1011"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single" w:sz="6" w:space="0" w:color="auto"/>
              <w:left w:val="nil"/>
              <w:bottom w:val="single" w:sz="6" w:space="0" w:color="auto"/>
              <w:right w:val="single" w:sz="6" w:space="0" w:color="auto"/>
            </w:tcBorders>
            <w:shd w:val="clear" w:color="auto" w:fill="auto"/>
            <w:vAlign w:val="bottom"/>
          </w:tcPr>
          <w:p w:rsidR="009722A4" w:rsidRPr="009722A4" w:rsidRDefault="009722A4" w:rsidP="009722A4">
            <w:pPr>
              <w:rPr>
                <w:rFonts w:asciiTheme="minorHAnsi" w:hAnsiTheme="minorHAnsi" w:cstheme="minorHAnsi"/>
                <w:sz w:val="20"/>
                <w:szCs w:val="20"/>
              </w:rPr>
            </w:pPr>
          </w:p>
        </w:tc>
        <w:tc>
          <w:tcPr>
            <w:tcW w:w="1012"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single" w:sz="6" w:space="0" w:color="auto"/>
              <w:left w:val="single" w:sz="6" w:space="0" w:color="auto"/>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Masse salariale /recettes fiscales &lt;= 35%</w:t>
            </w:r>
          </w:p>
        </w:tc>
        <w:tc>
          <w:tcPr>
            <w:tcW w:w="1011"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68</w:t>
            </w:r>
          </w:p>
        </w:tc>
        <w:tc>
          <w:tcPr>
            <w:tcW w:w="1011"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64</w:t>
            </w:r>
          </w:p>
        </w:tc>
        <w:tc>
          <w:tcPr>
            <w:tcW w:w="1011" w:type="dxa"/>
            <w:tcBorders>
              <w:top w:val="single" w:sz="6" w:space="0" w:color="auto"/>
              <w:left w:val="nil"/>
              <w:bottom w:val="single" w:sz="6" w:space="0" w:color="auto"/>
              <w:right w:val="single" w:sz="6" w:space="0" w:color="auto"/>
            </w:tcBorders>
            <w:shd w:val="clear" w:color="auto" w:fill="auto"/>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72</w:t>
            </w:r>
          </w:p>
        </w:tc>
        <w:tc>
          <w:tcPr>
            <w:tcW w:w="1012"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79</w:t>
            </w: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nil"/>
              <w:left w:val="single" w:sz="6" w:space="0" w:color="auto"/>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 xml:space="preserve">Investissements financés sur ressources </w:t>
            </w:r>
          </w:p>
        </w:tc>
        <w:tc>
          <w:tcPr>
            <w:tcW w:w="1011" w:type="dxa"/>
            <w:tcBorders>
              <w:top w:val="nil"/>
              <w:left w:val="nil"/>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nil"/>
              <w:left w:val="nil"/>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nil"/>
              <w:left w:val="nil"/>
              <w:bottom w:val="nil"/>
              <w:right w:val="single" w:sz="6" w:space="0" w:color="auto"/>
            </w:tcBorders>
            <w:shd w:val="clear" w:color="auto" w:fill="auto"/>
            <w:vAlign w:val="bottom"/>
          </w:tcPr>
          <w:p w:rsidR="009722A4" w:rsidRPr="009722A4" w:rsidRDefault="009722A4" w:rsidP="009722A4">
            <w:pPr>
              <w:rPr>
                <w:rFonts w:asciiTheme="minorHAnsi" w:hAnsiTheme="minorHAnsi" w:cstheme="minorHAnsi"/>
                <w:sz w:val="20"/>
                <w:szCs w:val="20"/>
              </w:rPr>
            </w:pPr>
          </w:p>
        </w:tc>
        <w:tc>
          <w:tcPr>
            <w:tcW w:w="1012" w:type="dxa"/>
            <w:tcBorders>
              <w:top w:val="nil"/>
              <w:left w:val="nil"/>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nil"/>
              <w:left w:val="single" w:sz="6" w:space="0" w:color="auto"/>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intérieures /recettes fiscales &gt;= 20%</w:t>
            </w:r>
          </w:p>
        </w:tc>
        <w:tc>
          <w:tcPr>
            <w:tcW w:w="1011"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21,4</w:t>
            </w:r>
          </w:p>
        </w:tc>
        <w:tc>
          <w:tcPr>
            <w:tcW w:w="1011"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24,3</w:t>
            </w:r>
          </w:p>
        </w:tc>
        <w:tc>
          <w:tcPr>
            <w:tcW w:w="1011" w:type="dxa"/>
            <w:tcBorders>
              <w:top w:val="nil"/>
              <w:left w:val="nil"/>
              <w:bottom w:val="single" w:sz="6" w:space="0" w:color="auto"/>
              <w:right w:val="single" w:sz="6" w:space="0" w:color="auto"/>
            </w:tcBorders>
            <w:shd w:val="clear" w:color="auto" w:fill="auto"/>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11,6</w:t>
            </w:r>
          </w:p>
        </w:tc>
        <w:tc>
          <w:tcPr>
            <w:tcW w:w="1012"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14,4</w:t>
            </w: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nil"/>
              <w:left w:val="single" w:sz="6" w:space="0" w:color="auto"/>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Recettes fisc / PIB nom (Taux de pression fiscal &gt;=17%)</w:t>
            </w:r>
          </w:p>
        </w:tc>
        <w:tc>
          <w:tcPr>
            <w:tcW w:w="1011"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12,3</w:t>
            </w:r>
          </w:p>
        </w:tc>
        <w:tc>
          <w:tcPr>
            <w:tcW w:w="1011"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12,8</w:t>
            </w:r>
          </w:p>
        </w:tc>
        <w:tc>
          <w:tcPr>
            <w:tcW w:w="1011" w:type="dxa"/>
            <w:tcBorders>
              <w:top w:val="nil"/>
              <w:left w:val="nil"/>
              <w:bottom w:val="single" w:sz="6" w:space="0" w:color="auto"/>
              <w:right w:val="single" w:sz="6" w:space="0" w:color="auto"/>
            </w:tcBorders>
            <w:shd w:val="clear" w:color="auto" w:fill="auto"/>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12,5</w:t>
            </w:r>
          </w:p>
        </w:tc>
        <w:tc>
          <w:tcPr>
            <w:tcW w:w="1012"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12,1</w:t>
            </w: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nil"/>
              <w:left w:val="single" w:sz="6" w:space="0" w:color="auto"/>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Solde global hors dons/PIB</w:t>
            </w:r>
          </w:p>
        </w:tc>
        <w:tc>
          <w:tcPr>
            <w:tcW w:w="1011"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-5,6</w:t>
            </w:r>
          </w:p>
        </w:tc>
        <w:tc>
          <w:tcPr>
            <w:tcW w:w="1011"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-8,6</w:t>
            </w:r>
          </w:p>
        </w:tc>
        <w:tc>
          <w:tcPr>
            <w:tcW w:w="1011" w:type="dxa"/>
            <w:tcBorders>
              <w:top w:val="nil"/>
              <w:left w:val="nil"/>
              <w:bottom w:val="single" w:sz="6" w:space="0" w:color="auto"/>
              <w:right w:val="single" w:sz="6" w:space="0" w:color="auto"/>
            </w:tcBorders>
            <w:shd w:val="clear" w:color="auto" w:fill="auto"/>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-10,5</w:t>
            </w:r>
          </w:p>
        </w:tc>
        <w:tc>
          <w:tcPr>
            <w:tcW w:w="1012" w:type="dxa"/>
            <w:tcBorders>
              <w:top w:val="nil"/>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-9,0</w:t>
            </w: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single" w:sz="6" w:space="0" w:color="auto"/>
              <w:left w:val="single" w:sz="6" w:space="0" w:color="auto"/>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Solde global/PIB</w:t>
            </w:r>
          </w:p>
        </w:tc>
        <w:tc>
          <w:tcPr>
            <w:tcW w:w="1011"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3,6</w:t>
            </w:r>
          </w:p>
        </w:tc>
        <w:tc>
          <w:tcPr>
            <w:tcW w:w="1011"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-0,9</w:t>
            </w:r>
          </w:p>
        </w:tc>
        <w:tc>
          <w:tcPr>
            <w:tcW w:w="1011" w:type="dxa"/>
            <w:tcBorders>
              <w:top w:val="single" w:sz="6" w:space="0" w:color="auto"/>
              <w:left w:val="nil"/>
              <w:bottom w:val="single" w:sz="6" w:space="0" w:color="auto"/>
              <w:right w:val="single" w:sz="6" w:space="0" w:color="auto"/>
            </w:tcBorders>
            <w:shd w:val="clear" w:color="auto" w:fill="auto"/>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-0,6</w:t>
            </w:r>
          </w:p>
        </w:tc>
        <w:tc>
          <w:tcPr>
            <w:tcW w:w="1012" w:type="dxa"/>
            <w:tcBorders>
              <w:top w:val="single" w:sz="6" w:space="0" w:color="auto"/>
              <w:left w:val="nil"/>
              <w:bottom w:val="single" w:sz="6"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-1,5</w:t>
            </w: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nil"/>
              <w:left w:val="single" w:sz="6" w:space="0" w:color="auto"/>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Avoirs Extérieurs Nets / Masse monétaire</w:t>
            </w:r>
          </w:p>
        </w:tc>
        <w:tc>
          <w:tcPr>
            <w:tcW w:w="1011" w:type="dxa"/>
            <w:tcBorders>
              <w:top w:val="nil"/>
              <w:left w:val="nil"/>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nil"/>
              <w:left w:val="nil"/>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p>
        </w:tc>
        <w:tc>
          <w:tcPr>
            <w:tcW w:w="1011" w:type="dxa"/>
            <w:tcBorders>
              <w:top w:val="nil"/>
              <w:left w:val="nil"/>
              <w:bottom w:val="nil"/>
              <w:right w:val="single" w:sz="6" w:space="0" w:color="auto"/>
            </w:tcBorders>
            <w:shd w:val="clear" w:color="auto" w:fill="auto"/>
            <w:vAlign w:val="bottom"/>
          </w:tcPr>
          <w:p w:rsidR="009722A4" w:rsidRPr="009722A4" w:rsidRDefault="009722A4" w:rsidP="009722A4">
            <w:pPr>
              <w:rPr>
                <w:rFonts w:asciiTheme="minorHAnsi" w:hAnsiTheme="minorHAnsi" w:cstheme="minorHAnsi"/>
                <w:sz w:val="20"/>
                <w:szCs w:val="20"/>
              </w:rPr>
            </w:pPr>
          </w:p>
        </w:tc>
        <w:tc>
          <w:tcPr>
            <w:tcW w:w="1012" w:type="dxa"/>
            <w:tcBorders>
              <w:top w:val="nil"/>
              <w:left w:val="nil"/>
              <w:bottom w:val="nil"/>
              <w:right w:val="single" w:sz="6" w:space="0" w:color="auto"/>
            </w:tcBorders>
            <w:vAlign w:val="bottom"/>
          </w:tcPr>
          <w:p w:rsidR="009722A4" w:rsidRPr="009722A4" w:rsidRDefault="009722A4" w:rsidP="009722A4">
            <w:pPr>
              <w:rPr>
                <w:rFonts w:asciiTheme="minorHAnsi" w:hAnsiTheme="minorHAnsi" w:cstheme="minorHAnsi"/>
                <w:sz w:val="20"/>
                <w:szCs w:val="20"/>
              </w:rPr>
            </w:pP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nil"/>
              <w:left w:val="single" w:sz="6" w:space="0" w:color="auto"/>
              <w:bottom w:val="single" w:sz="4"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Taux de couverture extérieur de la monnaie (en %)</w:t>
            </w:r>
          </w:p>
        </w:tc>
        <w:tc>
          <w:tcPr>
            <w:tcW w:w="1011" w:type="dxa"/>
            <w:tcBorders>
              <w:top w:val="nil"/>
              <w:left w:val="nil"/>
              <w:bottom w:val="single" w:sz="4"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71,8</w:t>
            </w:r>
          </w:p>
        </w:tc>
        <w:tc>
          <w:tcPr>
            <w:tcW w:w="1011" w:type="dxa"/>
            <w:tcBorders>
              <w:top w:val="nil"/>
              <w:left w:val="nil"/>
              <w:bottom w:val="single" w:sz="4"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62,9</w:t>
            </w:r>
          </w:p>
        </w:tc>
        <w:tc>
          <w:tcPr>
            <w:tcW w:w="1011" w:type="dxa"/>
            <w:tcBorders>
              <w:top w:val="nil"/>
              <w:left w:val="nil"/>
              <w:bottom w:val="single" w:sz="4" w:space="0" w:color="auto"/>
              <w:right w:val="single" w:sz="6" w:space="0" w:color="auto"/>
            </w:tcBorders>
            <w:shd w:val="clear" w:color="auto" w:fill="auto"/>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59,3</w:t>
            </w:r>
          </w:p>
        </w:tc>
        <w:tc>
          <w:tcPr>
            <w:tcW w:w="1012" w:type="dxa"/>
            <w:tcBorders>
              <w:top w:val="nil"/>
              <w:left w:val="nil"/>
              <w:bottom w:val="single" w:sz="4" w:space="0" w:color="auto"/>
              <w:right w:val="single" w:sz="6"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69,8</w:t>
            </w:r>
          </w:p>
        </w:tc>
      </w:tr>
      <w:tr w:rsidR="009722A4" w:rsidRPr="009722A4" w:rsidTr="00DA26F3">
        <w:tblPrEx>
          <w:tblCellMar>
            <w:left w:w="70" w:type="dxa"/>
            <w:right w:w="70" w:type="dxa"/>
          </w:tblCellMar>
        </w:tblPrEx>
        <w:trPr>
          <w:gridBefore w:val="1"/>
          <w:gridAfter w:val="1"/>
          <w:wBefore w:w="15" w:type="dxa"/>
          <w:wAfter w:w="857" w:type="dxa"/>
          <w:trHeight w:val="254"/>
        </w:trPr>
        <w:tc>
          <w:tcPr>
            <w:tcW w:w="5169" w:type="dxa"/>
            <w:tcBorders>
              <w:top w:val="single" w:sz="4" w:space="0" w:color="auto"/>
              <w:left w:val="single" w:sz="4" w:space="0" w:color="auto"/>
              <w:bottom w:val="single" w:sz="4" w:space="0" w:color="auto"/>
              <w:right w:val="single" w:sz="4"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Compte courant extérieur  / PIB nom</w:t>
            </w:r>
          </w:p>
        </w:tc>
        <w:tc>
          <w:tcPr>
            <w:tcW w:w="1011" w:type="dxa"/>
            <w:tcBorders>
              <w:top w:val="single" w:sz="4" w:space="0" w:color="auto"/>
              <w:left w:val="single" w:sz="4" w:space="0" w:color="auto"/>
              <w:bottom w:val="single" w:sz="4" w:space="0" w:color="auto"/>
              <w:right w:val="single" w:sz="4" w:space="0" w:color="auto"/>
            </w:tcBorders>
            <w:vAlign w:val="bottom"/>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-7,2</w:t>
            </w:r>
          </w:p>
        </w:tc>
        <w:tc>
          <w:tcPr>
            <w:tcW w:w="1011" w:type="dxa"/>
            <w:tcBorders>
              <w:top w:val="single" w:sz="4" w:space="0" w:color="auto"/>
              <w:left w:val="single" w:sz="4" w:space="0" w:color="auto"/>
              <w:bottom w:val="single" w:sz="4" w:space="0" w:color="auto"/>
              <w:right w:val="single" w:sz="4" w:space="0" w:color="auto"/>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-9,6</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-8,2</w:t>
            </w:r>
          </w:p>
        </w:tc>
        <w:tc>
          <w:tcPr>
            <w:tcW w:w="1012" w:type="dxa"/>
            <w:tcBorders>
              <w:top w:val="single" w:sz="4" w:space="0" w:color="auto"/>
              <w:left w:val="single" w:sz="4" w:space="0" w:color="auto"/>
              <w:bottom w:val="single" w:sz="4" w:space="0" w:color="auto"/>
              <w:right w:val="single" w:sz="4" w:space="0" w:color="auto"/>
            </w:tcBorders>
          </w:tcPr>
          <w:p w:rsidR="009722A4" w:rsidRPr="009722A4" w:rsidRDefault="009722A4" w:rsidP="009722A4">
            <w:pPr>
              <w:rPr>
                <w:rFonts w:asciiTheme="minorHAnsi" w:hAnsiTheme="minorHAnsi" w:cstheme="minorHAnsi"/>
                <w:sz w:val="20"/>
                <w:szCs w:val="20"/>
              </w:rPr>
            </w:pPr>
            <w:r w:rsidRPr="009722A4">
              <w:rPr>
                <w:rFonts w:asciiTheme="minorHAnsi" w:hAnsiTheme="minorHAnsi" w:cstheme="minorHAnsi"/>
                <w:sz w:val="20"/>
                <w:szCs w:val="20"/>
              </w:rPr>
              <w:t>-1,8</w:t>
            </w:r>
          </w:p>
        </w:tc>
      </w:tr>
      <w:tr w:rsidR="009722A4" w:rsidRPr="009722A4" w:rsidTr="00DA26F3">
        <w:tblPrEx>
          <w:tblCellMar>
            <w:left w:w="70" w:type="dxa"/>
            <w:right w:w="70" w:type="dxa"/>
          </w:tblCellMar>
        </w:tblPrEx>
        <w:trPr>
          <w:gridBefore w:val="1"/>
          <w:wBefore w:w="15" w:type="dxa"/>
          <w:trHeight w:val="254"/>
        </w:trPr>
        <w:tc>
          <w:tcPr>
            <w:tcW w:w="9214" w:type="dxa"/>
            <w:gridSpan w:val="5"/>
            <w:tcBorders>
              <w:top w:val="single" w:sz="4" w:space="0" w:color="auto"/>
            </w:tcBorders>
            <w:vAlign w:val="bottom"/>
          </w:tcPr>
          <w:p w:rsidR="009722A4" w:rsidRPr="009722A4" w:rsidRDefault="009722A4" w:rsidP="009722A4">
            <w:pPr>
              <w:rPr>
                <w:rFonts w:asciiTheme="minorHAnsi" w:hAnsiTheme="minorHAnsi" w:cstheme="minorHAnsi"/>
                <w:b/>
                <w:bCs/>
                <w:i/>
                <w:iCs/>
                <w:sz w:val="20"/>
                <w:szCs w:val="20"/>
              </w:rPr>
            </w:pPr>
            <w:r w:rsidRPr="009722A4">
              <w:rPr>
                <w:rFonts w:asciiTheme="minorHAnsi" w:hAnsiTheme="minorHAnsi" w:cstheme="minorHAnsi"/>
                <w:b/>
                <w:bCs/>
                <w:i/>
                <w:iCs/>
                <w:sz w:val="20"/>
                <w:szCs w:val="20"/>
              </w:rPr>
              <w:t>Banque Centrale des Comores, DEEMF</w:t>
            </w:r>
          </w:p>
          <w:p w:rsidR="009722A4" w:rsidRPr="009722A4" w:rsidRDefault="009722A4" w:rsidP="009722A4">
            <w:pPr>
              <w:rPr>
                <w:rFonts w:asciiTheme="minorHAnsi" w:hAnsiTheme="minorHAnsi" w:cstheme="minorHAnsi"/>
                <w:b/>
                <w:bCs/>
                <w:i/>
                <w:iCs/>
                <w:sz w:val="20"/>
                <w:szCs w:val="20"/>
              </w:rPr>
            </w:pPr>
            <w:r w:rsidRPr="009722A4">
              <w:rPr>
                <w:rFonts w:asciiTheme="minorHAnsi" w:hAnsiTheme="minorHAnsi" w:cstheme="minorHAnsi"/>
                <w:b/>
                <w:bCs/>
                <w:i/>
                <w:iCs/>
                <w:sz w:val="20"/>
                <w:szCs w:val="20"/>
              </w:rPr>
              <w:t>* Estimations</w:t>
            </w:r>
          </w:p>
        </w:tc>
        <w:tc>
          <w:tcPr>
            <w:tcW w:w="857" w:type="dxa"/>
            <w:tcBorders>
              <w:top w:val="single" w:sz="4" w:space="0" w:color="auto"/>
            </w:tcBorders>
          </w:tcPr>
          <w:p w:rsidR="009722A4" w:rsidRPr="009722A4" w:rsidRDefault="009722A4" w:rsidP="009722A4">
            <w:pPr>
              <w:rPr>
                <w:rFonts w:asciiTheme="minorHAnsi" w:hAnsiTheme="minorHAnsi" w:cstheme="minorHAnsi"/>
                <w:b/>
                <w:bCs/>
                <w:i/>
                <w:iCs/>
                <w:sz w:val="20"/>
                <w:szCs w:val="20"/>
              </w:rPr>
            </w:pPr>
          </w:p>
        </w:tc>
      </w:tr>
    </w:tbl>
    <w:p w:rsidR="00B115C8" w:rsidRPr="00350FEA" w:rsidRDefault="00B115C8" w:rsidP="00350FEA">
      <w:pPr>
        <w:rPr>
          <w:rFonts w:asciiTheme="minorHAnsi" w:hAnsiTheme="minorHAnsi" w:cstheme="minorHAnsi"/>
          <w:sz w:val="20"/>
          <w:szCs w:val="20"/>
        </w:rPr>
      </w:pPr>
    </w:p>
    <w:sectPr w:rsidR="00B115C8" w:rsidRPr="00350FEA" w:rsidSect="00654DCF">
      <w:headerReference w:type="even" r:id="rId37"/>
      <w:headerReference w:type="default" r:id="rId38"/>
      <w:footerReference w:type="even" r:id="rId39"/>
      <w:footerReference w:type="default" r:id="rId40"/>
      <w:headerReference w:type="first" r:id="rId41"/>
      <w:footnotePr>
        <w:numRestart w:val="eachPage"/>
      </w:footnotePr>
      <w:type w:val="continuous"/>
      <w:pgSz w:w="11907" w:h="16839" w:code="9"/>
      <w:pgMar w:top="357" w:right="567" w:bottom="403" w:left="1418" w:header="709" w:footer="2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F1A" w:rsidRDefault="00805F1A" w:rsidP="00E25029">
      <w:r>
        <w:separator/>
      </w:r>
    </w:p>
  </w:endnote>
  <w:endnote w:type="continuationSeparator" w:id="0">
    <w:p w:rsidR="00805F1A" w:rsidRDefault="00805F1A" w:rsidP="00E25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g time">
    <w:altName w:val="Times New Roman"/>
    <w:panose1 w:val="00000000000000000000"/>
    <w:charset w:val="00"/>
    <w:family w:val="roman"/>
    <w:notTrueType/>
    <w:pitch w:val="default"/>
    <w:sig w:usb0="00000003" w:usb1="00000000" w:usb2="00000000" w:usb3="00000000" w:csb0="00000001" w:csb1="00000000"/>
  </w:font>
  <w:font w:name="Univers (PCL6)">
    <w:altName w:val="Arial"/>
    <w:charset w:val="00"/>
    <w:family w:val="swiss"/>
    <w:pitch w:val="variable"/>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7977955"/>
      <w:docPartObj>
        <w:docPartGallery w:val="Page Numbers (Bottom of Page)"/>
        <w:docPartUnique/>
      </w:docPartObj>
    </w:sdtPr>
    <w:sdtEndPr>
      <w:rPr>
        <w:rFonts w:asciiTheme="minorHAnsi" w:hAnsiTheme="minorHAnsi" w:cstheme="minorHAnsi"/>
      </w:rPr>
    </w:sdtEndPr>
    <w:sdtContent>
      <w:p w:rsidR="00C8774C" w:rsidRPr="00BE4353" w:rsidRDefault="00AD7D99" w:rsidP="00B716E5">
        <w:pPr>
          <w:pStyle w:val="Pieddepage"/>
          <w:pBdr>
            <w:top w:val="none" w:sz="0" w:space="0" w:color="auto"/>
          </w:pBdr>
          <w:jc w:val="right"/>
          <w:rPr>
            <w:rFonts w:asciiTheme="minorHAnsi" w:hAnsiTheme="minorHAnsi" w:cstheme="minorHAnsi"/>
          </w:rPr>
        </w:pPr>
        <w:r w:rsidRPr="00BE4353">
          <w:rPr>
            <w:rFonts w:asciiTheme="minorHAnsi" w:hAnsiTheme="minorHAnsi" w:cstheme="minorHAnsi"/>
          </w:rPr>
          <w:fldChar w:fldCharType="begin"/>
        </w:r>
        <w:r w:rsidR="00C8774C" w:rsidRPr="00BE4353">
          <w:rPr>
            <w:rFonts w:asciiTheme="minorHAnsi" w:hAnsiTheme="minorHAnsi" w:cstheme="minorHAnsi"/>
          </w:rPr>
          <w:instrText xml:space="preserve"> PAGE   \* MERGEFORMAT </w:instrText>
        </w:r>
        <w:r w:rsidRPr="00BE4353">
          <w:rPr>
            <w:rFonts w:asciiTheme="minorHAnsi" w:hAnsiTheme="minorHAnsi" w:cstheme="minorHAnsi"/>
          </w:rPr>
          <w:fldChar w:fldCharType="separate"/>
        </w:r>
        <w:r w:rsidR="00976CC8">
          <w:rPr>
            <w:rFonts w:asciiTheme="minorHAnsi" w:hAnsiTheme="minorHAnsi" w:cstheme="minorHAnsi"/>
            <w:noProof/>
          </w:rPr>
          <w:t>19</w:t>
        </w:r>
        <w:r w:rsidRPr="00BE4353">
          <w:rPr>
            <w:rFonts w:asciiTheme="minorHAnsi" w:hAnsiTheme="minorHAnsi" w:cstheme="minorHAnsi"/>
            <w:noProof/>
          </w:rPr>
          <w:fldChar w:fldCharType="end"/>
        </w:r>
      </w:p>
    </w:sdtContent>
  </w:sdt>
  <w:p w:rsidR="00C8774C" w:rsidRDefault="00C8774C" w:rsidP="00B716E5">
    <w:pPr>
      <w:pStyle w:val="Pieddepage"/>
      <w:pBdr>
        <w:top w:val="none" w:sz="0" w:space="0" w:color="auto"/>
      </w:pBd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74C" w:rsidRDefault="00C8774C" w:rsidP="00523FAF">
    <w:pPr>
      <w:pStyle w:val="Pieddepage"/>
      <w:pBdr>
        <w:top w:val="single" w:sz="6" w:space="0" w:color="auto"/>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74C" w:rsidRPr="0034711C" w:rsidRDefault="00AD7D99" w:rsidP="00962206">
    <w:pPr>
      <w:pStyle w:val="Pieddepage"/>
      <w:framePr w:wrap="around" w:vAnchor="text" w:hAnchor="margin" w:xAlign="right" w:y="1"/>
      <w:rPr>
        <w:rStyle w:val="Numrodepage"/>
        <w:sz w:val="20"/>
        <w:szCs w:val="20"/>
      </w:rPr>
    </w:pPr>
    <w:r w:rsidRPr="0034711C">
      <w:rPr>
        <w:rStyle w:val="Numrodepage"/>
        <w:sz w:val="20"/>
        <w:szCs w:val="20"/>
      </w:rPr>
      <w:fldChar w:fldCharType="begin"/>
    </w:r>
    <w:r w:rsidR="00C8774C" w:rsidRPr="0034711C">
      <w:rPr>
        <w:rStyle w:val="Numrodepage"/>
        <w:sz w:val="20"/>
        <w:szCs w:val="20"/>
      </w:rPr>
      <w:instrText xml:space="preserve">PAGE  </w:instrText>
    </w:r>
    <w:r w:rsidRPr="0034711C">
      <w:rPr>
        <w:rStyle w:val="Numrodepage"/>
        <w:sz w:val="20"/>
        <w:szCs w:val="20"/>
      </w:rPr>
      <w:fldChar w:fldCharType="separate"/>
    </w:r>
    <w:r w:rsidR="00C8774C">
      <w:rPr>
        <w:rStyle w:val="Numrodepage"/>
        <w:noProof/>
        <w:sz w:val="20"/>
        <w:szCs w:val="20"/>
      </w:rPr>
      <w:t>69</w:t>
    </w:r>
    <w:r w:rsidRPr="0034711C">
      <w:rPr>
        <w:rStyle w:val="Numrodepage"/>
        <w:sz w:val="20"/>
        <w:szCs w:val="20"/>
      </w:rPr>
      <w:fldChar w:fldCharType="end"/>
    </w:r>
  </w:p>
  <w:p w:rsidR="00C8774C" w:rsidRPr="0034711C" w:rsidRDefault="00C8774C" w:rsidP="00962206">
    <w:pPr>
      <w:pStyle w:val="Pieddepage"/>
      <w:ind w:right="360"/>
      <w:rPr>
        <w:sz w:val="20"/>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74C" w:rsidRPr="0034711C" w:rsidRDefault="00AD7D99" w:rsidP="00962206">
    <w:pPr>
      <w:pStyle w:val="Pieddepage"/>
      <w:framePr w:wrap="around" w:vAnchor="text" w:hAnchor="margin" w:xAlign="right" w:y="1"/>
      <w:rPr>
        <w:rStyle w:val="Numrodepage"/>
        <w:sz w:val="20"/>
        <w:szCs w:val="20"/>
      </w:rPr>
    </w:pPr>
    <w:r w:rsidRPr="0034711C">
      <w:rPr>
        <w:rStyle w:val="Numrodepage"/>
        <w:sz w:val="20"/>
        <w:szCs w:val="20"/>
      </w:rPr>
      <w:fldChar w:fldCharType="begin"/>
    </w:r>
    <w:r w:rsidR="00C8774C" w:rsidRPr="0034711C">
      <w:rPr>
        <w:rStyle w:val="Numrodepage"/>
        <w:sz w:val="20"/>
        <w:szCs w:val="20"/>
      </w:rPr>
      <w:instrText xml:space="preserve">PAGE  </w:instrText>
    </w:r>
    <w:r w:rsidRPr="0034711C">
      <w:rPr>
        <w:rStyle w:val="Numrodepage"/>
        <w:sz w:val="20"/>
        <w:szCs w:val="20"/>
      </w:rPr>
      <w:fldChar w:fldCharType="separate"/>
    </w:r>
    <w:r w:rsidR="00976CC8">
      <w:rPr>
        <w:rStyle w:val="Numrodepage"/>
        <w:noProof/>
        <w:sz w:val="20"/>
        <w:szCs w:val="20"/>
      </w:rPr>
      <w:t>70</w:t>
    </w:r>
    <w:r w:rsidRPr="0034711C">
      <w:rPr>
        <w:rStyle w:val="Numrodepage"/>
        <w:sz w:val="20"/>
        <w:szCs w:val="20"/>
      </w:rPr>
      <w:fldChar w:fldCharType="end"/>
    </w:r>
  </w:p>
  <w:p w:rsidR="00C8774C" w:rsidRPr="0034711C" w:rsidRDefault="00C8774C" w:rsidP="00962206">
    <w:pPr>
      <w:pStyle w:val="Pieddepage"/>
      <w:ind w:right="360"/>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F1A" w:rsidRDefault="00805F1A" w:rsidP="00E25029">
      <w:r>
        <w:separator/>
      </w:r>
    </w:p>
  </w:footnote>
  <w:footnote w:type="continuationSeparator" w:id="0">
    <w:p w:rsidR="00805F1A" w:rsidRDefault="00805F1A" w:rsidP="00E25029">
      <w:r>
        <w:continuationSeparator/>
      </w:r>
    </w:p>
  </w:footnote>
  <w:footnote w:id="1">
    <w:p w:rsidR="00C8774C" w:rsidRPr="00B12FC2" w:rsidRDefault="00C8774C" w:rsidP="00B12FC2">
      <w:pPr>
        <w:pStyle w:val="Notedebasdepage"/>
        <w:rPr>
          <w:rFonts w:asciiTheme="minorHAnsi" w:hAnsiTheme="minorHAnsi"/>
          <w:sz w:val="20"/>
          <w:szCs w:val="20"/>
        </w:rPr>
      </w:pPr>
      <w:r w:rsidRPr="00B12FC2">
        <w:rPr>
          <w:rStyle w:val="Appelnotedebasdep"/>
          <w:rFonts w:asciiTheme="minorHAnsi" w:hAnsiTheme="minorHAnsi"/>
          <w:sz w:val="20"/>
          <w:szCs w:val="20"/>
        </w:rPr>
        <w:footnoteRef/>
      </w:r>
      <w:r w:rsidRPr="00B12FC2">
        <w:rPr>
          <w:rFonts w:asciiTheme="minorHAnsi" w:hAnsiTheme="minorHAnsi"/>
          <w:sz w:val="20"/>
          <w:szCs w:val="20"/>
        </w:rPr>
        <w:t xml:space="preserve"> </w:t>
      </w:r>
      <w:r w:rsidRPr="00B12FC2">
        <w:rPr>
          <w:rFonts w:asciiTheme="minorHAnsi" w:hAnsiTheme="minorHAnsi"/>
          <w:color w:val="000000"/>
          <w:sz w:val="20"/>
          <w:szCs w:val="20"/>
        </w:rPr>
        <w:t>selon le FMI, dans ses prévisions de novembre 2015 actualisées en janvier 2016</w:t>
      </w:r>
    </w:p>
  </w:footnote>
  <w:footnote w:id="2">
    <w:p w:rsidR="00C8774C" w:rsidRPr="00D82F49" w:rsidRDefault="00C8774C" w:rsidP="008B4644">
      <w:pPr>
        <w:pStyle w:val="Notedebasdepage"/>
        <w:ind w:right="0"/>
        <w:jc w:val="both"/>
        <w:rPr>
          <w:rFonts w:ascii="Calibri" w:hAnsi="Calibri"/>
          <w:sz w:val="18"/>
          <w:szCs w:val="18"/>
          <w:lang w:val="fr-BE"/>
        </w:rPr>
      </w:pPr>
      <w:r w:rsidRPr="0034711C">
        <w:rPr>
          <w:rStyle w:val="Appelnotedebasdep"/>
          <w:sz w:val="15"/>
          <w:szCs w:val="15"/>
        </w:rPr>
        <w:footnoteRef/>
      </w:r>
      <w:r w:rsidRPr="00D82F49">
        <w:rPr>
          <w:rFonts w:ascii="Calibri" w:hAnsi="Calibri"/>
          <w:sz w:val="18"/>
          <w:szCs w:val="18"/>
          <w:lang w:val="fr-BE"/>
        </w:rPr>
        <w:t xml:space="preserve"> </w:t>
      </w:r>
      <w:r w:rsidRPr="00D82F49">
        <w:rPr>
          <w:rFonts w:ascii="Calibri" w:hAnsi="Calibri"/>
          <w:b/>
          <w:sz w:val="18"/>
          <w:szCs w:val="18"/>
          <w:lang w:val="fr-BE"/>
        </w:rPr>
        <w:t>En CEMAC :</w:t>
      </w:r>
      <w:r w:rsidRPr="00D82F49">
        <w:rPr>
          <w:rFonts w:ascii="Calibri" w:hAnsi="Calibri"/>
          <w:sz w:val="18"/>
          <w:szCs w:val="18"/>
          <w:lang w:val="fr-BE"/>
        </w:rPr>
        <w:t xml:space="preserve"> Solde budgétaire de base = recettes totales hors dons – dépenses courantes (y.c. prêts - recouvrements) – dépenses en capital sur ressources propres.</w:t>
      </w:r>
      <w:r w:rsidRPr="00D82F49">
        <w:rPr>
          <w:rFonts w:ascii="Calibri" w:hAnsi="Calibri"/>
          <w:b/>
          <w:sz w:val="18"/>
          <w:szCs w:val="18"/>
          <w:lang w:val="fr-BE"/>
        </w:rPr>
        <w:t xml:space="preserve"> </w:t>
      </w:r>
    </w:p>
  </w:footnote>
  <w:footnote w:id="3">
    <w:p w:rsidR="00C8774C" w:rsidRPr="00D45C31" w:rsidRDefault="00C8774C" w:rsidP="00DC6D52">
      <w:pPr>
        <w:pStyle w:val="Notedebasdepage"/>
        <w:ind w:right="0"/>
        <w:jc w:val="both"/>
        <w:rPr>
          <w:rFonts w:ascii="Calibri" w:hAnsi="Calibri"/>
          <w:sz w:val="17"/>
          <w:szCs w:val="17"/>
        </w:rPr>
      </w:pPr>
      <w:r w:rsidRPr="00D82F49">
        <w:rPr>
          <w:rStyle w:val="Appelnotedebasdep"/>
          <w:rFonts w:ascii="Calibri" w:hAnsi="Calibri"/>
          <w:sz w:val="18"/>
          <w:szCs w:val="18"/>
        </w:rPr>
        <w:footnoteRef/>
      </w:r>
      <w:r w:rsidRPr="00D82F49">
        <w:rPr>
          <w:rFonts w:ascii="Calibri" w:hAnsi="Calibri"/>
          <w:b/>
          <w:sz w:val="18"/>
          <w:szCs w:val="18"/>
        </w:rPr>
        <w:t>En CEMAC</w:t>
      </w:r>
      <w:r w:rsidRPr="00D82F49">
        <w:rPr>
          <w:rFonts w:ascii="Calibri" w:hAnsi="Calibri"/>
          <w:sz w:val="18"/>
          <w:szCs w:val="18"/>
        </w:rPr>
        <w:t xml:space="preserve"> : Le solde </w:t>
      </w:r>
      <w:r w:rsidRPr="00D82F49">
        <w:rPr>
          <w:rFonts w:ascii="Calibri" w:hAnsi="Calibri"/>
          <w:bCs/>
          <w:sz w:val="18"/>
          <w:szCs w:val="18"/>
          <w:lang w:val="fr-BE"/>
        </w:rPr>
        <w:t xml:space="preserve">budgétaire de base est corrigé </w:t>
      </w:r>
      <w:r w:rsidRPr="00D82F49">
        <w:rPr>
          <w:rFonts w:ascii="Calibri" w:hAnsi="Calibri"/>
          <w:sz w:val="18"/>
          <w:szCs w:val="18"/>
          <w:lang w:val="fr-BE"/>
        </w:rPr>
        <w:t>en substituant aux recettes pétrolières de l'année une valeur lissée, calculée en appliquant un taux d'imposition tendanciel à la valeur des exportations potentielles (c’est-à-dire la valeur moyenne sur 3 ans).</w:t>
      </w:r>
      <w:r w:rsidRPr="00D45C31">
        <w:rPr>
          <w:rFonts w:ascii="Calibri" w:hAnsi="Calibri"/>
          <w:sz w:val="15"/>
          <w:szCs w:val="15"/>
          <w:lang w:val="fr-BE"/>
        </w:rPr>
        <w:t xml:space="preserve">  </w:t>
      </w:r>
    </w:p>
  </w:footnote>
  <w:footnote w:id="4">
    <w:p w:rsidR="00C8774C" w:rsidRPr="00D02AC4" w:rsidRDefault="00C8774C" w:rsidP="00041BB8">
      <w:pPr>
        <w:pStyle w:val="Notedebasdepage"/>
        <w:jc w:val="both"/>
        <w:rPr>
          <w:rFonts w:asciiTheme="minorHAnsi" w:hAnsiTheme="minorHAnsi"/>
          <w:sz w:val="20"/>
          <w:szCs w:val="20"/>
          <w:lang w:val="fr-ML"/>
        </w:rPr>
      </w:pPr>
      <w:r w:rsidRPr="00144996">
        <w:rPr>
          <w:rStyle w:val="Appelnotedebasdep"/>
          <w:szCs w:val="18"/>
        </w:rPr>
        <w:footnoteRef/>
      </w:r>
      <w:r w:rsidRPr="00144996">
        <w:rPr>
          <w:szCs w:val="18"/>
        </w:rPr>
        <w:t xml:space="preserve"> </w:t>
      </w:r>
      <w:r w:rsidRPr="00D02AC4">
        <w:rPr>
          <w:rFonts w:asciiTheme="minorHAnsi" w:hAnsiTheme="minorHAnsi"/>
          <w:sz w:val="20"/>
          <w:szCs w:val="20"/>
        </w:rPr>
        <w:t xml:space="preserve">La méthode de calcul retenue pour ce critère est de substituer </w:t>
      </w:r>
      <w:r w:rsidRPr="00D02AC4">
        <w:rPr>
          <w:rFonts w:asciiTheme="minorHAnsi" w:hAnsiTheme="minorHAnsi"/>
          <w:sz w:val="20"/>
          <w:szCs w:val="20"/>
          <w:lang w:val="fr-ML"/>
        </w:rPr>
        <w:t>aux recettes pétrolières de l'année une valeur lissée, calculée en appliquant un taux d'imposition tendanciel à la valeur des exportations potentielles. Par manque d’informations, c’est la méthode des moyennes mobiles qui a été utilisée.</w:t>
      </w:r>
    </w:p>
  </w:footnote>
  <w:footnote w:id="5">
    <w:p w:rsidR="00C8774C" w:rsidRDefault="00C8774C" w:rsidP="009A564C">
      <w:pPr>
        <w:pStyle w:val="Notedebasdepage"/>
        <w:ind w:right="-1"/>
      </w:pPr>
      <w:r>
        <w:rPr>
          <w:rStyle w:val="Appelnotedebasdep"/>
        </w:rPr>
        <w:footnoteRef/>
      </w:r>
      <w:r>
        <w:t xml:space="preserve"> </w:t>
      </w:r>
      <w:r w:rsidRPr="00D82F49">
        <w:rPr>
          <w:rFonts w:ascii="Calibri" w:hAnsi="Calibri"/>
          <w:b/>
          <w:sz w:val="18"/>
          <w:szCs w:val="18"/>
          <w:lang w:val="fr-BE"/>
        </w:rPr>
        <w:t>Aux Comores :</w:t>
      </w:r>
      <w:r w:rsidRPr="00D82F49">
        <w:rPr>
          <w:rFonts w:ascii="Calibri" w:hAnsi="Calibri"/>
          <w:sz w:val="18"/>
          <w:szCs w:val="18"/>
          <w:lang w:val="fr-BE"/>
        </w:rPr>
        <w:t xml:space="preserve"> Solde budgétaire de base = </w:t>
      </w:r>
      <w:r w:rsidRPr="00D82F49">
        <w:rPr>
          <w:rFonts w:ascii="Calibri" w:hAnsi="Calibri"/>
          <w:sz w:val="18"/>
          <w:szCs w:val="18"/>
        </w:rPr>
        <w:t>Recettes totales (hors dons) – Dépenses totales (hors dépenses d’assistance technique financées sur ressources extérieures et hors investissements financés sur ressources extérieures)</w:t>
      </w:r>
    </w:p>
  </w:footnote>
  <w:footnote w:id="6">
    <w:p w:rsidR="00C8774C" w:rsidRPr="00144996" w:rsidRDefault="00C8774C" w:rsidP="0095508C">
      <w:pPr>
        <w:pStyle w:val="Notedebasdepage"/>
        <w:spacing w:before="2" w:after="2"/>
        <w:rPr>
          <w:szCs w:val="16"/>
        </w:rPr>
      </w:pPr>
      <w:r w:rsidRPr="00144996">
        <w:rPr>
          <w:rStyle w:val="Appelnotedebasdep"/>
          <w:szCs w:val="16"/>
        </w:rPr>
        <w:footnoteRef/>
      </w:r>
      <w:r w:rsidRPr="00144996">
        <w:rPr>
          <w:szCs w:val="16"/>
        </w:rPr>
        <w:t>Indicateur complémentaire de convergence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74C" w:rsidRDefault="00C8774C" w:rsidP="009040A0">
    <w:pPr>
      <w:pStyle w:val="En-tte"/>
      <w:pBdr>
        <w:bottom w:val="single" w:sz="4" w:space="2" w:color="auto"/>
      </w:pBdr>
      <w:jc w:val="right"/>
      <w:rPr>
        <w:rFonts w:asciiTheme="minorHAnsi" w:hAnsiTheme="minorHAnsi" w:cstheme="minorHAnsi"/>
      </w:rPr>
    </w:pPr>
    <w:r>
      <w:rPr>
        <w:rFonts w:asciiTheme="minorHAnsi" w:hAnsiTheme="minorHAnsi" w:cstheme="minorHAnsi"/>
      </w:rPr>
      <w:t>Comité de convergence – Rapport de printemps 2016 –</w:t>
    </w:r>
  </w:p>
  <w:p w:rsidR="00C8774C" w:rsidRPr="00BE4353" w:rsidRDefault="00C8774C" w:rsidP="009040A0">
    <w:pPr>
      <w:pStyle w:val="En-tte"/>
      <w:pBdr>
        <w:bottom w:val="none" w:sz="0" w:space="0" w:color="auto"/>
      </w:pBdr>
      <w:jc w:val="right"/>
      <w:rPr>
        <w:rFonts w:asciiTheme="minorHAnsi" w:hAnsiTheme="minorHAnsi" w:cstheme="minorHAns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74C" w:rsidRDefault="00C8774C">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74C" w:rsidRDefault="00C8774C">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74C" w:rsidRDefault="00C8774C">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EE8DDFC"/>
    <w:lvl w:ilvl="0">
      <w:start w:val="1"/>
      <w:numFmt w:val="bullet"/>
      <w:pStyle w:val="Listepuces3"/>
      <w:lvlText w:val=""/>
      <w:lvlJc w:val="left"/>
      <w:pPr>
        <w:tabs>
          <w:tab w:val="num" w:pos="926"/>
        </w:tabs>
        <w:ind w:left="926" w:hanging="360"/>
      </w:pPr>
      <w:rPr>
        <w:rFonts w:ascii="Symbol" w:hAnsi="Symbol" w:hint="default"/>
      </w:rPr>
    </w:lvl>
  </w:abstractNum>
  <w:abstractNum w:abstractNumId="1">
    <w:nsid w:val="FFFFFF89"/>
    <w:multiLevelType w:val="singleLevel"/>
    <w:tmpl w:val="48C04FBE"/>
    <w:lvl w:ilvl="0">
      <w:start w:val="1"/>
      <w:numFmt w:val="bullet"/>
      <w:pStyle w:val="Listepuces"/>
      <w:lvlText w:val=""/>
      <w:lvlJc w:val="left"/>
      <w:pPr>
        <w:tabs>
          <w:tab w:val="num" w:pos="720"/>
        </w:tabs>
        <w:ind w:left="720" w:hanging="720"/>
      </w:pPr>
      <w:rPr>
        <w:rFonts w:ascii="Symbol" w:hAnsi="Symbol" w:hint="default"/>
      </w:rPr>
    </w:lvl>
  </w:abstractNum>
  <w:abstractNum w:abstractNumId="2">
    <w:nsid w:val="FFFFFFFE"/>
    <w:multiLevelType w:val="singleLevel"/>
    <w:tmpl w:val="B4721800"/>
    <w:lvl w:ilvl="0">
      <w:numFmt w:val="bullet"/>
      <w:lvlText w:val="*"/>
      <w:lvlJc w:val="left"/>
      <w:pPr>
        <w:ind w:left="0" w:firstLine="0"/>
      </w:pPr>
    </w:lvl>
  </w:abstractNum>
  <w:abstractNum w:abstractNumId="3">
    <w:nsid w:val="00000001"/>
    <w:multiLevelType w:val="singleLevel"/>
    <w:tmpl w:val="28C4574E"/>
    <w:lvl w:ilvl="0">
      <w:start w:val="1"/>
      <w:numFmt w:val="lowerRoman"/>
      <w:lvlText w:val="%1) "/>
      <w:lvlJc w:val="right"/>
      <w:pPr>
        <w:ind w:left="720" w:hanging="360"/>
      </w:pPr>
      <w:rPr>
        <w:rFonts w:cs="Times New Roman" w:hint="default"/>
        <w:b/>
      </w:rPr>
    </w:lvl>
  </w:abstractNum>
  <w:abstractNum w:abstractNumId="4">
    <w:nsid w:val="00000002"/>
    <w:multiLevelType w:val="multilevel"/>
    <w:tmpl w:val="00000002"/>
    <w:name w:val="Puce 1"/>
    <w:lvl w:ilvl="0">
      <w:start w:val="1"/>
      <w:numFmt w:val="bullet"/>
      <w:lvlText w:val="–"/>
      <w:lvlJc w:val="left"/>
      <w:pPr>
        <w:tabs>
          <w:tab w:val="num" w:pos="283"/>
        </w:tabs>
        <w:ind w:left="283" w:hanging="283"/>
      </w:pPr>
      <w:rPr>
        <w:rFonts w:ascii="Arial" w:hAnsi="Arial"/>
      </w:rPr>
    </w:lvl>
    <w:lvl w:ilvl="1">
      <w:start w:val="1"/>
      <w:numFmt w:val="bullet"/>
      <w:lvlText w:val="–"/>
      <w:lvlJc w:val="left"/>
      <w:pPr>
        <w:tabs>
          <w:tab w:val="num" w:pos="510"/>
        </w:tabs>
        <w:ind w:left="510" w:hanging="283"/>
      </w:pPr>
      <w:rPr>
        <w:rFonts w:ascii="Arial" w:hAnsi="Arial"/>
      </w:rPr>
    </w:lvl>
    <w:lvl w:ilvl="2">
      <w:start w:val="1"/>
      <w:numFmt w:val="bullet"/>
      <w:lvlText w:val="–"/>
      <w:lvlJc w:val="left"/>
      <w:pPr>
        <w:tabs>
          <w:tab w:val="num" w:pos="736"/>
        </w:tabs>
        <w:ind w:left="736" w:hanging="283"/>
      </w:pPr>
      <w:rPr>
        <w:rFonts w:ascii="Arial" w:hAnsi="Arial"/>
      </w:rPr>
    </w:lvl>
    <w:lvl w:ilvl="3">
      <w:start w:val="1"/>
      <w:numFmt w:val="bullet"/>
      <w:lvlText w:val="–"/>
      <w:lvlJc w:val="left"/>
      <w:pPr>
        <w:tabs>
          <w:tab w:val="num" w:pos="963"/>
        </w:tabs>
        <w:ind w:left="963" w:hanging="283"/>
      </w:pPr>
      <w:rPr>
        <w:rFonts w:ascii="Arial" w:hAnsi="Arial"/>
      </w:rPr>
    </w:lvl>
    <w:lvl w:ilvl="4">
      <w:start w:val="1"/>
      <w:numFmt w:val="bullet"/>
      <w:lvlText w:val="–"/>
      <w:lvlJc w:val="left"/>
      <w:pPr>
        <w:tabs>
          <w:tab w:val="num" w:pos="1190"/>
        </w:tabs>
        <w:ind w:left="1190" w:hanging="283"/>
      </w:pPr>
      <w:rPr>
        <w:rFonts w:ascii="Arial" w:hAnsi="Arial"/>
      </w:rPr>
    </w:lvl>
    <w:lvl w:ilvl="5">
      <w:start w:val="1"/>
      <w:numFmt w:val="bullet"/>
      <w:lvlText w:val="–"/>
      <w:lvlJc w:val="left"/>
      <w:pPr>
        <w:tabs>
          <w:tab w:val="num" w:pos="1417"/>
        </w:tabs>
        <w:ind w:left="1417" w:hanging="283"/>
      </w:pPr>
      <w:rPr>
        <w:rFonts w:ascii="Arial" w:hAnsi="Arial"/>
      </w:rPr>
    </w:lvl>
    <w:lvl w:ilvl="6">
      <w:start w:val="1"/>
      <w:numFmt w:val="bullet"/>
      <w:lvlText w:val="–"/>
      <w:lvlJc w:val="left"/>
      <w:pPr>
        <w:tabs>
          <w:tab w:val="num" w:pos="1643"/>
        </w:tabs>
        <w:ind w:left="1643" w:hanging="283"/>
      </w:pPr>
      <w:rPr>
        <w:rFonts w:ascii="Arial" w:hAnsi="Arial"/>
      </w:rPr>
    </w:lvl>
    <w:lvl w:ilvl="7">
      <w:start w:val="1"/>
      <w:numFmt w:val="bullet"/>
      <w:lvlText w:val="–"/>
      <w:lvlJc w:val="left"/>
      <w:pPr>
        <w:tabs>
          <w:tab w:val="num" w:pos="1870"/>
        </w:tabs>
        <w:ind w:left="1870" w:hanging="283"/>
      </w:pPr>
      <w:rPr>
        <w:rFonts w:ascii="Arial" w:hAnsi="Arial"/>
      </w:rPr>
    </w:lvl>
    <w:lvl w:ilvl="8">
      <w:start w:val="1"/>
      <w:numFmt w:val="bullet"/>
      <w:lvlText w:val="–"/>
      <w:lvlJc w:val="left"/>
      <w:pPr>
        <w:tabs>
          <w:tab w:val="num" w:pos="2097"/>
        </w:tabs>
        <w:ind w:left="2097" w:hanging="283"/>
      </w:pPr>
      <w:rPr>
        <w:rFonts w:ascii="Arial" w:hAnsi="Arial"/>
      </w:rPr>
    </w:lvl>
  </w:abstractNum>
  <w:abstractNum w:abstractNumId="5">
    <w:nsid w:val="00000003"/>
    <w:multiLevelType w:val="singleLevel"/>
    <w:tmpl w:val="28C4574E"/>
    <w:lvl w:ilvl="0">
      <w:start w:val="1"/>
      <w:numFmt w:val="lowerRoman"/>
      <w:lvlText w:val="%1) "/>
      <w:lvlJc w:val="right"/>
      <w:pPr>
        <w:ind w:left="720" w:hanging="360"/>
      </w:pPr>
      <w:rPr>
        <w:rFonts w:cs="Times New Roman" w:hint="default"/>
        <w:b/>
      </w:rPr>
    </w:lvl>
  </w:abstractNum>
  <w:abstractNum w:abstractNumId="6">
    <w:nsid w:val="00000004"/>
    <w:multiLevelType w:val="multilevel"/>
    <w:tmpl w:val="70307128"/>
    <w:name w:val="WW8Num4"/>
    <w:lvl w:ilvl="0">
      <w:start w:val="1"/>
      <w:numFmt w:val="bullet"/>
      <w:lvlText w:val=""/>
      <w:lvlJc w:val="left"/>
      <w:pPr>
        <w:tabs>
          <w:tab w:val="num" w:pos="0"/>
        </w:tabs>
        <w:ind w:left="1140" w:hanging="360"/>
      </w:pPr>
      <w:rPr>
        <w:rFonts w:ascii="Wingdings" w:hAnsi="Wingdings" w:hint="default"/>
      </w:rPr>
    </w:lvl>
    <w:lvl w:ilvl="1">
      <w:start w:val="1"/>
      <w:numFmt w:val="bullet"/>
      <w:lvlText w:val="o"/>
      <w:lvlJc w:val="left"/>
      <w:pPr>
        <w:tabs>
          <w:tab w:val="num" w:pos="0"/>
        </w:tabs>
        <w:ind w:left="1860" w:hanging="360"/>
      </w:pPr>
      <w:rPr>
        <w:rFonts w:ascii="Courier New" w:hAnsi="Courier New" w:cs="Courier New"/>
      </w:rPr>
    </w:lvl>
    <w:lvl w:ilvl="2">
      <w:start w:val="1"/>
      <w:numFmt w:val="bullet"/>
      <w:lvlText w:val=""/>
      <w:lvlJc w:val="left"/>
      <w:pPr>
        <w:tabs>
          <w:tab w:val="num" w:pos="0"/>
        </w:tabs>
        <w:ind w:left="2580" w:hanging="360"/>
      </w:pPr>
      <w:rPr>
        <w:rFonts w:ascii="Wingdings" w:hAnsi="Wingdings" w:cs="Wingdings"/>
      </w:rPr>
    </w:lvl>
    <w:lvl w:ilvl="3">
      <w:start w:val="1"/>
      <w:numFmt w:val="bullet"/>
      <w:lvlText w:val=""/>
      <w:lvlJc w:val="left"/>
      <w:pPr>
        <w:tabs>
          <w:tab w:val="num" w:pos="0"/>
        </w:tabs>
        <w:ind w:left="3300" w:hanging="360"/>
      </w:pPr>
      <w:rPr>
        <w:rFonts w:ascii="Symbol" w:hAnsi="Symbol" w:cs="Symbol"/>
      </w:rPr>
    </w:lvl>
    <w:lvl w:ilvl="4">
      <w:start w:val="1"/>
      <w:numFmt w:val="bullet"/>
      <w:lvlText w:val="o"/>
      <w:lvlJc w:val="left"/>
      <w:pPr>
        <w:tabs>
          <w:tab w:val="num" w:pos="0"/>
        </w:tabs>
        <w:ind w:left="4020" w:hanging="360"/>
      </w:pPr>
      <w:rPr>
        <w:rFonts w:ascii="Courier New" w:hAnsi="Courier New" w:cs="Courier New"/>
      </w:rPr>
    </w:lvl>
    <w:lvl w:ilvl="5">
      <w:start w:val="1"/>
      <w:numFmt w:val="bullet"/>
      <w:lvlText w:val=""/>
      <w:lvlJc w:val="left"/>
      <w:pPr>
        <w:tabs>
          <w:tab w:val="num" w:pos="0"/>
        </w:tabs>
        <w:ind w:left="4740" w:hanging="360"/>
      </w:pPr>
      <w:rPr>
        <w:rFonts w:ascii="Wingdings" w:hAnsi="Wingdings" w:cs="Wingdings"/>
      </w:rPr>
    </w:lvl>
    <w:lvl w:ilvl="6">
      <w:start w:val="1"/>
      <w:numFmt w:val="bullet"/>
      <w:lvlText w:val=""/>
      <w:lvlJc w:val="left"/>
      <w:pPr>
        <w:tabs>
          <w:tab w:val="num" w:pos="0"/>
        </w:tabs>
        <w:ind w:left="5460" w:hanging="360"/>
      </w:pPr>
      <w:rPr>
        <w:rFonts w:ascii="Symbol" w:hAnsi="Symbol" w:cs="Symbol"/>
      </w:rPr>
    </w:lvl>
    <w:lvl w:ilvl="7">
      <w:start w:val="1"/>
      <w:numFmt w:val="bullet"/>
      <w:lvlText w:val="o"/>
      <w:lvlJc w:val="left"/>
      <w:pPr>
        <w:tabs>
          <w:tab w:val="num" w:pos="0"/>
        </w:tabs>
        <w:ind w:left="6180" w:hanging="360"/>
      </w:pPr>
      <w:rPr>
        <w:rFonts w:ascii="Courier New" w:hAnsi="Courier New" w:cs="Courier New"/>
      </w:rPr>
    </w:lvl>
    <w:lvl w:ilvl="8">
      <w:start w:val="1"/>
      <w:numFmt w:val="bullet"/>
      <w:lvlText w:val=""/>
      <w:lvlJc w:val="left"/>
      <w:pPr>
        <w:tabs>
          <w:tab w:val="num" w:pos="0"/>
        </w:tabs>
        <w:ind w:left="6900" w:hanging="360"/>
      </w:pPr>
      <w:rPr>
        <w:rFonts w:ascii="Wingdings" w:hAnsi="Wingdings" w:cs="Wingdings"/>
      </w:rPr>
    </w:lvl>
  </w:abstractNum>
  <w:abstractNum w:abstractNumId="7">
    <w:nsid w:val="0DCE415A"/>
    <w:multiLevelType w:val="hybridMultilevel"/>
    <w:tmpl w:val="BE6E023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4105CA9"/>
    <w:multiLevelType w:val="hybridMultilevel"/>
    <w:tmpl w:val="305A54D4"/>
    <w:lvl w:ilvl="0" w:tplc="AB42A052">
      <w:start w:val="1"/>
      <w:numFmt w:val="decimal"/>
      <w:pStyle w:val="ParagraphNumbering"/>
      <w:lvlText w:val="%1.     "/>
      <w:lvlJc w:val="left"/>
      <w:pPr>
        <w:tabs>
          <w:tab w:val="num" w:pos="720"/>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AA31222"/>
    <w:multiLevelType w:val="hybridMultilevel"/>
    <w:tmpl w:val="A97EF8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0952717"/>
    <w:multiLevelType w:val="multilevel"/>
    <w:tmpl w:val="AF7A855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271C2345"/>
    <w:multiLevelType w:val="hybridMultilevel"/>
    <w:tmpl w:val="796A34F8"/>
    <w:lvl w:ilvl="0" w:tplc="A3F8F7B6">
      <w:numFmt w:val="bullet"/>
      <w:lvlText w:val="•"/>
      <w:lvlJc w:val="left"/>
      <w:pPr>
        <w:ind w:left="720" w:hanging="360"/>
      </w:pPr>
      <w:rPr>
        <w:rFonts w:ascii="Century Gothic" w:eastAsia="Times New Roman" w:hAnsi="Century Gothic"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93923F8"/>
    <w:multiLevelType w:val="hybridMultilevel"/>
    <w:tmpl w:val="385C832A"/>
    <w:lvl w:ilvl="0" w:tplc="040C000F">
      <w:start w:val="1"/>
      <w:numFmt w:val="decimal"/>
      <w:lvlText w:val="%1."/>
      <w:lvlJc w:val="left"/>
      <w:pPr>
        <w:ind w:left="1069" w:hanging="360"/>
      </w:pPr>
      <w:rPr>
        <w:rFonts w:cs="Times New Roman" w:hint="default"/>
      </w:rPr>
    </w:lvl>
    <w:lvl w:ilvl="1" w:tplc="040C0019">
      <w:start w:val="1"/>
      <w:numFmt w:val="lowerLetter"/>
      <w:lvlText w:val="%2."/>
      <w:lvlJc w:val="left"/>
      <w:pPr>
        <w:ind w:left="1789" w:hanging="360"/>
      </w:pPr>
      <w:rPr>
        <w:rFonts w:cs="Times New Roman"/>
      </w:rPr>
    </w:lvl>
    <w:lvl w:ilvl="2" w:tplc="040C001B">
      <w:start w:val="1"/>
      <w:numFmt w:val="lowerRoman"/>
      <w:lvlText w:val="%3."/>
      <w:lvlJc w:val="right"/>
      <w:pPr>
        <w:ind w:left="2509" w:hanging="180"/>
      </w:pPr>
      <w:rPr>
        <w:rFonts w:cs="Times New Roman"/>
      </w:rPr>
    </w:lvl>
    <w:lvl w:ilvl="3" w:tplc="040C000F">
      <w:start w:val="1"/>
      <w:numFmt w:val="decimal"/>
      <w:lvlText w:val="%4."/>
      <w:lvlJc w:val="left"/>
      <w:pPr>
        <w:ind w:left="3229" w:hanging="360"/>
      </w:pPr>
      <w:rPr>
        <w:rFonts w:cs="Times New Roman"/>
      </w:rPr>
    </w:lvl>
    <w:lvl w:ilvl="4" w:tplc="040C0019">
      <w:start w:val="1"/>
      <w:numFmt w:val="lowerLetter"/>
      <w:lvlText w:val="%5."/>
      <w:lvlJc w:val="left"/>
      <w:pPr>
        <w:ind w:left="3949" w:hanging="360"/>
      </w:pPr>
      <w:rPr>
        <w:rFonts w:cs="Times New Roman"/>
      </w:rPr>
    </w:lvl>
    <w:lvl w:ilvl="5" w:tplc="040C001B">
      <w:start w:val="1"/>
      <w:numFmt w:val="lowerRoman"/>
      <w:lvlText w:val="%6."/>
      <w:lvlJc w:val="right"/>
      <w:pPr>
        <w:ind w:left="4669" w:hanging="180"/>
      </w:pPr>
      <w:rPr>
        <w:rFonts w:cs="Times New Roman"/>
      </w:rPr>
    </w:lvl>
    <w:lvl w:ilvl="6" w:tplc="040C000F">
      <w:start w:val="1"/>
      <w:numFmt w:val="decimal"/>
      <w:lvlText w:val="%7."/>
      <w:lvlJc w:val="left"/>
      <w:pPr>
        <w:ind w:left="5389" w:hanging="360"/>
      </w:pPr>
      <w:rPr>
        <w:rFonts w:cs="Times New Roman"/>
      </w:rPr>
    </w:lvl>
    <w:lvl w:ilvl="7" w:tplc="040C0019">
      <w:start w:val="1"/>
      <w:numFmt w:val="lowerLetter"/>
      <w:lvlText w:val="%8."/>
      <w:lvlJc w:val="left"/>
      <w:pPr>
        <w:ind w:left="6109" w:hanging="360"/>
      </w:pPr>
      <w:rPr>
        <w:rFonts w:cs="Times New Roman"/>
      </w:rPr>
    </w:lvl>
    <w:lvl w:ilvl="8" w:tplc="040C001B">
      <w:start w:val="1"/>
      <w:numFmt w:val="lowerRoman"/>
      <w:lvlText w:val="%9."/>
      <w:lvlJc w:val="right"/>
      <w:pPr>
        <w:ind w:left="6829" w:hanging="180"/>
      </w:pPr>
      <w:rPr>
        <w:rFonts w:cs="Times New Roman"/>
      </w:rPr>
    </w:lvl>
  </w:abstractNum>
  <w:abstractNum w:abstractNumId="13">
    <w:nsid w:val="2AF06606"/>
    <w:multiLevelType w:val="hybridMultilevel"/>
    <w:tmpl w:val="872E50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E971B1E"/>
    <w:multiLevelType w:val="hybridMultilevel"/>
    <w:tmpl w:val="13C26E50"/>
    <w:lvl w:ilvl="0" w:tplc="6400E5CE">
      <w:start w:val="1"/>
      <w:numFmt w:val="bullet"/>
      <w:lvlText w:val=""/>
      <w:lvlJc w:val="left"/>
      <w:pPr>
        <w:tabs>
          <w:tab w:val="num" w:pos="360"/>
        </w:tabs>
        <w:ind w:left="360" w:hanging="360"/>
      </w:pPr>
      <w:rPr>
        <w:rFonts w:ascii="Symbol" w:hAnsi="Symbol" w:hint="default"/>
      </w:rPr>
    </w:lvl>
    <w:lvl w:ilvl="1" w:tplc="04090019">
      <w:start w:val="1"/>
      <w:numFmt w:val="bullet"/>
      <w:lvlText w:val=""/>
      <w:lvlJc w:val="left"/>
      <w:pPr>
        <w:tabs>
          <w:tab w:val="num" w:pos="947"/>
        </w:tabs>
        <w:ind w:left="720"/>
      </w:pPr>
      <w:rPr>
        <w:rFonts w:ascii="Symbol" w:hAnsi="Symbol" w:hint="default"/>
      </w:rPr>
    </w:lvl>
    <w:lvl w:ilvl="2" w:tplc="0409001B">
      <w:start w:val="1"/>
      <w:numFmt w:val="bullet"/>
      <w:lvlText w:val=""/>
      <w:lvlJc w:val="left"/>
      <w:pPr>
        <w:tabs>
          <w:tab w:val="num" w:pos="1800"/>
        </w:tabs>
        <w:ind w:left="1800" w:hanging="360"/>
      </w:pPr>
      <w:rPr>
        <w:rFonts w:ascii="Wingdings" w:hAnsi="Wingdings" w:hint="default"/>
      </w:rPr>
    </w:lvl>
    <w:lvl w:ilvl="3" w:tplc="0409000F">
      <w:start w:val="1"/>
      <w:numFmt w:val="bullet"/>
      <w:lvlText w:val=""/>
      <w:lvlJc w:val="left"/>
      <w:pPr>
        <w:tabs>
          <w:tab w:val="num" w:pos="2520"/>
        </w:tabs>
        <w:ind w:left="2520" w:hanging="360"/>
      </w:pPr>
      <w:rPr>
        <w:rFonts w:ascii="Symbol" w:hAnsi="Symbol" w:hint="default"/>
      </w:rPr>
    </w:lvl>
    <w:lvl w:ilvl="4" w:tplc="04090019">
      <w:start w:val="1"/>
      <w:numFmt w:val="bullet"/>
      <w:lvlText w:val="o"/>
      <w:lvlJc w:val="left"/>
      <w:pPr>
        <w:tabs>
          <w:tab w:val="num" w:pos="3240"/>
        </w:tabs>
        <w:ind w:left="3240" w:hanging="360"/>
      </w:pPr>
      <w:rPr>
        <w:rFonts w:ascii="Courier New" w:hAnsi="Courier New" w:hint="default"/>
      </w:rPr>
    </w:lvl>
    <w:lvl w:ilvl="5" w:tplc="0409001B">
      <w:start w:val="1"/>
      <w:numFmt w:val="bullet"/>
      <w:lvlText w:val=""/>
      <w:lvlJc w:val="left"/>
      <w:pPr>
        <w:tabs>
          <w:tab w:val="num" w:pos="3960"/>
        </w:tabs>
        <w:ind w:left="3960" w:hanging="360"/>
      </w:pPr>
      <w:rPr>
        <w:rFonts w:ascii="Wingdings" w:hAnsi="Wingdings" w:hint="default"/>
      </w:rPr>
    </w:lvl>
    <w:lvl w:ilvl="6" w:tplc="0409000F">
      <w:start w:val="1"/>
      <w:numFmt w:val="bullet"/>
      <w:lvlText w:val=""/>
      <w:lvlJc w:val="left"/>
      <w:pPr>
        <w:tabs>
          <w:tab w:val="num" w:pos="4680"/>
        </w:tabs>
        <w:ind w:left="4680" w:hanging="360"/>
      </w:pPr>
      <w:rPr>
        <w:rFonts w:ascii="Symbol" w:hAnsi="Symbol" w:hint="default"/>
      </w:rPr>
    </w:lvl>
    <w:lvl w:ilvl="7" w:tplc="04090019">
      <w:start w:val="1"/>
      <w:numFmt w:val="bullet"/>
      <w:lvlText w:val="o"/>
      <w:lvlJc w:val="left"/>
      <w:pPr>
        <w:tabs>
          <w:tab w:val="num" w:pos="5400"/>
        </w:tabs>
        <w:ind w:left="5400" w:hanging="360"/>
      </w:pPr>
      <w:rPr>
        <w:rFonts w:ascii="Courier New" w:hAnsi="Courier New" w:hint="default"/>
      </w:rPr>
    </w:lvl>
    <w:lvl w:ilvl="8" w:tplc="0409001B">
      <w:start w:val="1"/>
      <w:numFmt w:val="bullet"/>
      <w:lvlText w:val=""/>
      <w:lvlJc w:val="left"/>
      <w:pPr>
        <w:tabs>
          <w:tab w:val="num" w:pos="6120"/>
        </w:tabs>
        <w:ind w:left="6120" w:hanging="360"/>
      </w:pPr>
      <w:rPr>
        <w:rFonts w:ascii="Wingdings" w:hAnsi="Wingdings" w:hint="default"/>
      </w:rPr>
    </w:lvl>
  </w:abstractNum>
  <w:abstractNum w:abstractNumId="15">
    <w:nsid w:val="32953EE8"/>
    <w:multiLevelType w:val="singleLevel"/>
    <w:tmpl w:val="121AAFD8"/>
    <w:lvl w:ilvl="0">
      <w:start w:val="1"/>
      <w:numFmt w:val="upperRoman"/>
      <w:pStyle w:val="Titre9"/>
      <w:lvlText w:val="%1."/>
      <w:lvlJc w:val="left"/>
      <w:pPr>
        <w:tabs>
          <w:tab w:val="num" w:pos="720"/>
        </w:tabs>
        <w:ind w:left="720" w:hanging="720"/>
      </w:pPr>
      <w:rPr>
        <w:rFonts w:hint="default"/>
      </w:rPr>
    </w:lvl>
  </w:abstractNum>
  <w:abstractNum w:abstractNumId="16">
    <w:nsid w:val="34E86DB8"/>
    <w:multiLevelType w:val="hybridMultilevel"/>
    <w:tmpl w:val="7A688A28"/>
    <w:lvl w:ilvl="0" w:tplc="040C0001">
      <w:start w:val="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52B0125"/>
    <w:multiLevelType w:val="hybridMultilevel"/>
    <w:tmpl w:val="95D46378"/>
    <w:lvl w:ilvl="0" w:tplc="4AAE7E66">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nsid w:val="36FE708B"/>
    <w:multiLevelType w:val="hybridMultilevel"/>
    <w:tmpl w:val="8B64E01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3ACD047F"/>
    <w:multiLevelType w:val="hybridMultilevel"/>
    <w:tmpl w:val="762252EE"/>
    <w:lvl w:ilvl="0" w:tplc="C5F8572E">
      <w:numFmt w:val="bullet"/>
      <w:lvlText w:val="-"/>
      <w:lvlJc w:val="left"/>
      <w:pPr>
        <w:ind w:left="360" w:hanging="360"/>
      </w:pPr>
      <w:rPr>
        <w:rFonts w:ascii="Book Antiqua" w:eastAsia="Times New Roman" w:hAnsi="Book Antiqua"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nsid w:val="3EA21B01"/>
    <w:multiLevelType w:val="multilevel"/>
    <w:tmpl w:val="4EDCA8F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3EE80198"/>
    <w:multiLevelType w:val="hybridMultilevel"/>
    <w:tmpl w:val="AA3C50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2254C5D"/>
    <w:multiLevelType w:val="hybridMultilevel"/>
    <w:tmpl w:val="4FB2DAFA"/>
    <w:lvl w:ilvl="0" w:tplc="37AC1FC6">
      <w:start w:val="1"/>
      <w:numFmt w:val="decimal"/>
      <w:pStyle w:val="TitreNiveau1"/>
      <w:lvlText w:val="%1."/>
      <w:lvlJc w:val="left"/>
      <w:pPr>
        <w:ind w:left="720" w:hanging="360"/>
      </w:pPr>
      <w:rPr>
        <w:rFonts w:ascii="Calibri" w:hAnsi="Calibri"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42E63C4D"/>
    <w:multiLevelType w:val="hybridMultilevel"/>
    <w:tmpl w:val="126655A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nsid w:val="43C64508"/>
    <w:multiLevelType w:val="hybridMultilevel"/>
    <w:tmpl w:val="2DBE50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6252D93"/>
    <w:multiLevelType w:val="multilevel"/>
    <w:tmpl w:val="550C2708"/>
    <w:lvl w:ilvl="0">
      <w:start w:val="1"/>
      <w:numFmt w:val="decimal"/>
      <w:pStyle w:val="Titre11Titre1beftitre2"/>
      <w:lvlText w:val="%1"/>
      <w:lvlJc w:val="left"/>
      <w:pPr>
        <w:tabs>
          <w:tab w:val="num" w:pos="360"/>
        </w:tabs>
        <w:ind w:left="0" w:firstLine="0"/>
      </w:pPr>
      <w:rPr>
        <w:rFonts w:ascii="Arial" w:hAnsi="Arial" w:hint="default"/>
        <w:sz w:val="28"/>
      </w:rPr>
    </w:lvl>
    <w:lvl w:ilvl="1">
      <w:start w:val="1"/>
      <w:numFmt w:val="decimal"/>
      <w:pStyle w:val="Titre211Titre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nsid w:val="46794364"/>
    <w:multiLevelType w:val="hybridMultilevel"/>
    <w:tmpl w:val="1ED40E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4B3045CB"/>
    <w:multiLevelType w:val="hybridMultilevel"/>
    <w:tmpl w:val="10B2F63C"/>
    <w:lvl w:ilvl="0" w:tplc="61F6AF3C">
      <w:start w:val="3"/>
      <w:numFmt w:val="bullet"/>
      <w:lvlText w:val="-"/>
      <w:lvlJc w:val="left"/>
      <w:pPr>
        <w:ind w:left="1068" w:hanging="360"/>
      </w:pPr>
      <w:rPr>
        <w:rFonts w:ascii="Times New Roman" w:eastAsia="Times New Roma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8">
    <w:nsid w:val="4BF9547F"/>
    <w:multiLevelType w:val="hybridMultilevel"/>
    <w:tmpl w:val="901C11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50C14626"/>
    <w:multiLevelType w:val="hybridMultilevel"/>
    <w:tmpl w:val="B24EF8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48C44EC"/>
    <w:multiLevelType w:val="multilevel"/>
    <w:tmpl w:val="CDE451B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574C4522"/>
    <w:multiLevelType w:val="hybridMultilevel"/>
    <w:tmpl w:val="BE7402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AC15A5B"/>
    <w:multiLevelType w:val="hybridMultilevel"/>
    <w:tmpl w:val="022A5FC2"/>
    <w:lvl w:ilvl="0" w:tplc="A636FD32">
      <w:start w:val="11"/>
      <w:numFmt w:val="bullet"/>
      <w:lvlText w:val="-"/>
      <w:lvlJc w:val="left"/>
      <w:pPr>
        <w:ind w:left="860" w:hanging="50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5E801641"/>
    <w:multiLevelType w:val="hybridMultilevel"/>
    <w:tmpl w:val="39E2265C"/>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4">
    <w:nsid w:val="606C4EFF"/>
    <w:multiLevelType w:val="hybridMultilevel"/>
    <w:tmpl w:val="B1EE9B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33F2E2F"/>
    <w:multiLevelType w:val="hybridMultilevel"/>
    <w:tmpl w:val="FA2E43EC"/>
    <w:lvl w:ilvl="0" w:tplc="040C0013">
      <w:start w:val="1"/>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4211134"/>
    <w:multiLevelType w:val="hybridMultilevel"/>
    <w:tmpl w:val="77F2DA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8D329E9"/>
    <w:multiLevelType w:val="multilevel"/>
    <w:tmpl w:val="11F64EBE"/>
    <w:lvl w:ilvl="0">
      <w:start w:val="1"/>
      <w:numFmt w:val="decimal"/>
      <w:suff w:val="space"/>
      <w:lvlText w:val="%1."/>
      <w:lvlJc w:val="left"/>
      <w:pPr>
        <w:ind w:left="142" w:firstLine="0"/>
      </w:pPr>
    </w:lvl>
    <w:lvl w:ilvl="1">
      <w:start w:val="1"/>
      <w:numFmt w:val="decimal"/>
      <w:pStyle w:val="Titre2"/>
      <w:suff w:val="space"/>
      <w:lvlText w:val="%1.%2."/>
      <w:lvlJc w:val="left"/>
      <w:pPr>
        <w:ind w:left="1135" w:firstLine="0"/>
      </w:pPr>
      <w:rPr>
        <w:rFonts w:asciiTheme="minorHAnsi" w:hAnsiTheme="minorHAnsi"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Titre3"/>
      <w:suff w:val="space"/>
      <w:lvlText w:val="%1.%2.%3."/>
      <w:lvlJc w:val="left"/>
      <w:pPr>
        <w:ind w:left="0" w:firstLine="0"/>
      </w:pPr>
    </w:lvl>
    <w:lvl w:ilvl="3">
      <w:start w:val="1"/>
      <w:numFmt w:val="decimal"/>
      <w:pStyle w:val="Titre4"/>
      <w:suff w:val="space"/>
      <w:lvlText w:val="%1.%2.%3.%4."/>
      <w:lvlJc w:val="left"/>
      <w:pPr>
        <w:ind w:left="0" w:firstLine="0"/>
      </w:pPr>
    </w:lvl>
    <w:lvl w:ilvl="4">
      <w:start w:val="1"/>
      <w:numFmt w:val="none"/>
      <w:pStyle w:val="Titre5"/>
      <w:suff w:val="nothing"/>
      <w:lvlText w:val=""/>
      <w:lvlJc w:val="left"/>
      <w:pPr>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8">
    <w:nsid w:val="6D3547BE"/>
    <w:multiLevelType w:val="hybridMultilevel"/>
    <w:tmpl w:val="1DDABD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73931FB7"/>
    <w:multiLevelType w:val="multilevel"/>
    <w:tmpl w:val="463A8DDA"/>
    <w:lvl w:ilvl="0">
      <w:start w:val="1"/>
      <w:numFmt w:val="decimal"/>
      <w:pStyle w:val="titreI"/>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73DF789B"/>
    <w:multiLevelType w:val="hybridMultilevel"/>
    <w:tmpl w:val="84DC61DE"/>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1">
    <w:nsid w:val="74413EF8"/>
    <w:multiLevelType w:val="hybridMultilevel"/>
    <w:tmpl w:val="25AA3BD8"/>
    <w:lvl w:ilvl="0" w:tplc="040C0013">
      <w:start w:val="1"/>
      <w:numFmt w:val="bullet"/>
      <w:lvlText w:val="-"/>
      <w:lvlJc w:val="left"/>
      <w:pPr>
        <w:tabs>
          <w:tab w:val="num" w:pos="-1065"/>
        </w:tabs>
        <w:ind w:left="-1065" w:hanging="360"/>
      </w:pPr>
      <w:rPr>
        <w:rFonts w:ascii="Book Antiqua" w:eastAsia="Times New Roman" w:hAnsi="Book Antiqua" w:cs="Times New Roman" w:hint="default"/>
      </w:rPr>
    </w:lvl>
    <w:lvl w:ilvl="1" w:tplc="040C0019">
      <w:start w:val="1"/>
      <w:numFmt w:val="bullet"/>
      <w:lvlText w:val="o"/>
      <w:lvlJc w:val="left"/>
      <w:pPr>
        <w:tabs>
          <w:tab w:val="num" w:pos="-345"/>
        </w:tabs>
        <w:ind w:left="-345" w:hanging="360"/>
      </w:pPr>
      <w:rPr>
        <w:rFonts w:ascii="Courier New" w:hAnsi="Courier New" w:cs="Courier New" w:hint="default"/>
      </w:rPr>
    </w:lvl>
    <w:lvl w:ilvl="2" w:tplc="040C001B">
      <w:start w:val="1"/>
      <w:numFmt w:val="bullet"/>
      <w:lvlText w:val=""/>
      <w:lvlJc w:val="left"/>
      <w:pPr>
        <w:tabs>
          <w:tab w:val="num" w:pos="375"/>
        </w:tabs>
        <w:ind w:left="375" w:hanging="360"/>
      </w:pPr>
      <w:rPr>
        <w:rFonts w:ascii="Wingdings" w:hAnsi="Wingdings" w:hint="default"/>
      </w:rPr>
    </w:lvl>
    <w:lvl w:ilvl="3" w:tplc="040C000F">
      <w:start w:val="1"/>
      <w:numFmt w:val="bullet"/>
      <w:lvlText w:val=""/>
      <w:lvlJc w:val="left"/>
      <w:pPr>
        <w:tabs>
          <w:tab w:val="num" w:pos="1095"/>
        </w:tabs>
        <w:ind w:left="1095" w:hanging="360"/>
      </w:pPr>
      <w:rPr>
        <w:rFonts w:ascii="Symbol" w:hAnsi="Symbol" w:hint="default"/>
      </w:rPr>
    </w:lvl>
    <w:lvl w:ilvl="4" w:tplc="040C0019">
      <w:start w:val="1"/>
      <w:numFmt w:val="bullet"/>
      <w:lvlText w:val="o"/>
      <w:lvlJc w:val="left"/>
      <w:pPr>
        <w:tabs>
          <w:tab w:val="num" w:pos="1815"/>
        </w:tabs>
        <w:ind w:left="1815" w:hanging="360"/>
      </w:pPr>
      <w:rPr>
        <w:rFonts w:ascii="Courier New" w:hAnsi="Courier New" w:cs="Courier New" w:hint="default"/>
      </w:rPr>
    </w:lvl>
    <w:lvl w:ilvl="5" w:tplc="040C001B">
      <w:start w:val="1"/>
      <w:numFmt w:val="bullet"/>
      <w:lvlText w:val=""/>
      <w:lvlJc w:val="left"/>
      <w:pPr>
        <w:tabs>
          <w:tab w:val="num" w:pos="2535"/>
        </w:tabs>
        <w:ind w:left="2535" w:hanging="360"/>
      </w:pPr>
      <w:rPr>
        <w:rFonts w:ascii="Wingdings" w:hAnsi="Wingdings" w:hint="default"/>
      </w:r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2">
    <w:nsid w:val="74482F22"/>
    <w:multiLevelType w:val="hybridMultilevel"/>
    <w:tmpl w:val="88243208"/>
    <w:lvl w:ilvl="0" w:tplc="A612AADE">
      <w:start w:val="1"/>
      <w:numFmt w:val="decimal"/>
      <w:lvlText w:val="%1."/>
      <w:lvlJc w:val="left"/>
      <w:pPr>
        <w:tabs>
          <w:tab w:val="num" w:pos="720"/>
        </w:tabs>
        <w:ind w:left="720" w:hanging="360"/>
      </w:pPr>
      <w:rPr>
        <w:rFonts w:ascii="Arial" w:hAnsi="Arial" w:cs="Arial" w:hint="default"/>
        <w:b/>
        <w:bCs/>
      </w:rPr>
    </w:lvl>
    <w:lvl w:ilvl="1" w:tplc="040C0019">
      <w:start w:val="1"/>
      <w:numFmt w:val="lowerLetter"/>
      <w:lvlText w:val="%2."/>
      <w:lvlJc w:val="left"/>
      <w:pPr>
        <w:tabs>
          <w:tab w:val="num" w:pos="-3600"/>
        </w:tabs>
        <w:ind w:left="-3600" w:hanging="360"/>
      </w:pPr>
      <w:rPr>
        <w:rFonts w:cs="Times New Roman"/>
      </w:rPr>
    </w:lvl>
    <w:lvl w:ilvl="2" w:tplc="040C001B">
      <w:start w:val="1"/>
      <w:numFmt w:val="lowerRoman"/>
      <w:lvlText w:val="%3."/>
      <w:lvlJc w:val="right"/>
      <w:pPr>
        <w:tabs>
          <w:tab w:val="num" w:pos="-2880"/>
        </w:tabs>
        <w:ind w:left="-2880" w:hanging="180"/>
      </w:pPr>
      <w:rPr>
        <w:rFonts w:cs="Times New Roman"/>
      </w:rPr>
    </w:lvl>
    <w:lvl w:ilvl="3" w:tplc="040C000F">
      <w:start w:val="1"/>
      <w:numFmt w:val="decimal"/>
      <w:lvlText w:val="%4."/>
      <w:lvlJc w:val="left"/>
      <w:pPr>
        <w:tabs>
          <w:tab w:val="num" w:pos="-2160"/>
        </w:tabs>
        <w:ind w:left="-2160" w:hanging="360"/>
      </w:pPr>
      <w:rPr>
        <w:rFonts w:cs="Times New Roman"/>
      </w:rPr>
    </w:lvl>
    <w:lvl w:ilvl="4" w:tplc="040C0019">
      <w:start w:val="1"/>
      <w:numFmt w:val="lowerLetter"/>
      <w:lvlText w:val="%5."/>
      <w:lvlJc w:val="left"/>
      <w:pPr>
        <w:tabs>
          <w:tab w:val="num" w:pos="-1440"/>
        </w:tabs>
        <w:ind w:left="-1440" w:hanging="360"/>
      </w:pPr>
      <w:rPr>
        <w:rFonts w:cs="Times New Roman"/>
      </w:rPr>
    </w:lvl>
    <w:lvl w:ilvl="5" w:tplc="040C001B">
      <w:start w:val="1"/>
      <w:numFmt w:val="lowerRoman"/>
      <w:lvlText w:val="%6."/>
      <w:lvlJc w:val="right"/>
      <w:pPr>
        <w:tabs>
          <w:tab w:val="num" w:pos="-720"/>
        </w:tabs>
        <w:ind w:left="-720" w:hanging="180"/>
      </w:pPr>
      <w:rPr>
        <w:rFonts w:cs="Times New Roman"/>
      </w:rPr>
    </w:lvl>
    <w:lvl w:ilvl="6" w:tplc="040C000F">
      <w:start w:val="1"/>
      <w:numFmt w:val="decimal"/>
      <w:lvlText w:val="%7."/>
      <w:lvlJc w:val="left"/>
      <w:pPr>
        <w:tabs>
          <w:tab w:val="num" w:pos="0"/>
        </w:tabs>
        <w:ind w:hanging="360"/>
      </w:pPr>
      <w:rPr>
        <w:rFonts w:cs="Times New Roman"/>
      </w:rPr>
    </w:lvl>
    <w:lvl w:ilvl="7" w:tplc="040C0019">
      <w:start w:val="1"/>
      <w:numFmt w:val="lowerLetter"/>
      <w:lvlText w:val="%8."/>
      <w:lvlJc w:val="left"/>
      <w:pPr>
        <w:tabs>
          <w:tab w:val="num" w:pos="720"/>
        </w:tabs>
        <w:ind w:left="720" w:hanging="360"/>
      </w:pPr>
      <w:rPr>
        <w:rFonts w:cs="Times New Roman"/>
      </w:rPr>
    </w:lvl>
    <w:lvl w:ilvl="8" w:tplc="040C001B">
      <w:start w:val="1"/>
      <w:numFmt w:val="lowerRoman"/>
      <w:lvlText w:val="%9."/>
      <w:lvlJc w:val="right"/>
      <w:pPr>
        <w:tabs>
          <w:tab w:val="num" w:pos="1440"/>
        </w:tabs>
        <w:ind w:left="1440" w:hanging="180"/>
      </w:pPr>
      <w:rPr>
        <w:rFonts w:cs="Times New Roman"/>
      </w:rPr>
    </w:lvl>
  </w:abstractNum>
  <w:abstractNum w:abstractNumId="43">
    <w:nsid w:val="78511542"/>
    <w:multiLevelType w:val="hybridMultilevel"/>
    <w:tmpl w:val="25B872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79476B69"/>
    <w:multiLevelType w:val="hybridMultilevel"/>
    <w:tmpl w:val="C428E3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7AB1365F"/>
    <w:multiLevelType w:val="hybridMultilevel"/>
    <w:tmpl w:val="E8B4D6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D6D0B61"/>
    <w:multiLevelType w:val="singleLevel"/>
    <w:tmpl w:val="977A8D16"/>
    <w:lvl w:ilvl="0">
      <w:start w:val="1"/>
      <w:numFmt w:val="bullet"/>
      <w:pStyle w:val="Point"/>
      <w:lvlText w:val=""/>
      <w:lvlJc w:val="left"/>
      <w:pPr>
        <w:tabs>
          <w:tab w:val="num" w:pos="417"/>
        </w:tabs>
        <w:ind w:left="360" w:hanging="303"/>
      </w:pPr>
      <w:rPr>
        <w:rFonts w:ascii="Symbol" w:hAnsi="Symbol" w:hint="default"/>
      </w:rPr>
    </w:lvl>
  </w:abstractNum>
  <w:abstractNum w:abstractNumId="47">
    <w:nsid w:val="7DC9518C"/>
    <w:multiLevelType w:val="multilevel"/>
    <w:tmpl w:val="5E566424"/>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7"/>
  </w:num>
  <w:num w:numId="2">
    <w:abstractNumId w:val="46"/>
  </w:num>
  <w:num w:numId="3">
    <w:abstractNumId w:val="15"/>
  </w:num>
  <w:num w:numId="4">
    <w:abstractNumId w:val="39"/>
  </w:num>
  <w:num w:numId="5">
    <w:abstractNumId w:val="8"/>
  </w:num>
  <w:num w:numId="6">
    <w:abstractNumId w:val="1"/>
  </w:num>
  <w:num w:numId="7">
    <w:abstractNumId w:val="0"/>
  </w:num>
  <w:num w:numId="8">
    <w:abstractNumId w:val="25"/>
  </w:num>
  <w:num w:numId="9">
    <w:abstractNumId w:val="22"/>
  </w:num>
  <w:num w:numId="10">
    <w:abstractNumId w:val="43"/>
  </w:num>
  <w:num w:numId="11">
    <w:abstractNumId w:val="14"/>
  </w:num>
  <w:num w:numId="12">
    <w:abstractNumId w:val="2"/>
    <w:lvlOverride w:ilvl="0">
      <w:lvl w:ilvl="0">
        <w:numFmt w:val="bullet"/>
        <w:lvlText w:val=""/>
        <w:legacy w:legacy="1" w:legacySpace="0" w:legacyIndent="360"/>
        <w:lvlJc w:val="left"/>
        <w:pPr>
          <w:ind w:left="0" w:firstLine="0"/>
        </w:pPr>
        <w:rPr>
          <w:rFonts w:ascii="Symbol" w:hAnsi="Symbol" w:hint="default"/>
        </w:rPr>
      </w:lvl>
    </w:lvlOverride>
  </w:num>
  <w:num w:numId="13">
    <w:abstractNumId w:val="11"/>
  </w:num>
  <w:num w:numId="14">
    <w:abstractNumId w:val="41"/>
    <w:lvlOverride w:ilvl="0"/>
    <w:lvlOverride w:ilvl="1"/>
    <w:lvlOverride w:ilvl="2"/>
    <w:lvlOverride w:ilvl="3"/>
    <w:lvlOverride w:ilvl="4"/>
    <w:lvlOverride w:ilvl="5"/>
    <w:lvlOverride w:ilvl="6">
      <w:startOverride w:val="1"/>
    </w:lvlOverride>
    <w:lvlOverride w:ilvl="7">
      <w:startOverride w:val="1"/>
    </w:lvlOverride>
    <w:lvlOverride w:ilvl="8">
      <w:startOverride w:val="1"/>
    </w:lvlOverride>
  </w:num>
  <w:num w:numId="15">
    <w:abstractNumId w:val="19"/>
  </w:num>
  <w:num w:numId="16">
    <w:abstractNumId w:val="40"/>
  </w:num>
  <w:num w:numId="17">
    <w:abstractNumId w:val="35"/>
  </w:num>
  <w:num w:numId="18">
    <w:abstractNumId w:val="38"/>
  </w:num>
  <w:num w:numId="19">
    <w:abstractNumId w:val="33"/>
  </w:num>
  <w:num w:numId="20">
    <w:abstractNumId w:val="42"/>
  </w:num>
  <w:num w:numId="21">
    <w:abstractNumId w:val="12"/>
  </w:num>
  <w:num w:numId="22">
    <w:abstractNumId w:val="30"/>
  </w:num>
  <w:num w:numId="23">
    <w:abstractNumId w:val="26"/>
  </w:num>
  <w:num w:numId="24">
    <w:abstractNumId w:val="13"/>
  </w:num>
  <w:num w:numId="25">
    <w:abstractNumId w:val="9"/>
  </w:num>
  <w:num w:numId="26">
    <w:abstractNumId w:val="4"/>
  </w:num>
  <w:num w:numId="27">
    <w:abstractNumId w:val="5"/>
  </w:num>
  <w:num w:numId="28">
    <w:abstractNumId w:val="3"/>
  </w:num>
  <w:num w:numId="29">
    <w:abstractNumId w:val="28"/>
  </w:num>
  <w:num w:numId="30">
    <w:abstractNumId w:val="21"/>
  </w:num>
  <w:num w:numId="31">
    <w:abstractNumId w:val="34"/>
  </w:num>
  <w:num w:numId="32">
    <w:abstractNumId w:val="24"/>
  </w:num>
  <w:num w:numId="33">
    <w:abstractNumId w:val="31"/>
  </w:num>
  <w:num w:numId="34">
    <w:abstractNumId w:val="45"/>
  </w:num>
  <w:num w:numId="35">
    <w:abstractNumId w:val="18"/>
  </w:num>
  <w:num w:numId="36">
    <w:abstractNumId w:val="7"/>
  </w:num>
  <w:num w:numId="37">
    <w:abstractNumId w:val="27"/>
  </w:num>
  <w:num w:numId="38">
    <w:abstractNumId w:val="17"/>
  </w:num>
  <w:num w:numId="39">
    <w:abstractNumId w:val="44"/>
  </w:num>
  <w:num w:numId="40">
    <w:abstractNumId w:val="36"/>
  </w:num>
  <w:num w:numId="41">
    <w:abstractNumId w:val="47"/>
  </w:num>
  <w:num w:numId="42">
    <w:abstractNumId w:val="29"/>
  </w:num>
  <w:num w:numId="43">
    <w:abstractNumId w:val="20"/>
  </w:num>
  <w:num w:numId="44">
    <w:abstractNumId w:val="10"/>
  </w:num>
  <w:num w:numId="45">
    <w:abstractNumId w:val="32"/>
  </w:num>
  <w:num w:numId="46">
    <w:abstractNumId w:val="16"/>
  </w:num>
  <w:num w:numId="47">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029"/>
    <w:rsid w:val="000007FF"/>
    <w:rsid w:val="000062DD"/>
    <w:rsid w:val="00012AB4"/>
    <w:rsid w:val="00013420"/>
    <w:rsid w:val="00015DAD"/>
    <w:rsid w:val="00023590"/>
    <w:rsid w:val="0002665D"/>
    <w:rsid w:val="00026CA0"/>
    <w:rsid w:val="00027B02"/>
    <w:rsid w:val="000320F6"/>
    <w:rsid w:val="00032A0B"/>
    <w:rsid w:val="00034DFC"/>
    <w:rsid w:val="00041BB8"/>
    <w:rsid w:val="00042B25"/>
    <w:rsid w:val="000433B0"/>
    <w:rsid w:val="0004361D"/>
    <w:rsid w:val="0004793F"/>
    <w:rsid w:val="00052516"/>
    <w:rsid w:val="000532C9"/>
    <w:rsid w:val="00053554"/>
    <w:rsid w:val="00053AF1"/>
    <w:rsid w:val="0005736E"/>
    <w:rsid w:val="00064ABC"/>
    <w:rsid w:val="00071610"/>
    <w:rsid w:val="00071F1D"/>
    <w:rsid w:val="00072CBE"/>
    <w:rsid w:val="000734E3"/>
    <w:rsid w:val="00074E63"/>
    <w:rsid w:val="000760DC"/>
    <w:rsid w:val="00087766"/>
    <w:rsid w:val="00093160"/>
    <w:rsid w:val="0009356A"/>
    <w:rsid w:val="000A312C"/>
    <w:rsid w:val="000A3768"/>
    <w:rsid w:val="000B0226"/>
    <w:rsid w:val="000B3B90"/>
    <w:rsid w:val="000B5B3A"/>
    <w:rsid w:val="000B64E3"/>
    <w:rsid w:val="000B7B47"/>
    <w:rsid w:val="000C3928"/>
    <w:rsid w:val="000C7590"/>
    <w:rsid w:val="000D0585"/>
    <w:rsid w:val="000D2B26"/>
    <w:rsid w:val="000E5F05"/>
    <w:rsid w:val="000F2DAA"/>
    <w:rsid w:val="000F59D0"/>
    <w:rsid w:val="0010043D"/>
    <w:rsid w:val="00103069"/>
    <w:rsid w:val="001039CC"/>
    <w:rsid w:val="001058F9"/>
    <w:rsid w:val="00105D38"/>
    <w:rsid w:val="001068A1"/>
    <w:rsid w:val="0011138C"/>
    <w:rsid w:val="00111A46"/>
    <w:rsid w:val="00113B62"/>
    <w:rsid w:val="001156A4"/>
    <w:rsid w:val="00115899"/>
    <w:rsid w:val="00117632"/>
    <w:rsid w:val="00124437"/>
    <w:rsid w:val="00126167"/>
    <w:rsid w:val="0013092A"/>
    <w:rsid w:val="0013611C"/>
    <w:rsid w:val="00137017"/>
    <w:rsid w:val="0014603E"/>
    <w:rsid w:val="00147552"/>
    <w:rsid w:val="001506F2"/>
    <w:rsid w:val="00150F5B"/>
    <w:rsid w:val="0015252B"/>
    <w:rsid w:val="0015468A"/>
    <w:rsid w:val="00155205"/>
    <w:rsid w:val="00160BA0"/>
    <w:rsid w:val="00164A86"/>
    <w:rsid w:val="00165E4C"/>
    <w:rsid w:val="0017238A"/>
    <w:rsid w:val="001749D5"/>
    <w:rsid w:val="0018019D"/>
    <w:rsid w:val="00180D0D"/>
    <w:rsid w:val="001826BF"/>
    <w:rsid w:val="001838D0"/>
    <w:rsid w:val="001859D6"/>
    <w:rsid w:val="00185F6F"/>
    <w:rsid w:val="00197BF8"/>
    <w:rsid w:val="001A1790"/>
    <w:rsid w:val="001A3967"/>
    <w:rsid w:val="001A6C0C"/>
    <w:rsid w:val="001A70B9"/>
    <w:rsid w:val="001B3653"/>
    <w:rsid w:val="001B4572"/>
    <w:rsid w:val="001C16CD"/>
    <w:rsid w:val="001C509F"/>
    <w:rsid w:val="001D0EA1"/>
    <w:rsid w:val="001D15AB"/>
    <w:rsid w:val="001D1E14"/>
    <w:rsid w:val="001D752B"/>
    <w:rsid w:val="001E0E87"/>
    <w:rsid w:val="001E329C"/>
    <w:rsid w:val="001E57BA"/>
    <w:rsid w:val="001E6E8C"/>
    <w:rsid w:val="001F108C"/>
    <w:rsid w:val="001F14F6"/>
    <w:rsid w:val="001F7C65"/>
    <w:rsid w:val="00201511"/>
    <w:rsid w:val="00204D5A"/>
    <w:rsid w:val="00206C2C"/>
    <w:rsid w:val="00207F2F"/>
    <w:rsid w:val="0021053D"/>
    <w:rsid w:val="0021186A"/>
    <w:rsid w:val="00212261"/>
    <w:rsid w:val="00220E46"/>
    <w:rsid w:val="002226B7"/>
    <w:rsid w:val="00224267"/>
    <w:rsid w:val="00224DC8"/>
    <w:rsid w:val="00226094"/>
    <w:rsid w:val="00232149"/>
    <w:rsid w:val="0023249A"/>
    <w:rsid w:val="00232A1B"/>
    <w:rsid w:val="00235A3E"/>
    <w:rsid w:val="00235B8E"/>
    <w:rsid w:val="00235D6F"/>
    <w:rsid w:val="002376F8"/>
    <w:rsid w:val="00240EB0"/>
    <w:rsid w:val="0024213B"/>
    <w:rsid w:val="0024214E"/>
    <w:rsid w:val="00242F56"/>
    <w:rsid w:val="00243380"/>
    <w:rsid w:val="00246A49"/>
    <w:rsid w:val="00251400"/>
    <w:rsid w:val="00251F7E"/>
    <w:rsid w:val="00252268"/>
    <w:rsid w:val="00254CB9"/>
    <w:rsid w:val="002553F2"/>
    <w:rsid w:val="002567F2"/>
    <w:rsid w:val="0026175C"/>
    <w:rsid w:val="00262F5B"/>
    <w:rsid w:val="00263483"/>
    <w:rsid w:val="0026548F"/>
    <w:rsid w:val="0027185F"/>
    <w:rsid w:val="00275A5E"/>
    <w:rsid w:val="00276687"/>
    <w:rsid w:val="00276CAC"/>
    <w:rsid w:val="00284E10"/>
    <w:rsid w:val="0028646C"/>
    <w:rsid w:val="00286CE2"/>
    <w:rsid w:val="002926B0"/>
    <w:rsid w:val="002A0F23"/>
    <w:rsid w:val="002A1A95"/>
    <w:rsid w:val="002A1F5E"/>
    <w:rsid w:val="002A51A1"/>
    <w:rsid w:val="002B0389"/>
    <w:rsid w:val="002B1DFF"/>
    <w:rsid w:val="002B2B70"/>
    <w:rsid w:val="002B440B"/>
    <w:rsid w:val="002B5413"/>
    <w:rsid w:val="002B76C9"/>
    <w:rsid w:val="002C105E"/>
    <w:rsid w:val="002D6784"/>
    <w:rsid w:val="002D6A79"/>
    <w:rsid w:val="002D73C5"/>
    <w:rsid w:val="002E7809"/>
    <w:rsid w:val="002F1143"/>
    <w:rsid w:val="002F312B"/>
    <w:rsid w:val="002F3561"/>
    <w:rsid w:val="002F4B3C"/>
    <w:rsid w:val="002F5825"/>
    <w:rsid w:val="003004F2"/>
    <w:rsid w:val="00307EB0"/>
    <w:rsid w:val="00313A19"/>
    <w:rsid w:val="00313F56"/>
    <w:rsid w:val="0031509A"/>
    <w:rsid w:val="00322B47"/>
    <w:rsid w:val="003237B8"/>
    <w:rsid w:val="003256E2"/>
    <w:rsid w:val="003305C8"/>
    <w:rsid w:val="0033147F"/>
    <w:rsid w:val="00332C98"/>
    <w:rsid w:val="00332FF2"/>
    <w:rsid w:val="0033546C"/>
    <w:rsid w:val="003357C1"/>
    <w:rsid w:val="00336D99"/>
    <w:rsid w:val="0034185D"/>
    <w:rsid w:val="00342313"/>
    <w:rsid w:val="00343A54"/>
    <w:rsid w:val="00343ABA"/>
    <w:rsid w:val="0034701E"/>
    <w:rsid w:val="00350FEA"/>
    <w:rsid w:val="00353FBE"/>
    <w:rsid w:val="0035430A"/>
    <w:rsid w:val="00357200"/>
    <w:rsid w:val="00366D73"/>
    <w:rsid w:val="00367FDB"/>
    <w:rsid w:val="00370A0E"/>
    <w:rsid w:val="00371353"/>
    <w:rsid w:val="00372CA2"/>
    <w:rsid w:val="00373C13"/>
    <w:rsid w:val="003803EA"/>
    <w:rsid w:val="00384858"/>
    <w:rsid w:val="00384980"/>
    <w:rsid w:val="0038648B"/>
    <w:rsid w:val="00390860"/>
    <w:rsid w:val="00397AED"/>
    <w:rsid w:val="003A0B73"/>
    <w:rsid w:val="003A7F4C"/>
    <w:rsid w:val="003B2FC2"/>
    <w:rsid w:val="003B39B4"/>
    <w:rsid w:val="003B3B63"/>
    <w:rsid w:val="003B5943"/>
    <w:rsid w:val="003B5D74"/>
    <w:rsid w:val="003B70E5"/>
    <w:rsid w:val="003C0529"/>
    <w:rsid w:val="003C227E"/>
    <w:rsid w:val="003C3EE1"/>
    <w:rsid w:val="003C3F76"/>
    <w:rsid w:val="003C5F9A"/>
    <w:rsid w:val="003D0734"/>
    <w:rsid w:val="003D22B7"/>
    <w:rsid w:val="003D27AA"/>
    <w:rsid w:val="003D3514"/>
    <w:rsid w:val="003D4A78"/>
    <w:rsid w:val="003D5854"/>
    <w:rsid w:val="003D5BBD"/>
    <w:rsid w:val="003D674F"/>
    <w:rsid w:val="003D7F86"/>
    <w:rsid w:val="003E0E73"/>
    <w:rsid w:val="003E1D41"/>
    <w:rsid w:val="003E5DFE"/>
    <w:rsid w:val="003F069E"/>
    <w:rsid w:val="003F22DF"/>
    <w:rsid w:val="003F452A"/>
    <w:rsid w:val="003F5736"/>
    <w:rsid w:val="00401EEA"/>
    <w:rsid w:val="00402835"/>
    <w:rsid w:val="00403BE3"/>
    <w:rsid w:val="004057BC"/>
    <w:rsid w:val="00411882"/>
    <w:rsid w:val="004126F2"/>
    <w:rsid w:val="00414BE2"/>
    <w:rsid w:val="00415AAB"/>
    <w:rsid w:val="00415DFF"/>
    <w:rsid w:val="00415EB9"/>
    <w:rsid w:val="00425273"/>
    <w:rsid w:val="004254E8"/>
    <w:rsid w:val="00426DD9"/>
    <w:rsid w:val="00427531"/>
    <w:rsid w:val="00427B44"/>
    <w:rsid w:val="004308DC"/>
    <w:rsid w:val="00430F55"/>
    <w:rsid w:val="00431292"/>
    <w:rsid w:val="00432185"/>
    <w:rsid w:val="00432264"/>
    <w:rsid w:val="00434211"/>
    <w:rsid w:val="004356A8"/>
    <w:rsid w:val="004356EE"/>
    <w:rsid w:val="004401CF"/>
    <w:rsid w:val="00440764"/>
    <w:rsid w:val="00445D80"/>
    <w:rsid w:val="00447E92"/>
    <w:rsid w:val="00460816"/>
    <w:rsid w:val="00461A26"/>
    <w:rsid w:val="004652D8"/>
    <w:rsid w:val="004675A3"/>
    <w:rsid w:val="00470039"/>
    <w:rsid w:val="004721BB"/>
    <w:rsid w:val="00475D07"/>
    <w:rsid w:val="00477415"/>
    <w:rsid w:val="004826A8"/>
    <w:rsid w:val="00484CF0"/>
    <w:rsid w:val="00487C60"/>
    <w:rsid w:val="00494BEE"/>
    <w:rsid w:val="00496416"/>
    <w:rsid w:val="004965E8"/>
    <w:rsid w:val="004972D4"/>
    <w:rsid w:val="004A2077"/>
    <w:rsid w:val="004A2910"/>
    <w:rsid w:val="004A302E"/>
    <w:rsid w:val="004A55C8"/>
    <w:rsid w:val="004A783E"/>
    <w:rsid w:val="004B04CF"/>
    <w:rsid w:val="004B4B8B"/>
    <w:rsid w:val="004C11A3"/>
    <w:rsid w:val="004C274A"/>
    <w:rsid w:val="004C535C"/>
    <w:rsid w:val="004C5551"/>
    <w:rsid w:val="004C63D1"/>
    <w:rsid w:val="004C7572"/>
    <w:rsid w:val="004D1968"/>
    <w:rsid w:val="004D1E17"/>
    <w:rsid w:val="004D3714"/>
    <w:rsid w:val="004D5F53"/>
    <w:rsid w:val="004D6A11"/>
    <w:rsid w:val="004D6B27"/>
    <w:rsid w:val="004E26D9"/>
    <w:rsid w:val="004E2C5E"/>
    <w:rsid w:val="004E5A1A"/>
    <w:rsid w:val="004E66B7"/>
    <w:rsid w:val="004F15AB"/>
    <w:rsid w:val="004F456F"/>
    <w:rsid w:val="004F4D14"/>
    <w:rsid w:val="004F538A"/>
    <w:rsid w:val="004F5AC6"/>
    <w:rsid w:val="004F7117"/>
    <w:rsid w:val="0050096B"/>
    <w:rsid w:val="00505129"/>
    <w:rsid w:val="0051078E"/>
    <w:rsid w:val="005107EA"/>
    <w:rsid w:val="00514753"/>
    <w:rsid w:val="005147DB"/>
    <w:rsid w:val="005178E1"/>
    <w:rsid w:val="00523FAF"/>
    <w:rsid w:val="00524B17"/>
    <w:rsid w:val="00526FB6"/>
    <w:rsid w:val="00527E2C"/>
    <w:rsid w:val="005353E8"/>
    <w:rsid w:val="00537621"/>
    <w:rsid w:val="005405D1"/>
    <w:rsid w:val="00545DA6"/>
    <w:rsid w:val="0054732A"/>
    <w:rsid w:val="00550D8A"/>
    <w:rsid w:val="00551196"/>
    <w:rsid w:val="00551408"/>
    <w:rsid w:val="00551C79"/>
    <w:rsid w:val="00552BAC"/>
    <w:rsid w:val="005538AD"/>
    <w:rsid w:val="005545B7"/>
    <w:rsid w:val="005561C2"/>
    <w:rsid w:val="00562727"/>
    <w:rsid w:val="005631BB"/>
    <w:rsid w:val="005672AD"/>
    <w:rsid w:val="0057186A"/>
    <w:rsid w:val="00572A2A"/>
    <w:rsid w:val="00573926"/>
    <w:rsid w:val="00580093"/>
    <w:rsid w:val="00580257"/>
    <w:rsid w:val="005824C6"/>
    <w:rsid w:val="00585750"/>
    <w:rsid w:val="005929BE"/>
    <w:rsid w:val="00595CDC"/>
    <w:rsid w:val="005970BC"/>
    <w:rsid w:val="005972CC"/>
    <w:rsid w:val="00597EE9"/>
    <w:rsid w:val="005A5942"/>
    <w:rsid w:val="005A786D"/>
    <w:rsid w:val="005B2BB0"/>
    <w:rsid w:val="005B677B"/>
    <w:rsid w:val="005B7CC8"/>
    <w:rsid w:val="005C2E99"/>
    <w:rsid w:val="005D30BA"/>
    <w:rsid w:val="005D4440"/>
    <w:rsid w:val="005D5571"/>
    <w:rsid w:val="005D65CF"/>
    <w:rsid w:val="005E523F"/>
    <w:rsid w:val="005E5B19"/>
    <w:rsid w:val="005F13E0"/>
    <w:rsid w:val="005F248B"/>
    <w:rsid w:val="005F293B"/>
    <w:rsid w:val="005F6BD5"/>
    <w:rsid w:val="0060112B"/>
    <w:rsid w:val="00602F55"/>
    <w:rsid w:val="0060393D"/>
    <w:rsid w:val="00603B88"/>
    <w:rsid w:val="00605640"/>
    <w:rsid w:val="006063E9"/>
    <w:rsid w:val="0061086E"/>
    <w:rsid w:val="00610F2E"/>
    <w:rsid w:val="0061247F"/>
    <w:rsid w:val="00614DFE"/>
    <w:rsid w:val="006226E8"/>
    <w:rsid w:val="00625F2A"/>
    <w:rsid w:val="00626B83"/>
    <w:rsid w:val="00632F25"/>
    <w:rsid w:val="00635191"/>
    <w:rsid w:val="00640597"/>
    <w:rsid w:val="00643BF1"/>
    <w:rsid w:val="00644875"/>
    <w:rsid w:val="00647AC2"/>
    <w:rsid w:val="00647BB8"/>
    <w:rsid w:val="006504C1"/>
    <w:rsid w:val="00652588"/>
    <w:rsid w:val="00654DCF"/>
    <w:rsid w:val="00656BBF"/>
    <w:rsid w:val="00662993"/>
    <w:rsid w:val="00663E0F"/>
    <w:rsid w:val="00670467"/>
    <w:rsid w:val="00671D49"/>
    <w:rsid w:val="00676A41"/>
    <w:rsid w:val="00676FB5"/>
    <w:rsid w:val="00690083"/>
    <w:rsid w:val="00690556"/>
    <w:rsid w:val="006A2DA0"/>
    <w:rsid w:val="006A3893"/>
    <w:rsid w:val="006A622F"/>
    <w:rsid w:val="006B0F2E"/>
    <w:rsid w:val="006B1202"/>
    <w:rsid w:val="006B6C1B"/>
    <w:rsid w:val="006B7674"/>
    <w:rsid w:val="006C4B8B"/>
    <w:rsid w:val="006D2F2E"/>
    <w:rsid w:val="006D35B7"/>
    <w:rsid w:val="006D56CF"/>
    <w:rsid w:val="006E142A"/>
    <w:rsid w:val="006F6311"/>
    <w:rsid w:val="006F751C"/>
    <w:rsid w:val="006F7F3D"/>
    <w:rsid w:val="00700CCA"/>
    <w:rsid w:val="00700E3C"/>
    <w:rsid w:val="00704614"/>
    <w:rsid w:val="007064FB"/>
    <w:rsid w:val="00711499"/>
    <w:rsid w:val="007145D7"/>
    <w:rsid w:val="00721F8E"/>
    <w:rsid w:val="00725F50"/>
    <w:rsid w:val="00735C66"/>
    <w:rsid w:val="007429DE"/>
    <w:rsid w:val="007474AC"/>
    <w:rsid w:val="00751644"/>
    <w:rsid w:val="00753596"/>
    <w:rsid w:val="00761F08"/>
    <w:rsid w:val="00763946"/>
    <w:rsid w:val="00764285"/>
    <w:rsid w:val="007661AA"/>
    <w:rsid w:val="00767CD8"/>
    <w:rsid w:val="007700E2"/>
    <w:rsid w:val="0077119B"/>
    <w:rsid w:val="007725CA"/>
    <w:rsid w:val="0077335A"/>
    <w:rsid w:val="00773934"/>
    <w:rsid w:val="00776F19"/>
    <w:rsid w:val="00777016"/>
    <w:rsid w:val="007772D3"/>
    <w:rsid w:val="00777FC6"/>
    <w:rsid w:val="00783C5B"/>
    <w:rsid w:val="007840B2"/>
    <w:rsid w:val="007843B8"/>
    <w:rsid w:val="007865B0"/>
    <w:rsid w:val="007873AD"/>
    <w:rsid w:val="00787906"/>
    <w:rsid w:val="0079247C"/>
    <w:rsid w:val="007940A1"/>
    <w:rsid w:val="00794289"/>
    <w:rsid w:val="00794E35"/>
    <w:rsid w:val="00796AF1"/>
    <w:rsid w:val="007A03C4"/>
    <w:rsid w:val="007A15AF"/>
    <w:rsid w:val="007A3124"/>
    <w:rsid w:val="007A3A0F"/>
    <w:rsid w:val="007A3C59"/>
    <w:rsid w:val="007A4587"/>
    <w:rsid w:val="007A5EF8"/>
    <w:rsid w:val="007B0607"/>
    <w:rsid w:val="007B0B5E"/>
    <w:rsid w:val="007B1D8C"/>
    <w:rsid w:val="007C0D66"/>
    <w:rsid w:val="007C1DB5"/>
    <w:rsid w:val="007C4651"/>
    <w:rsid w:val="007C4F79"/>
    <w:rsid w:val="007C79B5"/>
    <w:rsid w:val="007D1A88"/>
    <w:rsid w:val="007D2250"/>
    <w:rsid w:val="007D2523"/>
    <w:rsid w:val="007D298B"/>
    <w:rsid w:val="007D4112"/>
    <w:rsid w:val="007D77CC"/>
    <w:rsid w:val="007E0024"/>
    <w:rsid w:val="007E3A3A"/>
    <w:rsid w:val="007E3B52"/>
    <w:rsid w:val="007E516E"/>
    <w:rsid w:val="007E761C"/>
    <w:rsid w:val="007E7C87"/>
    <w:rsid w:val="007F1C06"/>
    <w:rsid w:val="007F2B86"/>
    <w:rsid w:val="00800CF4"/>
    <w:rsid w:val="00802043"/>
    <w:rsid w:val="0080376A"/>
    <w:rsid w:val="00803A1E"/>
    <w:rsid w:val="00804DE6"/>
    <w:rsid w:val="00805AE2"/>
    <w:rsid w:val="00805F1A"/>
    <w:rsid w:val="008064BB"/>
    <w:rsid w:val="00806BD2"/>
    <w:rsid w:val="00807341"/>
    <w:rsid w:val="00807865"/>
    <w:rsid w:val="0080795C"/>
    <w:rsid w:val="008138CA"/>
    <w:rsid w:val="00813AA3"/>
    <w:rsid w:val="00814F0D"/>
    <w:rsid w:val="00815C05"/>
    <w:rsid w:val="00816977"/>
    <w:rsid w:val="00817644"/>
    <w:rsid w:val="008239ED"/>
    <w:rsid w:val="00823EF3"/>
    <w:rsid w:val="00824965"/>
    <w:rsid w:val="00826BCD"/>
    <w:rsid w:val="00834970"/>
    <w:rsid w:val="00836FB1"/>
    <w:rsid w:val="0084130D"/>
    <w:rsid w:val="00843A4F"/>
    <w:rsid w:val="00844283"/>
    <w:rsid w:val="00845168"/>
    <w:rsid w:val="008501D0"/>
    <w:rsid w:val="0085359F"/>
    <w:rsid w:val="0085476D"/>
    <w:rsid w:val="008548F9"/>
    <w:rsid w:val="0086084E"/>
    <w:rsid w:val="0086252B"/>
    <w:rsid w:val="00862F4E"/>
    <w:rsid w:val="00866DB1"/>
    <w:rsid w:val="00870020"/>
    <w:rsid w:val="0087082C"/>
    <w:rsid w:val="008738E2"/>
    <w:rsid w:val="00876A10"/>
    <w:rsid w:val="00876EDA"/>
    <w:rsid w:val="00877945"/>
    <w:rsid w:val="00877CE6"/>
    <w:rsid w:val="00890DAC"/>
    <w:rsid w:val="00894196"/>
    <w:rsid w:val="00894421"/>
    <w:rsid w:val="00895A33"/>
    <w:rsid w:val="008960C1"/>
    <w:rsid w:val="00897672"/>
    <w:rsid w:val="008A4A34"/>
    <w:rsid w:val="008A5A34"/>
    <w:rsid w:val="008A5C14"/>
    <w:rsid w:val="008A6A9E"/>
    <w:rsid w:val="008A75ED"/>
    <w:rsid w:val="008B4644"/>
    <w:rsid w:val="008B5B3D"/>
    <w:rsid w:val="008B6D10"/>
    <w:rsid w:val="008B7D90"/>
    <w:rsid w:val="008C6613"/>
    <w:rsid w:val="008C7A41"/>
    <w:rsid w:val="008D191A"/>
    <w:rsid w:val="008D2BAE"/>
    <w:rsid w:val="008E22CA"/>
    <w:rsid w:val="008E2A25"/>
    <w:rsid w:val="008E4233"/>
    <w:rsid w:val="008E4E33"/>
    <w:rsid w:val="008E5E0A"/>
    <w:rsid w:val="008E762D"/>
    <w:rsid w:val="008F172B"/>
    <w:rsid w:val="008F18C8"/>
    <w:rsid w:val="008F30B6"/>
    <w:rsid w:val="008F66BD"/>
    <w:rsid w:val="009001D7"/>
    <w:rsid w:val="00900CDC"/>
    <w:rsid w:val="009020BA"/>
    <w:rsid w:val="00902B53"/>
    <w:rsid w:val="009040A0"/>
    <w:rsid w:val="009057E9"/>
    <w:rsid w:val="0090636B"/>
    <w:rsid w:val="00907BAF"/>
    <w:rsid w:val="0091262F"/>
    <w:rsid w:val="00912C4A"/>
    <w:rsid w:val="00913320"/>
    <w:rsid w:val="00915EED"/>
    <w:rsid w:val="00916CD6"/>
    <w:rsid w:val="0092145D"/>
    <w:rsid w:val="00921AB3"/>
    <w:rsid w:val="009248EB"/>
    <w:rsid w:val="00924BA9"/>
    <w:rsid w:val="00924C7D"/>
    <w:rsid w:val="009324A1"/>
    <w:rsid w:val="00932B1A"/>
    <w:rsid w:val="009351A9"/>
    <w:rsid w:val="009353E9"/>
    <w:rsid w:val="00936574"/>
    <w:rsid w:val="00942C6A"/>
    <w:rsid w:val="00943A33"/>
    <w:rsid w:val="0094756F"/>
    <w:rsid w:val="009504F8"/>
    <w:rsid w:val="00951430"/>
    <w:rsid w:val="0095508C"/>
    <w:rsid w:val="00956144"/>
    <w:rsid w:val="00956C07"/>
    <w:rsid w:val="00961C39"/>
    <w:rsid w:val="00962206"/>
    <w:rsid w:val="009627B2"/>
    <w:rsid w:val="0096311D"/>
    <w:rsid w:val="00963D99"/>
    <w:rsid w:val="009722A4"/>
    <w:rsid w:val="00975242"/>
    <w:rsid w:val="00976AFD"/>
    <w:rsid w:val="00976CC8"/>
    <w:rsid w:val="00980FF6"/>
    <w:rsid w:val="00981ACF"/>
    <w:rsid w:val="00983D27"/>
    <w:rsid w:val="00986262"/>
    <w:rsid w:val="00990DF1"/>
    <w:rsid w:val="00991B02"/>
    <w:rsid w:val="00997BF7"/>
    <w:rsid w:val="009A095E"/>
    <w:rsid w:val="009A099F"/>
    <w:rsid w:val="009A1F2E"/>
    <w:rsid w:val="009A3455"/>
    <w:rsid w:val="009A3F08"/>
    <w:rsid w:val="009A52C0"/>
    <w:rsid w:val="009A564C"/>
    <w:rsid w:val="009A6A5C"/>
    <w:rsid w:val="009A73D2"/>
    <w:rsid w:val="009B2573"/>
    <w:rsid w:val="009B63D3"/>
    <w:rsid w:val="009B7114"/>
    <w:rsid w:val="009B74ED"/>
    <w:rsid w:val="009C0575"/>
    <w:rsid w:val="009C0AC1"/>
    <w:rsid w:val="009C6CEC"/>
    <w:rsid w:val="009D117A"/>
    <w:rsid w:val="009D15D3"/>
    <w:rsid w:val="009D277E"/>
    <w:rsid w:val="009D53DD"/>
    <w:rsid w:val="009D5F11"/>
    <w:rsid w:val="009E32EF"/>
    <w:rsid w:val="009E44CA"/>
    <w:rsid w:val="009E77BF"/>
    <w:rsid w:val="009F4687"/>
    <w:rsid w:val="009F498A"/>
    <w:rsid w:val="009F6120"/>
    <w:rsid w:val="00A03EF7"/>
    <w:rsid w:val="00A04868"/>
    <w:rsid w:val="00A1681F"/>
    <w:rsid w:val="00A16822"/>
    <w:rsid w:val="00A17AC5"/>
    <w:rsid w:val="00A22BE1"/>
    <w:rsid w:val="00A23013"/>
    <w:rsid w:val="00A315EB"/>
    <w:rsid w:val="00A34F5E"/>
    <w:rsid w:val="00A3520E"/>
    <w:rsid w:val="00A354D1"/>
    <w:rsid w:val="00A36F16"/>
    <w:rsid w:val="00A37986"/>
    <w:rsid w:val="00A41B8F"/>
    <w:rsid w:val="00A44A85"/>
    <w:rsid w:val="00A45DDA"/>
    <w:rsid w:val="00A46787"/>
    <w:rsid w:val="00A500EC"/>
    <w:rsid w:val="00A50E7D"/>
    <w:rsid w:val="00A53C7D"/>
    <w:rsid w:val="00A54072"/>
    <w:rsid w:val="00A56268"/>
    <w:rsid w:val="00A571C0"/>
    <w:rsid w:val="00A603EE"/>
    <w:rsid w:val="00A61187"/>
    <w:rsid w:val="00A6232A"/>
    <w:rsid w:val="00A6232E"/>
    <w:rsid w:val="00A67364"/>
    <w:rsid w:val="00A67BBF"/>
    <w:rsid w:val="00A731DB"/>
    <w:rsid w:val="00A80C48"/>
    <w:rsid w:val="00A821E7"/>
    <w:rsid w:val="00A84AA1"/>
    <w:rsid w:val="00A87063"/>
    <w:rsid w:val="00A9047D"/>
    <w:rsid w:val="00A92CD4"/>
    <w:rsid w:val="00A94542"/>
    <w:rsid w:val="00A94B29"/>
    <w:rsid w:val="00AA1C97"/>
    <w:rsid w:val="00AA1D7D"/>
    <w:rsid w:val="00AA225F"/>
    <w:rsid w:val="00AA4AA7"/>
    <w:rsid w:val="00AA78AA"/>
    <w:rsid w:val="00AB0D6E"/>
    <w:rsid w:val="00AB1EB4"/>
    <w:rsid w:val="00AB4D7E"/>
    <w:rsid w:val="00AB53FE"/>
    <w:rsid w:val="00AB596F"/>
    <w:rsid w:val="00AC1C07"/>
    <w:rsid w:val="00AC2EB3"/>
    <w:rsid w:val="00AC3067"/>
    <w:rsid w:val="00AC5B18"/>
    <w:rsid w:val="00AC6D18"/>
    <w:rsid w:val="00AD2382"/>
    <w:rsid w:val="00AD362A"/>
    <w:rsid w:val="00AD4F70"/>
    <w:rsid w:val="00AD7D99"/>
    <w:rsid w:val="00AE5442"/>
    <w:rsid w:val="00AF11FB"/>
    <w:rsid w:val="00AF1B6E"/>
    <w:rsid w:val="00AF21E1"/>
    <w:rsid w:val="00AF3167"/>
    <w:rsid w:val="00AF743D"/>
    <w:rsid w:val="00B01F21"/>
    <w:rsid w:val="00B06280"/>
    <w:rsid w:val="00B115C8"/>
    <w:rsid w:val="00B11A8C"/>
    <w:rsid w:val="00B12FC2"/>
    <w:rsid w:val="00B13497"/>
    <w:rsid w:val="00B14358"/>
    <w:rsid w:val="00B173DB"/>
    <w:rsid w:val="00B22BBE"/>
    <w:rsid w:val="00B2728F"/>
    <w:rsid w:val="00B311DA"/>
    <w:rsid w:val="00B3269B"/>
    <w:rsid w:val="00B32921"/>
    <w:rsid w:val="00B40839"/>
    <w:rsid w:val="00B432B4"/>
    <w:rsid w:val="00B44D17"/>
    <w:rsid w:val="00B64020"/>
    <w:rsid w:val="00B66154"/>
    <w:rsid w:val="00B674D7"/>
    <w:rsid w:val="00B67615"/>
    <w:rsid w:val="00B716E5"/>
    <w:rsid w:val="00B73217"/>
    <w:rsid w:val="00B7598B"/>
    <w:rsid w:val="00B75FF8"/>
    <w:rsid w:val="00B76ABD"/>
    <w:rsid w:val="00B77FE7"/>
    <w:rsid w:val="00B80B21"/>
    <w:rsid w:val="00B81E09"/>
    <w:rsid w:val="00B91420"/>
    <w:rsid w:val="00B91F9A"/>
    <w:rsid w:val="00B9225E"/>
    <w:rsid w:val="00B92A22"/>
    <w:rsid w:val="00B92EAD"/>
    <w:rsid w:val="00B93537"/>
    <w:rsid w:val="00B936C7"/>
    <w:rsid w:val="00B93F0B"/>
    <w:rsid w:val="00B95F9E"/>
    <w:rsid w:val="00B971A8"/>
    <w:rsid w:val="00BA1ED4"/>
    <w:rsid w:val="00BA2067"/>
    <w:rsid w:val="00BA4094"/>
    <w:rsid w:val="00BB2CEA"/>
    <w:rsid w:val="00BB4251"/>
    <w:rsid w:val="00BB6F96"/>
    <w:rsid w:val="00BB71EE"/>
    <w:rsid w:val="00BB7AC7"/>
    <w:rsid w:val="00BC232F"/>
    <w:rsid w:val="00BC263F"/>
    <w:rsid w:val="00BC46C1"/>
    <w:rsid w:val="00BC63D1"/>
    <w:rsid w:val="00BC7CBB"/>
    <w:rsid w:val="00BD0E6C"/>
    <w:rsid w:val="00BD2D58"/>
    <w:rsid w:val="00BD3277"/>
    <w:rsid w:val="00BD3B9B"/>
    <w:rsid w:val="00BD4B35"/>
    <w:rsid w:val="00BD6C63"/>
    <w:rsid w:val="00BE08AC"/>
    <w:rsid w:val="00BE0E30"/>
    <w:rsid w:val="00BE1DD8"/>
    <w:rsid w:val="00BE41A1"/>
    <w:rsid w:val="00BE4353"/>
    <w:rsid w:val="00BE4988"/>
    <w:rsid w:val="00BE68FB"/>
    <w:rsid w:val="00BE70F9"/>
    <w:rsid w:val="00BF0775"/>
    <w:rsid w:val="00BF1932"/>
    <w:rsid w:val="00BF3E74"/>
    <w:rsid w:val="00BF6F06"/>
    <w:rsid w:val="00BF6FC7"/>
    <w:rsid w:val="00C000AB"/>
    <w:rsid w:val="00C0060F"/>
    <w:rsid w:val="00C00C6C"/>
    <w:rsid w:val="00C06783"/>
    <w:rsid w:val="00C06816"/>
    <w:rsid w:val="00C07681"/>
    <w:rsid w:val="00C10206"/>
    <w:rsid w:val="00C107DD"/>
    <w:rsid w:val="00C1214D"/>
    <w:rsid w:val="00C1362C"/>
    <w:rsid w:val="00C15EB3"/>
    <w:rsid w:val="00C16187"/>
    <w:rsid w:val="00C16351"/>
    <w:rsid w:val="00C167E7"/>
    <w:rsid w:val="00C22AEA"/>
    <w:rsid w:val="00C24150"/>
    <w:rsid w:val="00C265CE"/>
    <w:rsid w:val="00C27C73"/>
    <w:rsid w:val="00C31823"/>
    <w:rsid w:val="00C33E0F"/>
    <w:rsid w:val="00C33F6A"/>
    <w:rsid w:val="00C408DA"/>
    <w:rsid w:val="00C43AF8"/>
    <w:rsid w:val="00C44E51"/>
    <w:rsid w:val="00C450C9"/>
    <w:rsid w:val="00C45F9E"/>
    <w:rsid w:val="00C521C7"/>
    <w:rsid w:val="00C544BA"/>
    <w:rsid w:val="00C57795"/>
    <w:rsid w:val="00C613D3"/>
    <w:rsid w:val="00C63A0F"/>
    <w:rsid w:val="00C65181"/>
    <w:rsid w:val="00C66866"/>
    <w:rsid w:val="00C67389"/>
    <w:rsid w:val="00C70D47"/>
    <w:rsid w:val="00C7455D"/>
    <w:rsid w:val="00C75132"/>
    <w:rsid w:val="00C75A9B"/>
    <w:rsid w:val="00C75B60"/>
    <w:rsid w:val="00C8647B"/>
    <w:rsid w:val="00C8774C"/>
    <w:rsid w:val="00C87FD2"/>
    <w:rsid w:val="00C9308C"/>
    <w:rsid w:val="00C94EEB"/>
    <w:rsid w:val="00C97495"/>
    <w:rsid w:val="00CA27CA"/>
    <w:rsid w:val="00CA44FA"/>
    <w:rsid w:val="00CB00A0"/>
    <w:rsid w:val="00CB31DF"/>
    <w:rsid w:val="00CB639C"/>
    <w:rsid w:val="00CB747C"/>
    <w:rsid w:val="00CB7F8F"/>
    <w:rsid w:val="00CC0178"/>
    <w:rsid w:val="00CC0C84"/>
    <w:rsid w:val="00CC17A6"/>
    <w:rsid w:val="00CC183B"/>
    <w:rsid w:val="00CC228E"/>
    <w:rsid w:val="00CC2841"/>
    <w:rsid w:val="00CC33B0"/>
    <w:rsid w:val="00CC58CE"/>
    <w:rsid w:val="00CD437F"/>
    <w:rsid w:val="00CD5BE9"/>
    <w:rsid w:val="00CD6553"/>
    <w:rsid w:val="00CD74DA"/>
    <w:rsid w:val="00CD7527"/>
    <w:rsid w:val="00CE655B"/>
    <w:rsid w:val="00CE73BF"/>
    <w:rsid w:val="00CF1A97"/>
    <w:rsid w:val="00CF2700"/>
    <w:rsid w:val="00CF299F"/>
    <w:rsid w:val="00CF35A0"/>
    <w:rsid w:val="00CF53B9"/>
    <w:rsid w:val="00CF67A3"/>
    <w:rsid w:val="00D0080A"/>
    <w:rsid w:val="00D021ED"/>
    <w:rsid w:val="00D02AC4"/>
    <w:rsid w:val="00D06305"/>
    <w:rsid w:val="00D121D5"/>
    <w:rsid w:val="00D17C02"/>
    <w:rsid w:val="00D224BD"/>
    <w:rsid w:val="00D232E8"/>
    <w:rsid w:val="00D23E54"/>
    <w:rsid w:val="00D26C0F"/>
    <w:rsid w:val="00D27B40"/>
    <w:rsid w:val="00D27BC6"/>
    <w:rsid w:val="00D3480A"/>
    <w:rsid w:val="00D35050"/>
    <w:rsid w:val="00D3586D"/>
    <w:rsid w:val="00D36AF0"/>
    <w:rsid w:val="00D378ED"/>
    <w:rsid w:val="00D43FDF"/>
    <w:rsid w:val="00D51CD8"/>
    <w:rsid w:val="00D552D5"/>
    <w:rsid w:val="00D56C0C"/>
    <w:rsid w:val="00D56DEC"/>
    <w:rsid w:val="00D619E0"/>
    <w:rsid w:val="00D62DA0"/>
    <w:rsid w:val="00D64539"/>
    <w:rsid w:val="00D6628B"/>
    <w:rsid w:val="00D72C26"/>
    <w:rsid w:val="00D77400"/>
    <w:rsid w:val="00D77A8B"/>
    <w:rsid w:val="00D8057A"/>
    <w:rsid w:val="00D80796"/>
    <w:rsid w:val="00D81C87"/>
    <w:rsid w:val="00D82DA3"/>
    <w:rsid w:val="00D82F49"/>
    <w:rsid w:val="00D856DD"/>
    <w:rsid w:val="00D90A14"/>
    <w:rsid w:val="00D956CC"/>
    <w:rsid w:val="00DA26F3"/>
    <w:rsid w:val="00DA2850"/>
    <w:rsid w:val="00DA2EBF"/>
    <w:rsid w:val="00DA426B"/>
    <w:rsid w:val="00DA62CC"/>
    <w:rsid w:val="00DA681B"/>
    <w:rsid w:val="00DA71CB"/>
    <w:rsid w:val="00DA789A"/>
    <w:rsid w:val="00DB26CD"/>
    <w:rsid w:val="00DC0E83"/>
    <w:rsid w:val="00DC6D52"/>
    <w:rsid w:val="00DC70DE"/>
    <w:rsid w:val="00DD059F"/>
    <w:rsid w:val="00DD1B8A"/>
    <w:rsid w:val="00DD4799"/>
    <w:rsid w:val="00DD59F8"/>
    <w:rsid w:val="00DD5A70"/>
    <w:rsid w:val="00DD698F"/>
    <w:rsid w:val="00DD7F49"/>
    <w:rsid w:val="00DE36FE"/>
    <w:rsid w:val="00DE64AA"/>
    <w:rsid w:val="00DE6503"/>
    <w:rsid w:val="00DF0C16"/>
    <w:rsid w:val="00DF0D96"/>
    <w:rsid w:val="00DF0F2A"/>
    <w:rsid w:val="00DF48DA"/>
    <w:rsid w:val="00E00A7A"/>
    <w:rsid w:val="00E110B7"/>
    <w:rsid w:val="00E11259"/>
    <w:rsid w:val="00E112FE"/>
    <w:rsid w:val="00E137DA"/>
    <w:rsid w:val="00E13B15"/>
    <w:rsid w:val="00E16BCD"/>
    <w:rsid w:val="00E17F07"/>
    <w:rsid w:val="00E21B71"/>
    <w:rsid w:val="00E23595"/>
    <w:rsid w:val="00E25029"/>
    <w:rsid w:val="00E25512"/>
    <w:rsid w:val="00E26A19"/>
    <w:rsid w:val="00E305C5"/>
    <w:rsid w:val="00E30DE6"/>
    <w:rsid w:val="00E43600"/>
    <w:rsid w:val="00E45931"/>
    <w:rsid w:val="00E46EB5"/>
    <w:rsid w:val="00E4754A"/>
    <w:rsid w:val="00E47723"/>
    <w:rsid w:val="00E52E0B"/>
    <w:rsid w:val="00E53A52"/>
    <w:rsid w:val="00E543EB"/>
    <w:rsid w:val="00E549D3"/>
    <w:rsid w:val="00E6251F"/>
    <w:rsid w:val="00E62F34"/>
    <w:rsid w:val="00E633C0"/>
    <w:rsid w:val="00E644D3"/>
    <w:rsid w:val="00E6491F"/>
    <w:rsid w:val="00E66880"/>
    <w:rsid w:val="00E72ECB"/>
    <w:rsid w:val="00E7550E"/>
    <w:rsid w:val="00E80F48"/>
    <w:rsid w:val="00E82355"/>
    <w:rsid w:val="00E82971"/>
    <w:rsid w:val="00E86DF7"/>
    <w:rsid w:val="00E90A33"/>
    <w:rsid w:val="00E91EC0"/>
    <w:rsid w:val="00E94603"/>
    <w:rsid w:val="00EA5A5C"/>
    <w:rsid w:val="00EA6C11"/>
    <w:rsid w:val="00EA6C9D"/>
    <w:rsid w:val="00EA6CE1"/>
    <w:rsid w:val="00EA7100"/>
    <w:rsid w:val="00EA7125"/>
    <w:rsid w:val="00EB029D"/>
    <w:rsid w:val="00EB0AEB"/>
    <w:rsid w:val="00EB3EC8"/>
    <w:rsid w:val="00EB52F9"/>
    <w:rsid w:val="00EC01AA"/>
    <w:rsid w:val="00EC199D"/>
    <w:rsid w:val="00EC1CA7"/>
    <w:rsid w:val="00EC2154"/>
    <w:rsid w:val="00EC4B9D"/>
    <w:rsid w:val="00EC543D"/>
    <w:rsid w:val="00ED0234"/>
    <w:rsid w:val="00ED07D6"/>
    <w:rsid w:val="00ED0C9A"/>
    <w:rsid w:val="00ED4B6D"/>
    <w:rsid w:val="00EE0D3A"/>
    <w:rsid w:val="00EE2B19"/>
    <w:rsid w:val="00EE53D6"/>
    <w:rsid w:val="00EE7BF7"/>
    <w:rsid w:val="00EF2F28"/>
    <w:rsid w:val="00EF6AC0"/>
    <w:rsid w:val="00F0487C"/>
    <w:rsid w:val="00F0565A"/>
    <w:rsid w:val="00F07690"/>
    <w:rsid w:val="00F10AAB"/>
    <w:rsid w:val="00F116F2"/>
    <w:rsid w:val="00F11A0F"/>
    <w:rsid w:val="00F133D6"/>
    <w:rsid w:val="00F153BD"/>
    <w:rsid w:val="00F16852"/>
    <w:rsid w:val="00F17ADD"/>
    <w:rsid w:val="00F201E4"/>
    <w:rsid w:val="00F24AC8"/>
    <w:rsid w:val="00F25236"/>
    <w:rsid w:val="00F257B2"/>
    <w:rsid w:val="00F2789C"/>
    <w:rsid w:val="00F309F0"/>
    <w:rsid w:val="00F363EB"/>
    <w:rsid w:val="00F379F7"/>
    <w:rsid w:val="00F405FA"/>
    <w:rsid w:val="00F406AC"/>
    <w:rsid w:val="00F41A23"/>
    <w:rsid w:val="00F447CD"/>
    <w:rsid w:val="00F44AEF"/>
    <w:rsid w:val="00F46BB5"/>
    <w:rsid w:val="00F50F6E"/>
    <w:rsid w:val="00F54379"/>
    <w:rsid w:val="00F57BBC"/>
    <w:rsid w:val="00F65FBC"/>
    <w:rsid w:val="00F7058D"/>
    <w:rsid w:val="00F722B2"/>
    <w:rsid w:val="00F73B42"/>
    <w:rsid w:val="00F743BB"/>
    <w:rsid w:val="00F76770"/>
    <w:rsid w:val="00F76CDD"/>
    <w:rsid w:val="00F84068"/>
    <w:rsid w:val="00F87341"/>
    <w:rsid w:val="00F87BC5"/>
    <w:rsid w:val="00F90AC4"/>
    <w:rsid w:val="00F90D1D"/>
    <w:rsid w:val="00F91CF7"/>
    <w:rsid w:val="00F93E30"/>
    <w:rsid w:val="00FA112E"/>
    <w:rsid w:val="00FA4FFC"/>
    <w:rsid w:val="00FA70A5"/>
    <w:rsid w:val="00FA7C27"/>
    <w:rsid w:val="00FA7F25"/>
    <w:rsid w:val="00FB0723"/>
    <w:rsid w:val="00FB2685"/>
    <w:rsid w:val="00FB4A0B"/>
    <w:rsid w:val="00FB5562"/>
    <w:rsid w:val="00FB6EDD"/>
    <w:rsid w:val="00FC2D9B"/>
    <w:rsid w:val="00FC46EE"/>
    <w:rsid w:val="00FC6193"/>
    <w:rsid w:val="00FC623C"/>
    <w:rsid w:val="00FC6310"/>
    <w:rsid w:val="00FC6CA9"/>
    <w:rsid w:val="00FE048A"/>
    <w:rsid w:val="00FE3BFF"/>
    <w:rsid w:val="00FE5D3E"/>
    <w:rsid w:val="00FF5756"/>
    <w:rsid w:val="00FF697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caption" w:uiPriority="99" w:qFormat="1"/>
    <w:lsdException w:name="table of figures" w:uiPriority="99"/>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AF1"/>
    <w:rPr>
      <w:sz w:val="22"/>
      <w:szCs w:val="22"/>
    </w:rPr>
  </w:style>
  <w:style w:type="paragraph" w:styleId="Titre1">
    <w:name w:val="heading 1"/>
    <w:aliases w:val="bef_titre2,1. Titre 1"/>
    <w:basedOn w:val="Normal"/>
    <w:next w:val="Normal"/>
    <w:link w:val="Titre1Car"/>
    <w:qFormat/>
    <w:rsid w:val="0061247F"/>
    <w:pPr>
      <w:keepNext/>
      <w:spacing w:before="480" w:after="240"/>
      <w:outlineLvl w:val="0"/>
    </w:pPr>
    <w:rPr>
      <w:rFonts w:ascii="Arial" w:hAnsi="Arial"/>
      <w:b/>
      <w:sz w:val="36"/>
    </w:rPr>
  </w:style>
  <w:style w:type="paragraph" w:styleId="Titre2">
    <w:name w:val="heading 2"/>
    <w:aliases w:val="1.1 Titre 2"/>
    <w:basedOn w:val="Titre1"/>
    <w:next w:val="Normal"/>
    <w:link w:val="Titre2Car"/>
    <w:qFormat/>
    <w:rsid w:val="0061247F"/>
    <w:pPr>
      <w:numPr>
        <w:ilvl w:val="1"/>
        <w:numId w:val="1"/>
      </w:numPr>
      <w:spacing w:before="360" w:after="120"/>
      <w:outlineLvl w:val="1"/>
    </w:pPr>
    <w:rPr>
      <w:b w:val="0"/>
      <w:sz w:val="32"/>
    </w:rPr>
  </w:style>
  <w:style w:type="paragraph" w:styleId="Titre3">
    <w:name w:val="heading 3"/>
    <w:basedOn w:val="Titre2"/>
    <w:next w:val="Normal"/>
    <w:link w:val="Titre3Car"/>
    <w:qFormat/>
    <w:rsid w:val="0061247F"/>
    <w:pPr>
      <w:numPr>
        <w:ilvl w:val="2"/>
      </w:numPr>
      <w:outlineLvl w:val="2"/>
    </w:pPr>
    <w:rPr>
      <w:b/>
      <w:sz w:val="24"/>
    </w:rPr>
  </w:style>
  <w:style w:type="paragraph" w:styleId="Titre4">
    <w:name w:val="heading 4"/>
    <w:basedOn w:val="Titre3"/>
    <w:next w:val="Normal"/>
    <w:link w:val="Titre4Car"/>
    <w:qFormat/>
    <w:rsid w:val="0061247F"/>
    <w:pPr>
      <w:numPr>
        <w:ilvl w:val="3"/>
      </w:numPr>
      <w:spacing w:before="240"/>
      <w:outlineLvl w:val="3"/>
    </w:pPr>
    <w:rPr>
      <w:b w:val="0"/>
      <w:sz w:val="22"/>
    </w:rPr>
  </w:style>
  <w:style w:type="paragraph" w:styleId="Titre5">
    <w:name w:val="heading 5"/>
    <w:basedOn w:val="Titre4"/>
    <w:link w:val="Titre5Car"/>
    <w:qFormat/>
    <w:rsid w:val="0061247F"/>
    <w:pPr>
      <w:numPr>
        <w:ilvl w:val="4"/>
      </w:numPr>
      <w:outlineLvl w:val="4"/>
    </w:pPr>
    <w:rPr>
      <w:rFonts w:ascii="Times New Roman" w:hAnsi="Times New Roman"/>
      <w:b/>
      <w:i/>
    </w:rPr>
  </w:style>
  <w:style w:type="paragraph" w:styleId="Titre6">
    <w:name w:val="heading 6"/>
    <w:basedOn w:val="Normal"/>
    <w:next w:val="Normal"/>
    <w:link w:val="Titre6Car"/>
    <w:qFormat/>
    <w:rsid w:val="00E25029"/>
    <w:pPr>
      <w:spacing w:before="240" w:after="60"/>
      <w:outlineLvl w:val="5"/>
    </w:pPr>
    <w:rPr>
      <w:b/>
      <w:bCs/>
    </w:rPr>
  </w:style>
  <w:style w:type="paragraph" w:styleId="Titre7">
    <w:name w:val="heading 7"/>
    <w:basedOn w:val="Normal"/>
    <w:next w:val="Normal"/>
    <w:link w:val="Titre7Car"/>
    <w:qFormat/>
    <w:rsid w:val="00E25029"/>
    <w:pPr>
      <w:spacing w:before="240" w:after="60"/>
      <w:outlineLvl w:val="6"/>
    </w:pPr>
    <w:rPr>
      <w:sz w:val="24"/>
      <w:szCs w:val="24"/>
    </w:rPr>
  </w:style>
  <w:style w:type="paragraph" w:styleId="Titre8">
    <w:name w:val="heading 8"/>
    <w:basedOn w:val="Normal"/>
    <w:next w:val="Normal"/>
    <w:link w:val="Titre8Car"/>
    <w:qFormat/>
    <w:rsid w:val="00E25029"/>
    <w:pPr>
      <w:spacing w:before="240" w:after="60"/>
      <w:outlineLvl w:val="7"/>
    </w:pPr>
    <w:rPr>
      <w:i/>
      <w:iCs/>
      <w:sz w:val="24"/>
      <w:szCs w:val="24"/>
    </w:rPr>
  </w:style>
  <w:style w:type="paragraph" w:styleId="Titre9">
    <w:name w:val="heading 9"/>
    <w:basedOn w:val="Normal"/>
    <w:next w:val="Normal"/>
    <w:link w:val="Titre9Car"/>
    <w:qFormat/>
    <w:rsid w:val="00E25029"/>
    <w:pPr>
      <w:keepNext/>
      <w:numPr>
        <w:numId w:val="3"/>
      </w:numPr>
      <w:jc w:val="both"/>
      <w:outlineLvl w:val="8"/>
    </w:pPr>
    <w:rPr>
      <w:rFonts w:ascii="Arial" w:hAnsi="Arial" w:cs="Arial"/>
      <w:b/>
      <w:sz w:val="28"/>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bef_titre2 Car,1. Titre 1 Car"/>
    <w:basedOn w:val="Policepardfaut"/>
    <w:link w:val="Titre1"/>
    <w:rsid w:val="00E25029"/>
    <w:rPr>
      <w:rFonts w:ascii="Arial" w:hAnsi="Arial"/>
      <w:b/>
      <w:sz w:val="36"/>
      <w:szCs w:val="22"/>
    </w:rPr>
  </w:style>
  <w:style w:type="character" w:customStyle="1" w:styleId="Titre2Car">
    <w:name w:val="Titre 2 Car"/>
    <w:aliases w:val="1.1 Titre 2 Car"/>
    <w:basedOn w:val="Policepardfaut"/>
    <w:link w:val="Titre2"/>
    <w:rsid w:val="00E25029"/>
    <w:rPr>
      <w:rFonts w:ascii="Arial" w:hAnsi="Arial"/>
      <w:sz w:val="32"/>
      <w:szCs w:val="22"/>
    </w:rPr>
  </w:style>
  <w:style w:type="character" w:customStyle="1" w:styleId="Titre3Car">
    <w:name w:val="Titre 3 Car"/>
    <w:basedOn w:val="Policepardfaut"/>
    <w:link w:val="Titre3"/>
    <w:rsid w:val="00E25029"/>
    <w:rPr>
      <w:rFonts w:ascii="Arial" w:hAnsi="Arial"/>
      <w:b/>
      <w:sz w:val="24"/>
      <w:szCs w:val="22"/>
    </w:rPr>
  </w:style>
  <w:style w:type="character" w:customStyle="1" w:styleId="Titre4Car">
    <w:name w:val="Titre 4 Car"/>
    <w:basedOn w:val="Policepardfaut"/>
    <w:link w:val="Titre4"/>
    <w:rsid w:val="00E25029"/>
    <w:rPr>
      <w:rFonts w:ascii="Arial" w:hAnsi="Arial"/>
      <w:sz w:val="22"/>
      <w:szCs w:val="22"/>
    </w:rPr>
  </w:style>
  <w:style w:type="character" w:customStyle="1" w:styleId="Titre5Car">
    <w:name w:val="Titre 5 Car"/>
    <w:basedOn w:val="Policepardfaut"/>
    <w:link w:val="Titre5"/>
    <w:rsid w:val="00E25029"/>
    <w:rPr>
      <w:b/>
      <w:i/>
      <w:sz w:val="22"/>
      <w:szCs w:val="22"/>
    </w:rPr>
  </w:style>
  <w:style w:type="character" w:customStyle="1" w:styleId="Titre6Car">
    <w:name w:val="Titre 6 Car"/>
    <w:basedOn w:val="Policepardfaut"/>
    <w:link w:val="Titre6"/>
    <w:rsid w:val="00E25029"/>
    <w:rPr>
      <w:b/>
      <w:bCs/>
      <w:sz w:val="22"/>
      <w:szCs w:val="22"/>
    </w:rPr>
  </w:style>
  <w:style w:type="character" w:customStyle="1" w:styleId="Titre7Car">
    <w:name w:val="Titre 7 Car"/>
    <w:basedOn w:val="Policepardfaut"/>
    <w:link w:val="Titre7"/>
    <w:rsid w:val="00E25029"/>
    <w:rPr>
      <w:sz w:val="24"/>
      <w:szCs w:val="24"/>
    </w:rPr>
  </w:style>
  <w:style w:type="character" w:customStyle="1" w:styleId="Titre8Car">
    <w:name w:val="Titre 8 Car"/>
    <w:basedOn w:val="Policepardfaut"/>
    <w:link w:val="Titre8"/>
    <w:rsid w:val="00E25029"/>
    <w:rPr>
      <w:i/>
      <w:iCs/>
      <w:sz w:val="24"/>
      <w:szCs w:val="24"/>
    </w:rPr>
  </w:style>
  <w:style w:type="character" w:customStyle="1" w:styleId="Titre9Car">
    <w:name w:val="Titre 9 Car"/>
    <w:basedOn w:val="Policepardfaut"/>
    <w:link w:val="Titre9"/>
    <w:rsid w:val="00E25029"/>
    <w:rPr>
      <w:rFonts w:ascii="Arial" w:hAnsi="Arial" w:cs="Arial"/>
      <w:b/>
      <w:sz w:val="28"/>
    </w:rPr>
  </w:style>
  <w:style w:type="character" w:styleId="Appelnotedebasdep">
    <w:name w:val="footnote reference"/>
    <w:basedOn w:val="Policepardfaut"/>
    <w:uiPriority w:val="99"/>
    <w:rsid w:val="0061247F"/>
    <w:rPr>
      <w:rFonts w:ascii="Times New Roman" w:hAnsi="Times New Roman"/>
      <w:position w:val="6"/>
      <w:sz w:val="12"/>
      <w:bdr w:val="none" w:sz="0" w:space="0" w:color="auto"/>
    </w:rPr>
  </w:style>
  <w:style w:type="paragraph" w:styleId="En-tte">
    <w:name w:val="header"/>
    <w:basedOn w:val="Normal"/>
    <w:link w:val="En-tteCar"/>
    <w:rsid w:val="0061247F"/>
    <w:pPr>
      <w:pBdr>
        <w:bottom w:val="single" w:sz="6" w:space="2" w:color="auto"/>
      </w:pBdr>
      <w:tabs>
        <w:tab w:val="right" w:pos="8222"/>
      </w:tabs>
    </w:pPr>
    <w:rPr>
      <w:sz w:val="18"/>
    </w:rPr>
  </w:style>
  <w:style w:type="character" w:customStyle="1" w:styleId="En-tteCar">
    <w:name w:val="En-tête Car"/>
    <w:basedOn w:val="Policepardfaut"/>
    <w:link w:val="En-tte"/>
    <w:rsid w:val="00E25029"/>
    <w:rPr>
      <w:sz w:val="18"/>
    </w:rPr>
  </w:style>
  <w:style w:type="paragraph" w:styleId="Notedebasdepage">
    <w:name w:val="footnote text"/>
    <w:aliases w:val="fn,footnote text,Footnotes,Footnote ak,single space,FOOTNOTES"/>
    <w:basedOn w:val="Normal"/>
    <w:link w:val="NotedebasdepageCar"/>
    <w:uiPriority w:val="99"/>
    <w:rsid w:val="0061247F"/>
    <w:pPr>
      <w:spacing w:before="40" w:after="40"/>
      <w:ind w:left="170" w:right="851" w:hanging="170"/>
    </w:pPr>
    <w:rPr>
      <w:sz w:val="16"/>
    </w:rPr>
  </w:style>
  <w:style w:type="character" w:customStyle="1" w:styleId="NotedebasdepageCar">
    <w:name w:val="Note de bas de page Car"/>
    <w:aliases w:val="fn Car,footnote text Car,Footnotes Car,Footnote ak Car,single space Car,FOOTNOTES Car"/>
    <w:basedOn w:val="Policepardfaut"/>
    <w:link w:val="Notedebasdepage"/>
    <w:uiPriority w:val="99"/>
    <w:rsid w:val="00E25029"/>
    <w:rPr>
      <w:sz w:val="16"/>
    </w:rPr>
  </w:style>
  <w:style w:type="paragraph" w:styleId="Pieddepage">
    <w:name w:val="footer"/>
    <w:basedOn w:val="Normal"/>
    <w:link w:val="PieddepageCar"/>
    <w:rsid w:val="0061247F"/>
    <w:pPr>
      <w:pBdr>
        <w:top w:val="single" w:sz="6" w:space="2" w:color="auto"/>
      </w:pBdr>
      <w:tabs>
        <w:tab w:val="right" w:pos="8222"/>
      </w:tabs>
    </w:pPr>
    <w:rPr>
      <w:rFonts w:ascii="Arial" w:hAnsi="Arial"/>
      <w:sz w:val="18"/>
    </w:rPr>
  </w:style>
  <w:style w:type="character" w:customStyle="1" w:styleId="PieddepageCar">
    <w:name w:val="Pied de page Car"/>
    <w:basedOn w:val="Policepardfaut"/>
    <w:link w:val="Pieddepage"/>
    <w:rsid w:val="00E25029"/>
    <w:rPr>
      <w:rFonts w:ascii="Arial" w:hAnsi="Arial"/>
      <w:sz w:val="18"/>
    </w:rPr>
  </w:style>
  <w:style w:type="paragraph" w:styleId="TM1">
    <w:name w:val="toc 1"/>
    <w:basedOn w:val="Normal"/>
    <w:next w:val="Normal"/>
    <w:autoRedefine/>
    <w:uiPriority w:val="39"/>
    <w:rsid w:val="00B64020"/>
    <w:pPr>
      <w:tabs>
        <w:tab w:val="right" w:leader="dot" w:pos="9214"/>
      </w:tabs>
      <w:spacing w:before="120"/>
    </w:pPr>
    <w:rPr>
      <w:rFonts w:asciiTheme="minorHAnsi" w:hAnsiTheme="minorHAnsi"/>
      <w:b/>
      <w:bCs/>
      <w:i/>
      <w:iCs/>
      <w:sz w:val="24"/>
      <w:szCs w:val="24"/>
    </w:rPr>
  </w:style>
  <w:style w:type="paragraph" w:styleId="TM2">
    <w:name w:val="toc 2"/>
    <w:basedOn w:val="Normal"/>
    <w:next w:val="Normal"/>
    <w:autoRedefine/>
    <w:uiPriority w:val="39"/>
    <w:rsid w:val="00B64020"/>
    <w:pPr>
      <w:tabs>
        <w:tab w:val="right" w:leader="dot" w:pos="9214"/>
      </w:tabs>
      <w:spacing w:before="120"/>
      <w:ind w:left="708"/>
    </w:pPr>
    <w:rPr>
      <w:rFonts w:asciiTheme="minorHAnsi" w:hAnsiTheme="minorHAnsi"/>
      <w:b/>
      <w:bCs/>
    </w:rPr>
  </w:style>
  <w:style w:type="paragraph" w:styleId="TM3">
    <w:name w:val="toc 3"/>
    <w:basedOn w:val="Normal"/>
    <w:next w:val="Normal"/>
    <w:autoRedefine/>
    <w:uiPriority w:val="39"/>
    <w:rsid w:val="0061247F"/>
    <w:pPr>
      <w:ind w:left="440"/>
    </w:pPr>
    <w:rPr>
      <w:rFonts w:asciiTheme="minorHAnsi" w:hAnsiTheme="minorHAnsi"/>
      <w:sz w:val="20"/>
      <w:szCs w:val="20"/>
    </w:rPr>
  </w:style>
  <w:style w:type="paragraph" w:styleId="TM4">
    <w:name w:val="toc 4"/>
    <w:basedOn w:val="Normal"/>
    <w:next w:val="Normal"/>
    <w:autoRedefine/>
    <w:rsid w:val="0061247F"/>
    <w:pPr>
      <w:ind w:left="660"/>
    </w:pPr>
    <w:rPr>
      <w:rFonts w:asciiTheme="minorHAnsi" w:hAnsiTheme="minorHAnsi"/>
      <w:sz w:val="20"/>
      <w:szCs w:val="20"/>
    </w:rPr>
  </w:style>
  <w:style w:type="paragraph" w:styleId="TM5">
    <w:name w:val="toc 5"/>
    <w:basedOn w:val="Normal"/>
    <w:next w:val="Normal"/>
    <w:autoRedefine/>
    <w:semiHidden/>
    <w:rsid w:val="0061247F"/>
    <w:pPr>
      <w:ind w:left="880"/>
    </w:pPr>
    <w:rPr>
      <w:rFonts w:asciiTheme="minorHAnsi" w:hAnsiTheme="minorHAnsi"/>
      <w:sz w:val="20"/>
      <w:szCs w:val="20"/>
    </w:rPr>
  </w:style>
  <w:style w:type="paragraph" w:styleId="Lgende">
    <w:name w:val="caption"/>
    <w:basedOn w:val="Normal"/>
    <w:next w:val="Normal"/>
    <w:uiPriority w:val="99"/>
    <w:qFormat/>
    <w:rsid w:val="0061247F"/>
    <w:rPr>
      <w:rFonts w:ascii="Arial" w:hAnsi="Arial"/>
      <w:b/>
      <w:sz w:val="20"/>
    </w:rPr>
  </w:style>
  <w:style w:type="paragraph" w:styleId="Titre">
    <w:name w:val="Title"/>
    <w:basedOn w:val="Normal"/>
    <w:next w:val="Normal"/>
    <w:link w:val="TitreCar"/>
    <w:autoRedefine/>
    <w:uiPriority w:val="10"/>
    <w:qFormat/>
    <w:rsid w:val="00C544BA"/>
    <w:pPr>
      <w:pBdr>
        <w:bottom w:val="single" w:sz="8" w:space="4" w:color="4F81BD" w:themeColor="accent1"/>
      </w:pBdr>
      <w:spacing w:after="300"/>
      <w:contextualSpacing/>
    </w:pPr>
    <w:rPr>
      <w:rFonts w:ascii="Arial" w:eastAsiaTheme="majorEastAsia" w:hAnsi="Arial"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C544BA"/>
    <w:rPr>
      <w:rFonts w:ascii="Arial" w:eastAsiaTheme="majorEastAsia" w:hAnsi="Arial" w:cstheme="majorBidi"/>
      <w:color w:val="17365D" w:themeColor="text2" w:themeShade="BF"/>
      <w:spacing w:val="5"/>
      <w:kern w:val="28"/>
      <w:sz w:val="52"/>
      <w:szCs w:val="52"/>
    </w:rPr>
  </w:style>
  <w:style w:type="paragraph" w:customStyle="1" w:styleId="Point">
    <w:name w:val="_Point"/>
    <w:basedOn w:val="Normal"/>
    <w:rsid w:val="00E25029"/>
    <w:pPr>
      <w:numPr>
        <w:numId w:val="2"/>
      </w:numPr>
    </w:pPr>
    <w:rPr>
      <w:sz w:val="20"/>
      <w:szCs w:val="20"/>
    </w:rPr>
  </w:style>
  <w:style w:type="paragraph" w:customStyle="1" w:styleId="titreI">
    <w:name w:val="titre I"/>
    <w:basedOn w:val="Normal"/>
    <w:rsid w:val="00E25029"/>
    <w:pPr>
      <w:numPr>
        <w:numId w:val="4"/>
      </w:numPr>
      <w:jc w:val="both"/>
    </w:pPr>
    <w:rPr>
      <w:rFonts w:ascii="Arial" w:hAnsi="Arial" w:cs="Arial"/>
      <w:b/>
      <w:sz w:val="28"/>
      <w:szCs w:val="20"/>
    </w:rPr>
  </w:style>
  <w:style w:type="paragraph" w:styleId="Corpsdetexte3">
    <w:name w:val="Body Text 3"/>
    <w:basedOn w:val="Normal"/>
    <w:link w:val="Corpsdetexte3Car"/>
    <w:rsid w:val="00E25029"/>
    <w:pPr>
      <w:jc w:val="both"/>
    </w:pPr>
    <w:rPr>
      <w:rFonts w:ascii="Arial" w:hAnsi="Arial" w:cs="Arial"/>
    </w:rPr>
  </w:style>
  <w:style w:type="character" w:customStyle="1" w:styleId="Corpsdetexte3Car">
    <w:name w:val="Corps de texte 3 Car"/>
    <w:basedOn w:val="Policepardfaut"/>
    <w:link w:val="Corpsdetexte3"/>
    <w:rsid w:val="00E25029"/>
    <w:rPr>
      <w:rFonts w:ascii="Arial" w:hAnsi="Arial" w:cs="Arial"/>
      <w:sz w:val="22"/>
      <w:szCs w:val="22"/>
    </w:rPr>
  </w:style>
  <w:style w:type="paragraph" w:styleId="Corpsdetexte2">
    <w:name w:val="Body Text 2"/>
    <w:basedOn w:val="Normal"/>
    <w:link w:val="Corpsdetexte2Car"/>
    <w:rsid w:val="00E25029"/>
    <w:rPr>
      <w:rFonts w:ascii="CG Times" w:hAnsi="CG Times"/>
      <w:b/>
      <w:sz w:val="26"/>
      <w:szCs w:val="20"/>
    </w:rPr>
  </w:style>
  <w:style w:type="character" w:customStyle="1" w:styleId="Corpsdetexte2Car">
    <w:name w:val="Corps de texte 2 Car"/>
    <w:basedOn w:val="Policepardfaut"/>
    <w:link w:val="Corpsdetexte2"/>
    <w:rsid w:val="00E25029"/>
    <w:rPr>
      <w:rFonts w:ascii="CG Times" w:hAnsi="CG Times"/>
      <w:b/>
      <w:sz w:val="26"/>
    </w:rPr>
  </w:style>
  <w:style w:type="paragraph" w:styleId="Corpsdetexte">
    <w:name w:val="Body Text"/>
    <w:basedOn w:val="Normal"/>
    <w:link w:val="CorpsdetexteCar"/>
    <w:rsid w:val="00E25029"/>
    <w:pPr>
      <w:tabs>
        <w:tab w:val="num" w:pos="0"/>
      </w:tabs>
      <w:jc w:val="both"/>
    </w:pPr>
    <w:rPr>
      <w:rFonts w:ascii="CG Times" w:hAnsi="CG Times"/>
      <w:sz w:val="26"/>
      <w:szCs w:val="20"/>
    </w:rPr>
  </w:style>
  <w:style w:type="character" w:customStyle="1" w:styleId="CorpsdetexteCar">
    <w:name w:val="Corps de texte Car"/>
    <w:basedOn w:val="Policepardfaut"/>
    <w:link w:val="Corpsdetexte"/>
    <w:rsid w:val="00E25029"/>
    <w:rPr>
      <w:rFonts w:ascii="CG Times" w:hAnsi="CG Times"/>
      <w:sz w:val="26"/>
    </w:rPr>
  </w:style>
  <w:style w:type="paragraph" w:styleId="Retraitcorpsdetexte">
    <w:name w:val="Body Text Indent"/>
    <w:basedOn w:val="Normal"/>
    <w:link w:val="RetraitcorpsdetexteCar"/>
    <w:rsid w:val="00E25029"/>
    <w:rPr>
      <w:rFonts w:ascii="CG Times" w:hAnsi="CG Times"/>
      <w:sz w:val="26"/>
      <w:szCs w:val="20"/>
    </w:rPr>
  </w:style>
  <w:style w:type="character" w:customStyle="1" w:styleId="RetraitcorpsdetexteCar">
    <w:name w:val="Retrait corps de texte Car"/>
    <w:basedOn w:val="Policepardfaut"/>
    <w:link w:val="Retraitcorpsdetexte"/>
    <w:rsid w:val="00E25029"/>
    <w:rPr>
      <w:rFonts w:ascii="CG Times" w:hAnsi="CG Times"/>
      <w:sz w:val="26"/>
    </w:rPr>
  </w:style>
  <w:style w:type="paragraph" w:customStyle="1" w:styleId="BodyText22">
    <w:name w:val="Body Text 22"/>
    <w:basedOn w:val="Normal"/>
    <w:rsid w:val="00E25029"/>
    <w:pPr>
      <w:tabs>
        <w:tab w:val="left" w:pos="1413"/>
      </w:tabs>
      <w:jc w:val="both"/>
    </w:pPr>
    <w:rPr>
      <w:rFonts w:ascii="Arial" w:hAnsi="Arial"/>
      <w:sz w:val="24"/>
      <w:szCs w:val="20"/>
    </w:rPr>
  </w:style>
  <w:style w:type="paragraph" w:styleId="Retraitcorpsdetexte2">
    <w:name w:val="Body Text Indent 2"/>
    <w:basedOn w:val="Normal"/>
    <w:link w:val="Retraitcorpsdetexte2Car"/>
    <w:rsid w:val="00E25029"/>
    <w:pPr>
      <w:ind w:left="-851"/>
      <w:jc w:val="both"/>
    </w:pPr>
    <w:rPr>
      <w:sz w:val="28"/>
      <w:szCs w:val="20"/>
    </w:rPr>
  </w:style>
  <w:style w:type="character" w:customStyle="1" w:styleId="Retraitcorpsdetexte2Car">
    <w:name w:val="Retrait corps de texte 2 Car"/>
    <w:basedOn w:val="Policepardfaut"/>
    <w:link w:val="Retraitcorpsdetexte2"/>
    <w:rsid w:val="00E25029"/>
    <w:rPr>
      <w:sz w:val="28"/>
    </w:rPr>
  </w:style>
  <w:style w:type="paragraph" w:styleId="Retraitcorpsdetexte3">
    <w:name w:val="Body Text Indent 3"/>
    <w:basedOn w:val="Normal"/>
    <w:link w:val="Retraitcorpsdetexte3Car"/>
    <w:rsid w:val="00E25029"/>
    <w:pPr>
      <w:ind w:left="720"/>
      <w:jc w:val="both"/>
    </w:pPr>
    <w:rPr>
      <w:rFonts w:ascii="Arial" w:hAnsi="Arial"/>
      <w:sz w:val="26"/>
      <w:szCs w:val="20"/>
    </w:rPr>
  </w:style>
  <w:style w:type="character" w:customStyle="1" w:styleId="Retraitcorpsdetexte3Car">
    <w:name w:val="Retrait corps de texte 3 Car"/>
    <w:basedOn w:val="Policepardfaut"/>
    <w:link w:val="Retraitcorpsdetexte3"/>
    <w:rsid w:val="00E25029"/>
    <w:rPr>
      <w:rFonts w:ascii="Arial" w:hAnsi="Arial"/>
      <w:sz w:val="26"/>
    </w:rPr>
  </w:style>
  <w:style w:type="paragraph" w:styleId="Tabledesillustrations">
    <w:name w:val="table of figures"/>
    <w:basedOn w:val="Normal"/>
    <w:next w:val="Normal"/>
    <w:uiPriority w:val="99"/>
    <w:rsid w:val="00E25029"/>
    <w:pPr>
      <w:ind w:left="440" w:hanging="440"/>
    </w:pPr>
  </w:style>
  <w:style w:type="paragraph" w:styleId="TM6">
    <w:name w:val="toc 6"/>
    <w:basedOn w:val="Normal"/>
    <w:next w:val="Normal"/>
    <w:autoRedefine/>
    <w:rsid w:val="00E25029"/>
    <w:pPr>
      <w:ind w:left="1100"/>
    </w:pPr>
    <w:rPr>
      <w:rFonts w:asciiTheme="minorHAnsi" w:hAnsiTheme="minorHAnsi"/>
      <w:sz w:val="20"/>
      <w:szCs w:val="20"/>
    </w:rPr>
  </w:style>
  <w:style w:type="paragraph" w:styleId="TM7">
    <w:name w:val="toc 7"/>
    <w:basedOn w:val="Normal"/>
    <w:next w:val="Normal"/>
    <w:autoRedefine/>
    <w:rsid w:val="00E25029"/>
    <w:pPr>
      <w:ind w:left="1320"/>
    </w:pPr>
    <w:rPr>
      <w:rFonts w:asciiTheme="minorHAnsi" w:hAnsiTheme="minorHAnsi"/>
      <w:sz w:val="20"/>
      <w:szCs w:val="20"/>
    </w:rPr>
  </w:style>
  <w:style w:type="paragraph" w:styleId="TM8">
    <w:name w:val="toc 8"/>
    <w:basedOn w:val="Normal"/>
    <w:next w:val="Normal"/>
    <w:autoRedefine/>
    <w:rsid w:val="00E25029"/>
    <w:pPr>
      <w:ind w:left="1540"/>
    </w:pPr>
    <w:rPr>
      <w:rFonts w:asciiTheme="minorHAnsi" w:hAnsiTheme="minorHAnsi"/>
      <w:sz w:val="20"/>
      <w:szCs w:val="20"/>
    </w:rPr>
  </w:style>
  <w:style w:type="paragraph" w:styleId="TM9">
    <w:name w:val="toc 9"/>
    <w:basedOn w:val="Normal"/>
    <w:next w:val="Normal"/>
    <w:autoRedefine/>
    <w:rsid w:val="00E25029"/>
    <w:pPr>
      <w:ind w:left="1760"/>
    </w:pPr>
    <w:rPr>
      <w:rFonts w:asciiTheme="minorHAnsi" w:hAnsiTheme="minorHAnsi"/>
      <w:sz w:val="20"/>
      <w:szCs w:val="20"/>
    </w:rPr>
  </w:style>
  <w:style w:type="character" w:styleId="Lienhypertexte">
    <w:name w:val="Hyperlink"/>
    <w:basedOn w:val="Policepardfaut"/>
    <w:uiPriority w:val="99"/>
    <w:rsid w:val="00E25029"/>
    <w:rPr>
      <w:color w:val="0000FF"/>
      <w:u w:val="single"/>
    </w:rPr>
  </w:style>
  <w:style w:type="paragraph" w:styleId="Commentaire">
    <w:name w:val="annotation text"/>
    <w:basedOn w:val="Normal"/>
    <w:link w:val="CommentaireCar"/>
    <w:uiPriority w:val="99"/>
    <w:rsid w:val="00E25029"/>
    <w:rPr>
      <w:sz w:val="20"/>
      <w:szCs w:val="20"/>
    </w:rPr>
  </w:style>
  <w:style w:type="character" w:customStyle="1" w:styleId="CommentaireCar">
    <w:name w:val="Commentaire Car"/>
    <w:basedOn w:val="Policepardfaut"/>
    <w:link w:val="Commentaire"/>
    <w:uiPriority w:val="99"/>
    <w:rsid w:val="00E25029"/>
  </w:style>
  <w:style w:type="paragraph" w:customStyle="1" w:styleId="BodyText31">
    <w:name w:val="Body Text 31"/>
    <w:basedOn w:val="Normal"/>
    <w:rsid w:val="00E25029"/>
    <w:pPr>
      <w:jc w:val="both"/>
    </w:pPr>
    <w:rPr>
      <w:rFonts w:ascii="Arial Narrow" w:hAnsi="Arial Narrow"/>
      <w:szCs w:val="20"/>
    </w:rPr>
  </w:style>
  <w:style w:type="paragraph" w:customStyle="1" w:styleId="defonds">
    <w:name w:val="de fonds"/>
    <w:basedOn w:val="Corpsdetexte"/>
    <w:rsid w:val="00E25029"/>
    <w:pPr>
      <w:tabs>
        <w:tab w:val="clear" w:pos="0"/>
        <w:tab w:val="num" w:pos="1428"/>
      </w:tabs>
      <w:ind w:left="1428" w:hanging="360"/>
    </w:pPr>
    <w:rPr>
      <w:rFonts w:ascii="Arial" w:hAnsi="Arial"/>
      <w:sz w:val="24"/>
    </w:rPr>
  </w:style>
  <w:style w:type="paragraph" w:customStyle="1" w:styleId="xl27">
    <w:name w:val="xl27"/>
    <w:basedOn w:val="Normal"/>
    <w:rsid w:val="00E25029"/>
    <w:pPr>
      <w:pBdr>
        <w:left w:val="single" w:sz="12"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BodyText23">
    <w:name w:val="Body Text 23"/>
    <w:basedOn w:val="Normal"/>
    <w:rsid w:val="00E25029"/>
    <w:pPr>
      <w:jc w:val="both"/>
    </w:pPr>
    <w:rPr>
      <w:rFonts w:ascii="Arial Narrow" w:hAnsi="Arial Narrow"/>
      <w:b/>
      <w:sz w:val="24"/>
      <w:szCs w:val="20"/>
    </w:rPr>
  </w:style>
  <w:style w:type="character" w:styleId="Numrodepage">
    <w:name w:val="page number"/>
    <w:basedOn w:val="Policepardfaut"/>
    <w:rsid w:val="00E25029"/>
  </w:style>
  <w:style w:type="paragraph" w:customStyle="1" w:styleId="xl24">
    <w:name w:val="xl24"/>
    <w:basedOn w:val="Normal"/>
    <w:rsid w:val="00E25029"/>
    <w:pPr>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5">
    <w:name w:val="xl25"/>
    <w:basedOn w:val="Normal"/>
    <w:rsid w:val="00E25029"/>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6">
    <w:name w:val="xl26"/>
    <w:basedOn w:val="Normal"/>
    <w:rsid w:val="00E25029"/>
    <w:pPr>
      <w:pBdr>
        <w:left w:val="single" w:sz="4" w:space="0" w:color="auto"/>
      </w:pBdr>
      <w:spacing w:before="100" w:beforeAutospacing="1" w:after="100" w:afterAutospacing="1"/>
      <w:jc w:val="both"/>
      <w:textAlignment w:val="top"/>
    </w:pPr>
    <w:rPr>
      <w:rFonts w:ascii="Book Antiqua" w:eastAsia="Arial Unicode MS" w:hAnsi="Book Antiqua" w:cs="Arial Unicode MS"/>
      <w:b/>
      <w:bCs/>
      <w:color w:val="000000"/>
      <w:sz w:val="24"/>
      <w:szCs w:val="24"/>
    </w:rPr>
  </w:style>
  <w:style w:type="paragraph" w:customStyle="1" w:styleId="xl28">
    <w:name w:val="xl28"/>
    <w:basedOn w:val="Normal"/>
    <w:rsid w:val="00E25029"/>
    <w:pPr>
      <w:pBdr>
        <w:right w:val="single" w:sz="4" w:space="0" w:color="auto"/>
      </w:pBdr>
      <w:spacing w:before="100" w:beforeAutospacing="1" w:after="100" w:afterAutospacing="1"/>
      <w:jc w:val="center"/>
      <w:textAlignment w:val="top"/>
    </w:pPr>
    <w:rPr>
      <w:rFonts w:ascii="Book Antiqua" w:eastAsia="Arial Unicode MS" w:hAnsi="Book Antiqua" w:cs="Arial Unicode MS"/>
      <w:b/>
      <w:bCs/>
      <w:color w:val="000000"/>
      <w:sz w:val="24"/>
      <w:szCs w:val="24"/>
    </w:rPr>
  </w:style>
  <w:style w:type="paragraph" w:customStyle="1" w:styleId="xl29">
    <w:name w:val="xl29"/>
    <w:basedOn w:val="Normal"/>
    <w:rsid w:val="00E25029"/>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0">
    <w:name w:val="xl30"/>
    <w:basedOn w:val="Normal"/>
    <w:rsid w:val="00E25029"/>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1">
    <w:name w:val="xl31"/>
    <w:basedOn w:val="Normal"/>
    <w:rsid w:val="00E25029"/>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2">
    <w:name w:val="xl32"/>
    <w:basedOn w:val="Normal"/>
    <w:rsid w:val="00E25029"/>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E25029"/>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4">
    <w:name w:val="xl34"/>
    <w:basedOn w:val="Normal"/>
    <w:rsid w:val="00E25029"/>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5">
    <w:name w:val="xl35"/>
    <w:basedOn w:val="Normal"/>
    <w:rsid w:val="00E25029"/>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6">
    <w:name w:val="xl36"/>
    <w:basedOn w:val="Normal"/>
    <w:rsid w:val="00E25029"/>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7">
    <w:name w:val="xl37"/>
    <w:basedOn w:val="Normal"/>
    <w:rsid w:val="00E25029"/>
    <w:pPr>
      <w:pBdr>
        <w:top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E25029"/>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9">
    <w:name w:val="xl39"/>
    <w:basedOn w:val="Normal"/>
    <w:rsid w:val="00E25029"/>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0">
    <w:name w:val="xl40"/>
    <w:basedOn w:val="Normal"/>
    <w:rsid w:val="00E25029"/>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1">
    <w:name w:val="xl41"/>
    <w:basedOn w:val="Normal"/>
    <w:rsid w:val="00E25029"/>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2">
    <w:name w:val="xl42"/>
    <w:basedOn w:val="Normal"/>
    <w:rsid w:val="00E25029"/>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3">
    <w:name w:val="xl43"/>
    <w:basedOn w:val="Normal"/>
    <w:rsid w:val="00E25029"/>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4">
    <w:name w:val="xl44"/>
    <w:basedOn w:val="Normal"/>
    <w:rsid w:val="00E25029"/>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E25029"/>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E25029"/>
    <w:pPr>
      <w:pBdr>
        <w:bottom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47">
    <w:name w:val="xl47"/>
    <w:basedOn w:val="Normal"/>
    <w:rsid w:val="00E25029"/>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8">
    <w:name w:val="xl48"/>
    <w:basedOn w:val="Normal"/>
    <w:rsid w:val="00E25029"/>
    <w:pPr>
      <w:pBdr>
        <w:bottom w:val="single" w:sz="4"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9">
    <w:name w:val="xl49"/>
    <w:basedOn w:val="Normal"/>
    <w:rsid w:val="00E25029"/>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0">
    <w:name w:val="xl50"/>
    <w:basedOn w:val="Normal"/>
    <w:rsid w:val="00E25029"/>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1">
    <w:name w:val="xl51"/>
    <w:basedOn w:val="Normal"/>
    <w:rsid w:val="00E25029"/>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E25029"/>
    <w:pPr>
      <w:pBdr>
        <w:left w:val="single" w:sz="4" w:space="0" w:color="auto"/>
        <w:bottom w:val="single" w:sz="4" w:space="0" w:color="auto"/>
      </w:pBdr>
      <w:spacing w:before="100" w:beforeAutospacing="1" w:after="100" w:afterAutospacing="1"/>
    </w:pPr>
    <w:rPr>
      <w:rFonts w:ascii="Arial" w:eastAsia="Arial Unicode MS" w:hAnsi="Arial" w:cs="Arial"/>
      <w:b/>
      <w:bCs/>
      <w:sz w:val="24"/>
      <w:szCs w:val="24"/>
    </w:rPr>
  </w:style>
  <w:style w:type="paragraph" w:customStyle="1" w:styleId="xl53">
    <w:name w:val="xl53"/>
    <w:basedOn w:val="Normal"/>
    <w:rsid w:val="00E25029"/>
    <w:pPr>
      <w:spacing w:before="100" w:beforeAutospacing="1" w:after="100" w:afterAutospacing="1"/>
      <w:jc w:val="center"/>
    </w:pPr>
    <w:rPr>
      <w:rFonts w:ascii="Arial" w:eastAsia="Arial Unicode MS" w:hAnsi="Arial" w:cs="Arial"/>
      <w:b/>
      <w:bCs/>
      <w:i/>
      <w:iCs/>
      <w:sz w:val="16"/>
      <w:szCs w:val="16"/>
    </w:rPr>
  </w:style>
  <w:style w:type="paragraph" w:customStyle="1" w:styleId="xl54">
    <w:name w:val="xl54"/>
    <w:basedOn w:val="Normal"/>
    <w:rsid w:val="00E25029"/>
    <w:pPr>
      <w:spacing w:before="100" w:beforeAutospacing="1" w:after="100" w:afterAutospacing="1"/>
      <w:jc w:val="center"/>
    </w:pPr>
    <w:rPr>
      <w:rFonts w:ascii="Arial" w:eastAsia="Arial Unicode MS" w:hAnsi="Arial" w:cs="Arial"/>
      <w:b/>
      <w:bCs/>
      <w:i/>
      <w:iCs/>
      <w:sz w:val="16"/>
      <w:szCs w:val="16"/>
    </w:rPr>
  </w:style>
  <w:style w:type="paragraph" w:customStyle="1" w:styleId="xl55">
    <w:name w:val="xl55"/>
    <w:basedOn w:val="Normal"/>
    <w:rsid w:val="00E25029"/>
    <w:pPr>
      <w:spacing w:before="100" w:beforeAutospacing="1" w:after="100" w:afterAutospacing="1"/>
    </w:pPr>
    <w:rPr>
      <w:rFonts w:ascii="Arial" w:eastAsia="Arial Unicode MS" w:hAnsi="Arial" w:cs="Arial"/>
      <w:i/>
      <w:iCs/>
      <w:sz w:val="16"/>
      <w:szCs w:val="16"/>
    </w:rPr>
  </w:style>
  <w:style w:type="paragraph" w:customStyle="1" w:styleId="xl56">
    <w:name w:val="xl56"/>
    <w:basedOn w:val="Normal"/>
    <w:rsid w:val="00E25029"/>
    <w:pPr>
      <w:pBdr>
        <w:top w:val="single" w:sz="8" w:space="0" w:color="auto"/>
      </w:pBdr>
      <w:shd w:val="clear" w:color="auto" w:fill="FFFFFF"/>
      <w:spacing w:before="100" w:beforeAutospacing="1" w:after="100" w:afterAutospacing="1"/>
      <w:jc w:val="center"/>
    </w:pPr>
    <w:rPr>
      <w:rFonts w:ascii="CG Times" w:eastAsia="Arial Unicode MS" w:hAnsi="CG Times" w:cs="Arial Unicode MS"/>
      <w:b/>
      <w:bCs/>
      <w:sz w:val="18"/>
      <w:szCs w:val="18"/>
    </w:rPr>
  </w:style>
  <w:style w:type="paragraph" w:customStyle="1" w:styleId="xl57">
    <w:name w:val="xl57"/>
    <w:basedOn w:val="Normal"/>
    <w:rsid w:val="00E25029"/>
    <w:pPr>
      <w:pBdr>
        <w:bottom w:val="single" w:sz="8" w:space="0" w:color="auto"/>
      </w:pBdr>
      <w:shd w:val="clear" w:color="auto" w:fill="FFFFFF"/>
      <w:spacing w:before="100" w:beforeAutospacing="1" w:after="100" w:afterAutospacing="1"/>
    </w:pPr>
    <w:rPr>
      <w:rFonts w:ascii="CG Times" w:eastAsia="Arial Unicode MS" w:hAnsi="CG Times" w:cs="Arial Unicode MS"/>
      <w:b/>
      <w:bCs/>
      <w:sz w:val="18"/>
      <w:szCs w:val="18"/>
    </w:rPr>
  </w:style>
  <w:style w:type="paragraph" w:customStyle="1" w:styleId="xl58">
    <w:name w:val="xl58"/>
    <w:basedOn w:val="Normal"/>
    <w:rsid w:val="00E25029"/>
    <w:pPr>
      <w:pBdr>
        <w:left w:val="single" w:sz="4" w:space="0" w:color="auto"/>
        <w:bottom w:val="single" w:sz="8" w:space="0" w:color="auto"/>
        <w:right w:val="single" w:sz="4" w:space="0" w:color="auto"/>
      </w:pBdr>
      <w:shd w:val="clear" w:color="auto" w:fill="FFFFFF"/>
      <w:spacing w:before="100" w:beforeAutospacing="1" w:after="100" w:afterAutospacing="1"/>
    </w:pPr>
    <w:rPr>
      <w:rFonts w:ascii="CG Times" w:eastAsia="Arial Unicode MS" w:hAnsi="CG Times" w:cs="Arial Unicode MS"/>
      <w:b/>
      <w:bCs/>
      <w:sz w:val="18"/>
      <w:szCs w:val="18"/>
    </w:rPr>
  </w:style>
  <w:style w:type="paragraph" w:customStyle="1" w:styleId="xl59">
    <w:name w:val="xl59"/>
    <w:basedOn w:val="Normal"/>
    <w:rsid w:val="00E25029"/>
    <w:pPr>
      <w:pBdr>
        <w:left w:val="single" w:sz="4" w:space="0" w:color="auto"/>
        <w:right w:val="single" w:sz="4" w:space="0" w:color="auto"/>
      </w:pBdr>
      <w:spacing w:before="100" w:beforeAutospacing="1" w:after="100" w:afterAutospacing="1"/>
      <w:jc w:val="right"/>
    </w:pPr>
    <w:rPr>
      <w:rFonts w:ascii="CG Times" w:eastAsia="Arial Unicode MS" w:hAnsi="CG Times" w:cs="Arial Unicode MS"/>
      <w:sz w:val="18"/>
      <w:szCs w:val="18"/>
    </w:rPr>
  </w:style>
  <w:style w:type="paragraph" w:customStyle="1" w:styleId="xl60">
    <w:name w:val="xl60"/>
    <w:basedOn w:val="Normal"/>
    <w:rsid w:val="00E25029"/>
    <w:pPr>
      <w:pBdr>
        <w:top w:val="single" w:sz="8" w:space="0" w:color="auto"/>
        <w:left w:val="single" w:sz="4" w:space="0" w:color="auto"/>
        <w:right w:val="single" w:sz="4" w:space="0" w:color="auto"/>
      </w:pBdr>
      <w:shd w:val="clear" w:color="auto" w:fill="FFFFFF"/>
      <w:spacing w:before="100" w:beforeAutospacing="1" w:after="100" w:afterAutospacing="1"/>
      <w:jc w:val="center"/>
    </w:pPr>
    <w:rPr>
      <w:rFonts w:ascii="CG Times" w:eastAsia="Arial Unicode MS" w:hAnsi="CG Times" w:cs="Arial Unicode MS"/>
      <w:b/>
      <w:bCs/>
      <w:sz w:val="18"/>
      <w:szCs w:val="18"/>
    </w:rPr>
  </w:style>
  <w:style w:type="paragraph" w:customStyle="1" w:styleId="xl61">
    <w:name w:val="xl61"/>
    <w:basedOn w:val="Normal"/>
    <w:rsid w:val="00E25029"/>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b/>
      <w:bCs/>
      <w:sz w:val="24"/>
      <w:szCs w:val="24"/>
    </w:rPr>
  </w:style>
  <w:style w:type="paragraph" w:customStyle="1" w:styleId="xl62">
    <w:name w:val="xl62"/>
    <w:basedOn w:val="Normal"/>
    <w:rsid w:val="00E25029"/>
    <w:pPr>
      <w:pBdr>
        <w:left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63">
    <w:name w:val="xl63"/>
    <w:basedOn w:val="Normal"/>
    <w:rsid w:val="00E25029"/>
    <w:pPr>
      <w:pBdr>
        <w:top w:val="single" w:sz="8" w:space="0" w:color="auto"/>
        <w:left w:val="single" w:sz="8" w:space="0" w:color="auto"/>
      </w:pBdr>
      <w:shd w:val="clear" w:color="auto" w:fill="C0C0C0"/>
      <w:spacing w:before="100" w:beforeAutospacing="1" w:after="100" w:afterAutospacing="1"/>
      <w:textAlignment w:val="center"/>
    </w:pPr>
    <w:rPr>
      <w:rFonts w:ascii="Arial" w:eastAsia="Arial Unicode MS" w:hAnsi="Arial" w:cs="Arial"/>
      <w:b/>
      <w:bCs/>
      <w:sz w:val="24"/>
      <w:szCs w:val="24"/>
    </w:rPr>
  </w:style>
  <w:style w:type="paragraph" w:customStyle="1" w:styleId="xl64">
    <w:name w:val="xl64"/>
    <w:basedOn w:val="Normal"/>
    <w:rsid w:val="00E25029"/>
    <w:pPr>
      <w:pBdr>
        <w:top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65">
    <w:name w:val="xl65"/>
    <w:basedOn w:val="Normal"/>
    <w:rsid w:val="00E25029"/>
    <w:pPr>
      <w:pBdr>
        <w:top w:val="single" w:sz="8" w:space="0" w:color="auto"/>
        <w:right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66">
    <w:name w:val="xl66"/>
    <w:basedOn w:val="Normal"/>
    <w:rsid w:val="00E25029"/>
    <w:pP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67">
    <w:name w:val="xl67"/>
    <w:basedOn w:val="Normal"/>
    <w:rsid w:val="00E25029"/>
    <w:pPr>
      <w:pBdr>
        <w:right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68">
    <w:name w:val="xl68"/>
    <w:basedOn w:val="Normal"/>
    <w:rsid w:val="00E25029"/>
    <w:pPr>
      <w:pBdr>
        <w:left w:val="single" w:sz="8" w:space="0" w:color="auto"/>
        <w:bottom w:val="single" w:sz="8" w:space="0" w:color="auto"/>
      </w:pBdr>
      <w:shd w:val="clear" w:color="auto" w:fill="C0C0C0"/>
      <w:spacing w:before="100" w:beforeAutospacing="1" w:after="100" w:afterAutospacing="1"/>
      <w:textAlignment w:val="center"/>
    </w:pPr>
    <w:rPr>
      <w:rFonts w:ascii="Arial" w:eastAsia="Arial Unicode MS" w:hAnsi="Arial" w:cs="Arial"/>
      <w:b/>
      <w:bCs/>
      <w:i/>
      <w:iCs/>
      <w:sz w:val="28"/>
      <w:szCs w:val="28"/>
    </w:rPr>
  </w:style>
  <w:style w:type="paragraph" w:customStyle="1" w:styleId="xl69">
    <w:name w:val="xl69"/>
    <w:basedOn w:val="Normal"/>
    <w:rsid w:val="00E25029"/>
    <w:pPr>
      <w:pBdr>
        <w:bottom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70">
    <w:name w:val="xl70"/>
    <w:basedOn w:val="Normal"/>
    <w:rsid w:val="00E25029"/>
    <w:pPr>
      <w:pBdr>
        <w:bottom w:val="single" w:sz="8" w:space="0" w:color="auto"/>
        <w:right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71">
    <w:name w:val="xl71"/>
    <w:basedOn w:val="Normal"/>
    <w:rsid w:val="00E25029"/>
    <w:pPr>
      <w:pBdr>
        <w:top w:val="single" w:sz="8" w:space="0" w:color="auto"/>
        <w:left w:val="single" w:sz="4" w:space="0" w:color="auto"/>
        <w:right w:val="single" w:sz="4" w:space="0" w:color="auto"/>
      </w:pBdr>
      <w:shd w:val="clear" w:color="auto" w:fill="FFFFFF"/>
      <w:spacing w:before="100" w:beforeAutospacing="1" w:after="100" w:afterAutospacing="1"/>
      <w:jc w:val="center"/>
    </w:pPr>
    <w:rPr>
      <w:rFonts w:ascii="CG Times" w:eastAsia="Arial Unicode MS" w:hAnsi="CG Times" w:cs="Arial Unicode MS"/>
      <w:b/>
      <w:bCs/>
      <w:sz w:val="18"/>
      <w:szCs w:val="18"/>
    </w:rPr>
  </w:style>
  <w:style w:type="paragraph" w:customStyle="1" w:styleId="xl72">
    <w:name w:val="xl72"/>
    <w:basedOn w:val="Normal"/>
    <w:rsid w:val="00E25029"/>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3">
    <w:name w:val="xl73"/>
    <w:basedOn w:val="Normal"/>
    <w:rsid w:val="00E25029"/>
    <w:pPr>
      <w:pBdr>
        <w:left w:val="single" w:sz="4" w:space="0" w:color="auto"/>
        <w:bottom w:val="single" w:sz="8" w:space="0" w:color="auto"/>
        <w:right w:val="single" w:sz="4" w:space="0" w:color="auto"/>
      </w:pBdr>
      <w:spacing w:before="100" w:beforeAutospacing="1" w:after="100" w:afterAutospacing="1"/>
    </w:pPr>
    <w:rPr>
      <w:rFonts w:ascii="CG Times" w:eastAsia="Arial Unicode MS" w:hAnsi="CG Times" w:cs="Arial Unicode MS"/>
      <w:sz w:val="18"/>
      <w:szCs w:val="18"/>
    </w:rPr>
  </w:style>
  <w:style w:type="paragraph" w:customStyle="1" w:styleId="xl74">
    <w:name w:val="xl74"/>
    <w:basedOn w:val="Normal"/>
    <w:rsid w:val="00E25029"/>
    <w:pPr>
      <w:pBdr>
        <w:left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75">
    <w:name w:val="xl75"/>
    <w:basedOn w:val="Normal"/>
    <w:rsid w:val="00E25029"/>
    <w:pPr>
      <w:pBdr>
        <w:top w:val="single" w:sz="8" w:space="0" w:color="auto"/>
        <w:left w:val="single" w:sz="8" w:space="0" w:color="auto"/>
      </w:pBdr>
      <w:shd w:val="clear" w:color="auto" w:fill="C0C0C0"/>
      <w:spacing w:before="100" w:beforeAutospacing="1" w:after="100" w:afterAutospacing="1"/>
      <w:textAlignment w:val="center"/>
    </w:pPr>
    <w:rPr>
      <w:rFonts w:ascii="Arial" w:eastAsia="Arial Unicode MS" w:hAnsi="Arial" w:cs="Arial"/>
      <w:b/>
      <w:bCs/>
      <w:sz w:val="24"/>
      <w:szCs w:val="24"/>
    </w:rPr>
  </w:style>
  <w:style w:type="paragraph" w:customStyle="1" w:styleId="xl76">
    <w:name w:val="xl76"/>
    <w:basedOn w:val="Normal"/>
    <w:rsid w:val="00E25029"/>
    <w:pPr>
      <w:pBdr>
        <w:top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77">
    <w:name w:val="xl77"/>
    <w:basedOn w:val="Normal"/>
    <w:rsid w:val="00E25029"/>
    <w:pPr>
      <w:pBdr>
        <w:top w:val="single" w:sz="8" w:space="0" w:color="auto"/>
        <w:right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78">
    <w:name w:val="xl78"/>
    <w:basedOn w:val="Normal"/>
    <w:rsid w:val="00E25029"/>
    <w:pP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79">
    <w:name w:val="xl79"/>
    <w:basedOn w:val="Normal"/>
    <w:rsid w:val="00E25029"/>
    <w:pPr>
      <w:pBdr>
        <w:right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80">
    <w:name w:val="xl80"/>
    <w:basedOn w:val="Normal"/>
    <w:rsid w:val="00E25029"/>
    <w:pPr>
      <w:pBdr>
        <w:left w:val="single" w:sz="8" w:space="0" w:color="auto"/>
        <w:bottom w:val="single" w:sz="8" w:space="0" w:color="auto"/>
      </w:pBdr>
      <w:shd w:val="clear" w:color="auto" w:fill="C0C0C0"/>
      <w:spacing w:before="100" w:beforeAutospacing="1" w:after="100" w:afterAutospacing="1"/>
      <w:textAlignment w:val="center"/>
    </w:pPr>
    <w:rPr>
      <w:rFonts w:ascii="Arial" w:eastAsia="Arial Unicode MS" w:hAnsi="Arial" w:cs="Arial"/>
      <w:b/>
      <w:bCs/>
      <w:i/>
      <w:iCs/>
      <w:sz w:val="28"/>
      <w:szCs w:val="28"/>
    </w:rPr>
  </w:style>
  <w:style w:type="paragraph" w:customStyle="1" w:styleId="BodyText21">
    <w:name w:val="Body Text 21"/>
    <w:basedOn w:val="Normal"/>
    <w:rsid w:val="00E25029"/>
    <w:pPr>
      <w:jc w:val="both"/>
    </w:pPr>
    <w:rPr>
      <w:sz w:val="28"/>
      <w:szCs w:val="20"/>
    </w:rPr>
  </w:style>
  <w:style w:type="paragraph" w:styleId="Textedebulles">
    <w:name w:val="Balloon Text"/>
    <w:basedOn w:val="Normal"/>
    <w:link w:val="TextedebullesCar"/>
    <w:rsid w:val="00E25029"/>
    <w:rPr>
      <w:rFonts w:ascii="Tahoma" w:hAnsi="Tahoma" w:cs="Tahoma"/>
      <w:sz w:val="16"/>
      <w:szCs w:val="16"/>
    </w:rPr>
  </w:style>
  <w:style w:type="character" w:customStyle="1" w:styleId="TextedebullesCar">
    <w:name w:val="Texte de bulles Car"/>
    <w:basedOn w:val="Policepardfaut"/>
    <w:link w:val="Textedebulles"/>
    <w:rsid w:val="00E25029"/>
    <w:rPr>
      <w:rFonts w:ascii="Tahoma" w:hAnsi="Tahoma" w:cs="Tahoma"/>
      <w:sz w:val="16"/>
      <w:szCs w:val="16"/>
    </w:rPr>
  </w:style>
  <w:style w:type="paragraph" w:customStyle="1" w:styleId="p5">
    <w:name w:val="p5"/>
    <w:basedOn w:val="Normal"/>
    <w:rsid w:val="00E25029"/>
    <w:pPr>
      <w:widowControl w:val="0"/>
      <w:tabs>
        <w:tab w:val="left" w:pos="420"/>
        <w:tab w:val="left" w:pos="780"/>
      </w:tabs>
      <w:spacing w:line="280" w:lineRule="atLeast"/>
      <w:ind w:left="720" w:hanging="288"/>
      <w:jc w:val="both"/>
    </w:pPr>
    <w:rPr>
      <w:sz w:val="24"/>
      <w:szCs w:val="20"/>
    </w:rPr>
  </w:style>
  <w:style w:type="paragraph" w:customStyle="1" w:styleId="p13">
    <w:name w:val="p13"/>
    <w:basedOn w:val="Normal"/>
    <w:rsid w:val="00E25029"/>
    <w:pPr>
      <w:widowControl w:val="0"/>
      <w:tabs>
        <w:tab w:val="left" w:pos="420"/>
      </w:tabs>
      <w:spacing w:line="280" w:lineRule="atLeast"/>
      <w:ind w:left="1440" w:firstLine="432"/>
      <w:jc w:val="both"/>
    </w:pPr>
    <w:rPr>
      <w:sz w:val="24"/>
      <w:szCs w:val="20"/>
    </w:rPr>
  </w:style>
  <w:style w:type="paragraph" w:customStyle="1" w:styleId="p14">
    <w:name w:val="p14"/>
    <w:basedOn w:val="Normal"/>
    <w:rsid w:val="00E25029"/>
    <w:pPr>
      <w:widowControl w:val="0"/>
      <w:tabs>
        <w:tab w:val="left" w:pos="420"/>
      </w:tabs>
      <w:spacing w:line="280" w:lineRule="atLeast"/>
      <w:ind w:left="1008" w:hanging="432"/>
      <w:jc w:val="both"/>
    </w:pPr>
    <w:rPr>
      <w:sz w:val="24"/>
      <w:szCs w:val="20"/>
    </w:rPr>
  </w:style>
  <w:style w:type="paragraph" w:customStyle="1" w:styleId="Style2">
    <w:name w:val="Style2"/>
    <w:basedOn w:val="Normal"/>
    <w:autoRedefine/>
    <w:rsid w:val="00E25029"/>
    <w:rPr>
      <w:rFonts w:ascii="cg time" w:hAnsi="cg time" w:cs="Arial"/>
      <w:b/>
      <w:bCs/>
      <w:sz w:val="26"/>
      <w:szCs w:val="24"/>
    </w:rPr>
  </w:style>
  <w:style w:type="paragraph" w:customStyle="1" w:styleId="font5">
    <w:name w:val="font5"/>
    <w:basedOn w:val="Normal"/>
    <w:rsid w:val="00E25029"/>
    <w:pPr>
      <w:spacing w:before="100" w:beforeAutospacing="1" w:after="100" w:afterAutospacing="1"/>
    </w:pPr>
    <w:rPr>
      <w:rFonts w:ascii="Arial" w:eastAsia="Arial Unicode MS" w:hAnsi="Arial" w:cs="Arial"/>
      <w:sz w:val="16"/>
      <w:szCs w:val="16"/>
    </w:rPr>
  </w:style>
  <w:style w:type="paragraph" w:customStyle="1" w:styleId="Style1">
    <w:name w:val="Style1"/>
    <w:basedOn w:val="Normal"/>
    <w:rsid w:val="00E25029"/>
    <w:rPr>
      <w:sz w:val="20"/>
      <w:szCs w:val="20"/>
    </w:rPr>
  </w:style>
  <w:style w:type="paragraph" w:customStyle="1" w:styleId="WW-Corpsdetexte3">
    <w:name w:val="WW-Corps de texte 3"/>
    <w:basedOn w:val="Normal"/>
    <w:rsid w:val="00E25029"/>
    <w:pPr>
      <w:suppressAutoHyphens/>
      <w:jc w:val="both"/>
    </w:pPr>
    <w:rPr>
      <w:rFonts w:ascii="Arial" w:hAnsi="Arial"/>
    </w:rPr>
  </w:style>
  <w:style w:type="character" w:styleId="Lienhypertextesuivivisit">
    <w:name w:val="FollowedHyperlink"/>
    <w:basedOn w:val="Policepardfaut"/>
    <w:uiPriority w:val="99"/>
    <w:rsid w:val="00E25029"/>
    <w:rPr>
      <w:color w:val="800080"/>
      <w:u w:val="single"/>
    </w:rPr>
  </w:style>
  <w:style w:type="paragraph" w:styleId="Objetducommentaire">
    <w:name w:val="annotation subject"/>
    <w:basedOn w:val="Commentaire"/>
    <w:next w:val="Commentaire"/>
    <w:link w:val="ObjetducommentaireCar"/>
    <w:rsid w:val="00E25029"/>
    <w:rPr>
      <w:b/>
      <w:bCs/>
    </w:rPr>
  </w:style>
  <w:style w:type="character" w:customStyle="1" w:styleId="ObjetducommentaireCar">
    <w:name w:val="Objet du commentaire Car"/>
    <w:basedOn w:val="CommentaireCar"/>
    <w:link w:val="Objetducommentaire"/>
    <w:rsid w:val="00E25029"/>
    <w:rPr>
      <w:b/>
      <w:bCs/>
    </w:rPr>
  </w:style>
  <w:style w:type="paragraph" w:customStyle="1" w:styleId="MonoTextenormal">
    <w:name w:val="Mono Texte normal"/>
    <w:link w:val="MonoTextenormalCar"/>
    <w:rsid w:val="00E25029"/>
    <w:pPr>
      <w:widowControl w:val="0"/>
      <w:spacing w:line="270" w:lineRule="exact"/>
      <w:jc w:val="both"/>
    </w:pPr>
    <w:rPr>
      <w:noProof/>
      <w:sz w:val="22"/>
    </w:rPr>
  </w:style>
  <w:style w:type="character" w:customStyle="1" w:styleId="MonoTextenormalCar">
    <w:name w:val="Mono Texte normal Car"/>
    <w:basedOn w:val="Policepardfaut"/>
    <w:link w:val="MonoTextenormal"/>
    <w:rsid w:val="00E25029"/>
    <w:rPr>
      <w:noProof/>
      <w:sz w:val="22"/>
    </w:rPr>
  </w:style>
  <w:style w:type="paragraph" w:customStyle="1" w:styleId="WW-Standard">
    <w:name w:val="WW-Standard"/>
    <w:rsid w:val="00E25029"/>
    <w:pPr>
      <w:suppressAutoHyphens/>
    </w:pPr>
    <w:rPr>
      <w:sz w:val="24"/>
    </w:rPr>
  </w:style>
  <w:style w:type="character" w:styleId="MachinecrireHTML">
    <w:name w:val="HTML Typewriter"/>
    <w:basedOn w:val="Policepardfaut"/>
    <w:rsid w:val="00E25029"/>
    <w:rPr>
      <w:rFonts w:ascii="Courier New" w:eastAsia="Times New Roman" w:hAnsi="Courier New" w:cs="Courier New"/>
      <w:sz w:val="20"/>
      <w:szCs w:val="20"/>
    </w:rPr>
  </w:style>
  <w:style w:type="paragraph" w:styleId="Normalcentr">
    <w:name w:val="Block Text"/>
    <w:basedOn w:val="Normal"/>
    <w:rsid w:val="00E25029"/>
    <w:pPr>
      <w:ind w:left="-284" w:right="-426"/>
      <w:jc w:val="both"/>
    </w:pPr>
    <w:rPr>
      <w:sz w:val="24"/>
      <w:szCs w:val="24"/>
    </w:rPr>
  </w:style>
  <w:style w:type="paragraph" w:styleId="Textebrut">
    <w:name w:val="Plain Text"/>
    <w:basedOn w:val="Normal"/>
    <w:link w:val="TextebrutCar"/>
    <w:rsid w:val="00E25029"/>
    <w:pPr>
      <w:widowControl w:val="0"/>
    </w:pPr>
    <w:rPr>
      <w:rFonts w:ascii="Courier New" w:hAnsi="Courier New" w:cs="Courier New"/>
      <w:snapToGrid w:val="0"/>
      <w:sz w:val="20"/>
      <w:szCs w:val="20"/>
    </w:rPr>
  </w:style>
  <w:style w:type="character" w:customStyle="1" w:styleId="TextebrutCar">
    <w:name w:val="Texte brut Car"/>
    <w:basedOn w:val="Policepardfaut"/>
    <w:link w:val="Textebrut"/>
    <w:rsid w:val="00E25029"/>
    <w:rPr>
      <w:rFonts w:ascii="Courier New" w:hAnsi="Courier New" w:cs="Courier New"/>
      <w:snapToGrid w:val="0"/>
    </w:rPr>
  </w:style>
  <w:style w:type="character" w:styleId="lev">
    <w:name w:val="Strong"/>
    <w:basedOn w:val="Policepardfaut"/>
    <w:uiPriority w:val="22"/>
    <w:qFormat/>
    <w:rsid w:val="00E25029"/>
    <w:rPr>
      <w:b/>
      <w:bCs/>
    </w:rPr>
  </w:style>
  <w:style w:type="character" w:styleId="Marquedecommentaire">
    <w:name w:val="annotation reference"/>
    <w:basedOn w:val="Policepardfaut"/>
    <w:uiPriority w:val="99"/>
    <w:rsid w:val="00E25029"/>
    <w:rPr>
      <w:sz w:val="16"/>
      <w:szCs w:val="16"/>
    </w:rPr>
  </w:style>
  <w:style w:type="paragraph" w:customStyle="1" w:styleId="Normal1">
    <w:name w:val="Normal1"/>
    <w:basedOn w:val="Normal"/>
    <w:rsid w:val="00E25029"/>
    <w:pPr>
      <w:widowControl w:val="0"/>
      <w:suppressAutoHyphens/>
      <w:autoSpaceDE w:val="0"/>
      <w:spacing w:before="227" w:after="227" w:line="360" w:lineRule="auto"/>
      <w:jc w:val="both"/>
    </w:pPr>
    <w:rPr>
      <w:rFonts w:ascii="Arial" w:eastAsia="Arial Unicode MS" w:hAnsi="Arial"/>
      <w:sz w:val="20"/>
      <w:szCs w:val="20"/>
    </w:rPr>
  </w:style>
  <w:style w:type="paragraph" w:customStyle="1" w:styleId="Titre11">
    <w:name w:val="Titre 11"/>
    <w:basedOn w:val="Normal1"/>
    <w:next w:val="Normal1"/>
    <w:rsid w:val="00E25029"/>
    <w:pPr>
      <w:keepNext/>
      <w:tabs>
        <w:tab w:val="left" w:pos="5245"/>
      </w:tabs>
      <w:spacing w:before="0" w:after="200" w:line="312" w:lineRule="auto"/>
      <w:ind w:left="567" w:firstLine="1134"/>
    </w:pPr>
    <w:rPr>
      <w:rFonts w:ascii="Univers (PCL6)" w:eastAsia="Univers (PCL6)" w:hAnsi="Univers (PCL6)" w:cs="Univers (PCL6)"/>
      <w:b/>
      <w:bCs/>
      <w:sz w:val="22"/>
      <w:szCs w:val="22"/>
    </w:rPr>
  </w:style>
  <w:style w:type="character" w:customStyle="1" w:styleId="RTFNum62">
    <w:name w:val="RTF_Num 6 2"/>
    <w:rsid w:val="00E25029"/>
  </w:style>
  <w:style w:type="paragraph" w:customStyle="1" w:styleId="CharCar">
    <w:name w:val="Char Car"/>
    <w:basedOn w:val="Normal"/>
    <w:rsid w:val="00E25029"/>
    <w:pPr>
      <w:spacing w:after="160" w:line="240" w:lineRule="exact"/>
    </w:pPr>
    <w:rPr>
      <w:rFonts w:ascii="Arial" w:hAnsi="Arial"/>
      <w:sz w:val="20"/>
      <w:szCs w:val="20"/>
      <w:lang w:val="en-US" w:eastAsia="en-US"/>
    </w:rPr>
  </w:style>
  <w:style w:type="paragraph" w:customStyle="1" w:styleId="CharChar1Char">
    <w:name w:val="Char Char1 Char"/>
    <w:basedOn w:val="Normal"/>
    <w:rsid w:val="00E25029"/>
    <w:pPr>
      <w:spacing w:after="160" w:line="240" w:lineRule="exact"/>
    </w:pPr>
    <w:rPr>
      <w:rFonts w:ascii="Tahoma" w:hAnsi="Tahoma"/>
      <w:sz w:val="20"/>
      <w:szCs w:val="20"/>
      <w:lang w:val="en-US" w:eastAsia="en-US"/>
    </w:rPr>
  </w:style>
  <w:style w:type="paragraph" w:customStyle="1" w:styleId="ParagraphNumbering">
    <w:name w:val="Paragraph Numbering"/>
    <w:basedOn w:val="Normal"/>
    <w:link w:val="ParagraphNumberingChar"/>
    <w:qFormat/>
    <w:rsid w:val="00E25029"/>
    <w:pPr>
      <w:numPr>
        <w:numId w:val="5"/>
      </w:numPr>
      <w:spacing w:after="240"/>
    </w:pPr>
    <w:rPr>
      <w:sz w:val="24"/>
      <w:szCs w:val="24"/>
      <w:lang w:val="en-US" w:eastAsia="en-US"/>
    </w:rPr>
  </w:style>
  <w:style w:type="character" w:customStyle="1" w:styleId="ParagraphNumberingChar">
    <w:name w:val="Paragraph Numbering Char"/>
    <w:basedOn w:val="Policepardfaut"/>
    <w:link w:val="ParagraphNumbering"/>
    <w:rsid w:val="00E25029"/>
    <w:rPr>
      <w:sz w:val="24"/>
      <w:szCs w:val="24"/>
      <w:lang w:val="en-US" w:eastAsia="en-US"/>
    </w:rPr>
  </w:style>
  <w:style w:type="paragraph" w:styleId="Listepuces">
    <w:name w:val="List Bullet"/>
    <w:basedOn w:val="Normal"/>
    <w:rsid w:val="00E25029"/>
    <w:pPr>
      <w:numPr>
        <w:numId w:val="6"/>
      </w:numPr>
      <w:spacing w:after="240"/>
    </w:pPr>
    <w:rPr>
      <w:sz w:val="24"/>
      <w:szCs w:val="24"/>
      <w:lang w:val="en-US" w:eastAsia="en-US"/>
    </w:rPr>
  </w:style>
  <w:style w:type="paragraph" w:styleId="Paragraphedeliste">
    <w:name w:val="List Paragraph"/>
    <w:aliases w:val="Paragraphe  revu,References"/>
    <w:basedOn w:val="Normal"/>
    <w:link w:val="ParagraphedelisteCar"/>
    <w:uiPriority w:val="34"/>
    <w:qFormat/>
    <w:rsid w:val="00E25029"/>
    <w:pPr>
      <w:ind w:left="708"/>
    </w:pPr>
  </w:style>
  <w:style w:type="paragraph" w:styleId="Listepuces3">
    <w:name w:val="List Bullet 3"/>
    <w:basedOn w:val="Normal"/>
    <w:rsid w:val="00E25029"/>
    <w:pPr>
      <w:numPr>
        <w:numId w:val="7"/>
      </w:numPr>
    </w:pPr>
    <w:rPr>
      <w:sz w:val="24"/>
      <w:szCs w:val="24"/>
    </w:rPr>
  </w:style>
  <w:style w:type="paragraph" w:customStyle="1" w:styleId="normal10">
    <w:name w:val="normal1"/>
    <w:basedOn w:val="Normal"/>
    <w:rsid w:val="00E25029"/>
    <w:pPr>
      <w:autoSpaceDE w:val="0"/>
      <w:spacing w:before="227" w:after="227" w:line="360" w:lineRule="auto"/>
      <w:jc w:val="both"/>
    </w:pPr>
    <w:rPr>
      <w:rFonts w:ascii="Arial" w:hAnsi="Arial" w:cs="Arial"/>
      <w:sz w:val="20"/>
      <w:szCs w:val="20"/>
    </w:rPr>
  </w:style>
  <w:style w:type="paragraph" w:styleId="NormalWeb">
    <w:name w:val="Normal (Web)"/>
    <w:basedOn w:val="Normal"/>
    <w:uiPriority w:val="99"/>
    <w:rsid w:val="00E25029"/>
    <w:pPr>
      <w:spacing w:before="100" w:beforeAutospacing="1" w:after="100" w:afterAutospacing="1"/>
    </w:pPr>
    <w:rPr>
      <w:sz w:val="24"/>
      <w:szCs w:val="24"/>
    </w:rPr>
  </w:style>
  <w:style w:type="paragraph" w:customStyle="1" w:styleId="WW-Retraitcorpsdetexte3">
    <w:name w:val="WW-Retrait corps de texte 3"/>
    <w:basedOn w:val="Normal"/>
    <w:rsid w:val="00E25029"/>
    <w:pPr>
      <w:suppressAutoHyphens/>
      <w:spacing w:after="200" w:line="360" w:lineRule="auto"/>
      <w:ind w:left="567" w:firstLine="851"/>
      <w:jc w:val="both"/>
    </w:pPr>
    <w:rPr>
      <w:rFonts w:ascii="Univers (PCL6)" w:hAnsi="Univers (PCL6)"/>
      <w:szCs w:val="20"/>
    </w:rPr>
  </w:style>
  <w:style w:type="paragraph" w:customStyle="1" w:styleId="Titre11Titre1beftitre2">
    <w:name w:val="Titre 1.1. Titre 1.bef_titre2"/>
    <w:basedOn w:val="Normal"/>
    <w:next w:val="Normal"/>
    <w:rsid w:val="00E25029"/>
    <w:pPr>
      <w:keepNext/>
      <w:numPr>
        <w:numId w:val="8"/>
      </w:numPr>
      <w:outlineLvl w:val="0"/>
    </w:pPr>
    <w:rPr>
      <w:rFonts w:ascii="Arial" w:hAnsi="Arial"/>
      <w:b/>
      <w:sz w:val="24"/>
      <w:szCs w:val="20"/>
    </w:rPr>
  </w:style>
  <w:style w:type="paragraph" w:customStyle="1" w:styleId="Titre211Titre2">
    <w:name w:val="Titre 2.1.1 Titre 2"/>
    <w:basedOn w:val="Normal"/>
    <w:next w:val="Normal"/>
    <w:rsid w:val="00E25029"/>
    <w:pPr>
      <w:keepNext/>
      <w:numPr>
        <w:ilvl w:val="1"/>
        <w:numId w:val="8"/>
      </w:numPr>
      <w:outlineLvl w:val="1"/>
    </w:pPr>
    <w:rPr>
      <w:b/>
      <w:sz w:val="28"/>
      <w:szCs w:val="20"/>
      <w:u w:val="single"/>
    </w:rPr>
  </w:style>
  <w:style w:type="paragraph" w:customStyle="1" w:styleId="ParaAccraCar">
    <w:name w:val="Para_Accra Car"/>
    <w:basedOn w:val="Normal"/>
    <w:autoRedefine/>
    <w:rsid w:val="00E25029"/>
    <w:pPr>
      <w:jc w:val="both"/>
    </w:pPr>
    <w:rPr>
      <w:rFonts w:ascii="Arial" w:hAnsi="Arial"/>
      <w:sz w:val="26"/>
      <w:szCs w:val="20"/>
    </w:rPr>
  </w:style>
  <w:style w:type="paragraph" w:customStyle="1" w:styleId="tf">
    <w:name w:val="tf"/>
    <w:basedOn w:val="Normal"/>
    <w:rsid w:val="00E25029"/>
    <w:pPr>
      <w:spacing w:after="120"/>
      <w:jc w:val="both"/>
    </w:pPr>
  </w:style>
  <w:style w:type="character" w:customStyle="1" w:styleId="CarCar7">
    <w:name w:val="Car Car7"/>
    <w:basedOn w:val="Policepardfaut"/>
    <w:semiHidden/>
    <w:rsid w:val="00E25029"/>
    <w:rPr>
      <w:lang w:val="fr-FR" w:eastAsia="fr-FR" w:bidi="ar-SA"/>
    </w:rPr>
  </w:style>
  <w:style w:type="character" w:customStyle="1" w:styleId="Neutre">
    <w:name w:val="Neutre"/>
    <w:basedOn w:val="Policepardfaut"/>
    <w:rsid w:val="00E25029"/>
    <w:rPr>
      <w:rFonts w:ascii="Times New Roman" w:hAnsi="Times New Roman" w:cs="Times New Roman"/>
      <w:b/>
      <w:bCs/>
      <w:caps/>
      <w:sz w:val="32"/>
      <w:szCs w:val="32"/>
      <w:u w:val="thick"/>
      <w:vertAlign w:val="baseline"/>
    </w:rPr>
  </w:style>
  <w:style w:type="paragraph" w:styleId="Explorateurdedocuments">
    <w:name w:val="Document Map"/>
    <w:basedOn w:val="Normal"/>
    <w:link w:val="ExplorateurdedocumentsCar"/>
    <w:rsid w:val="00E25029"/>
    <w:pPr>
      <w:shd w:val="clear" w:color="auto" w:fill="000080"/>
    </w:pPr>
    <w:rPr>
      <w:rFonts w:ascii="Tahoma" w:hAnsi="Tahoma" w:cs="Tahoma"/>
      <w:sz w:val="20"/>
      <w:szCs w:val="20"/>
    </w:rPr>
  </w:style>
  <w:style w:type="character" w:customStyle="1" w:styleId="ExplorateurdedocumentsCar">
    <w:name w:val="Explorateur de documents Car"/>
    <w:basedOn w:val="Policepardfaut"/>
    <w:link w:val="Explorateurdedocuments"/>
    <w:rsid w:val="00E25029"/>
    <w:rPr>
      <w:rFonts w:ascii="Tahoma" w:hAnsi="Tahoma" w:cs="Tahoma"/>
      <w:shd w:val="clear" w:color="auto" w:fill="000080"/>
    </w:rPr>
  </w:style>
  <w:style w:type="character" w:customStyle="1" w:styleId="Saisiedelutilisateur">
    <w:name w:val="Saisie de l'utilisateur"/>
    <w:rsid w:val="00E25029"/>
    <w:rPr>
      <w:rFonts w:ascii="Arial" w:eastAsia="Courier New" w:hAnsi="Arial" w:cs="Courier New"/>
      <w:sz w:val="21"/>
    </w:rPr>
  </w:style>
  <w:style w:type="paragraph" w:customStyle="1" w:styleId="WW-Retraitcorpsdetexte2">
    <w:name w:val="WW-Retrait corps de texte 2"/>
    <w:basedOn w:val="Normal"/>
    <w:rsid w:val="00E25029"/>
    <w:pPr>
      <w:spacing w:after="120" w:line="360" w:lineRule="exact"/>
      <w:ind w:left="567" w:firstLine="1021"/>
      <w:jc w:val="both"/>
    </w:pPr>
    <w:rPr>
      <w:rFonts w:ascii="Helvetica" w:hAnsi="Helvetica"/>
      <w:snapToGrid w:val="0"/>
      <w:szCs w:val="24"/>
    </w:rPr>
  </w:style>
  <w:style w:type="character" w:customStyle="1" w:styleId="UserEntry">
    <w:name w:val="User Entry"/>
    <w:rsid w:val="00E25029"/>
    <w:rPr>
      <w:rFonts w:ascii="Arial" w:hAnsi="Arial"/>
      <w:noProof w:val="0"/>
      <w:sz w:val="21"/>
    </w:rPr>
  </w:style>
  <w:style w:type="table" w:styleId="Grilledutableau">
    <w:name w:val="Table Grid"/>
    <w:basedOn w:val="TableauNormal"/>
    <w:uiPriority w:val="59"/>
    <w:rsid w:val="00E2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Car12">
    <w:name w:val="Car Car12"/>
    <w:basedOn w:val="Policepardfaut"/>
    <w:semiHidden/>
    <w:locked/>
    <w:rsid w:val="00E25029"/>
    <w:rPr>
      <w:rFonts w:ascii="CG Times" w:hAnsi="CG Times"/>
      <w:sz w:val="26"/>
      <w:lang w:val="fr-FR" w:eastAsia="fr-FR" w:bidi="ar-SA"/>
    </w:rPr>
  </w:style>
  <w:style w:type="paragraph" w:customStyle="1" w:styleId="debut1">
    <w:name w:val="debut1"/>
    <w:basedOn w:val="Normal"/>
    <w:rsid w:val="00E25029"/>
    <w:pPr>
      <w:spacing w:after="100" w:afterAutospacing="1"/>
    </w:pPr>
    <w:rPr>
      <w:sz w:val="24"/>
      <w:szCs w:val="24"/>
    </w:rPr>
  </w:style>
  <w:style w:type="paragraph" w:customStyle="1" w:styleId="p0">
    <w:name w:val="p0"/>
    <w:basedOn w:val="Normal"/>
    <w:rsid w:val="00E25029"/>
    <w:pPr>
      <w:widowControl w:val="0"/>
      <w:tabs>
        <w:tab w:val="left" w:pos="720"/>
      </w:tabs>
      <w:snapToGrid w:val="0"/>
      <w:spacing w:line="240" w:lineRule="atLeast"/>
      <w:ind w:firstLine="360"/>
      <w:jc w:val="both"/>
    </w:pPr>
    <w:rPr>
      <w:rFonts w:ascii="Calibri" w:hAnsi="Calibri"/>
      <w:sz w:val="24"/>
      <w:lang w:val="en-US" w:eastAsia="en-US" w:bidi="en-US"/>
    </w:rPr>
  </w:style>
  <w:style w:type="paragraph" w:styleId="Sous-titre">
    <w:name w:val="Subtitle"/>
    <w:basedOn w:val="Normal"/>
    <w:next w:val="Normal"/>
    <w:link w:val="Sous-titreCar"/>
    <w:qFormat/>
    <w:rsid w:val="00E25029"/>
    <w:pPr>
      <w:spacing w:before="200" w:after="900"/>
      <w:jc w:val="right"/>
    </w:pPr>
    <w:rPr>
      <w:rFonts w:ascii="Calibri" w:hAnsi="Calibri"/>
      <w:i/>
      <w:iCs/>
      <w:sz w:val="24"/>
      <w:szCs w:val="24"/>
      <w:lang w:val="en-US" w:eastAsia="en-US" w:bidi="en-US"/>
    </w:rPr>
  </w:style>
  <w:style w:type="character" w:customStyle="1" w:styleId="Sous-titreCar">
    <w:name w:val="Sous-titre Car"/>
    <w:basedOn w:val="Policepardfaut"/>
    <w:link w:val="Sous-titre"/>
    <w:rsid w:val="00E25029"/>
    <w:rPr>
      <w:rFonts w:ascii="Calibri" w:hAnsi="Calibri"/>
      <w:i/>
      <w:iCs/>
      <w:sz w:val="24"/>
      <w:szCs w:val="24"/>
      <w:lang w:val="en-US" w:eastAsia="en-US" w:bidi="en-US"/>
    </w:rPr>
  </w:style>
  <w:style w:type="character" w:styleId="Accentuation">
    <w:name w:val="Emphasis"/>
    <w:uiPriority w:val="20"/>
    <w:qFormat/>
    <w:rsid w:val="00E25029"/>
    <w:rPr>
      <w:b/>
      <w:bCs/>
      <w:i/>
      <w:iCs/>
      <w:color w:val="5A5A5A"/>
    </w:rPr>
  </w:style>
  <w:style w:type="paragraph" w:styleId="Sansinterligne">
    <w:name w:val="No Spacing"/>
    <w:basedOn w:val="Normal"/>
    <w:link w:val="SansinterligneCar"/>
    <w:uiPriority w:val="1"/>
    <w:qFormat/>
    <w:rsid w:val="00E25029"/>
    <w:rPr>
      <w:rFonts w:ascii="Calibri" w:hAnsi="Calibri"/>
      <w:lang w:val="en-US" w:eastAsia="en-US" w:bidi="en-US"/>
    </w:rPr>
  </w:style>
  <w:style w:type="character" w:customStyle="1" w:styleId="SansinterligneCar">
    <w:name w:val="Sans interligne Car"/>
    <w:basedOn w:val="Policepardfaut"/>
    <w:link w:val="Sansinterligne"/>
    <w:rsid w:val="00E25029"/>
    <w:rPr>
      <w:rFonts w:ascii="Calibri" w:hAnsi="Calibri"/>
      <w:sz w:val="22"/>
      <w:szCs w:val="22"/>
      <w:lang w:val="en-US" w:eastAsia="en-US" w:bidi="en-US"/>
    </w:rPr>
  </w:style>
  <w:style w:type="paragraph" w:styleId="Citation">
    <w:name w:val="Quote"/>
    <w:basedOn w:val="Normal"/>
    <w:next w:val="Normal"/>
    <w:link w:val="CitationCar"/>
    <w:uiPriority w:val="29"/>
    <w:qFormat/>
    <w:rsid w:val="00E25029"/>
    <w:pPr>
      <w:ind w:firstLine="360"/>
    </w:pPr>
    <w:rPr>
      <w:rFonts w:ascii="Cambria" w:hAnsi="Cambria"/>
      <w:i/>
      <w:iCs/>
      <w:color w:val="5A5A5A"/>
      <w:lang w:val="en-US" w:eastAsia="en-US" w:bidi="en-US"/>
    </w:rPr>
  </w:style>
  <w:style w:type="character" w:customStyle="1" w:styleId="CitationCar">
    <w:name w:val="Citation Car"/>
    <w:basedOn w:val="Policepardfaut"/>
    <w:link w:val="Citation"/>
    <w:uiPriority w:val="29"/>
    <w:rsid w:val="00E25029"/>
    <w:rPr>
      <w:rFonts w:ascii="Cambria" w:hAnsi="Cambria"/>
      <w:i/>
      <w:iCs/>
      <w:color w:val="5A5A5A"/>
      <w:sz w:val="22"/>
      <w:szCs w:val="22"/>
      <w:lang w:val="en-US" w:eastAsia="en-US" w:bidi="en-US"/>
    </w:rPr>
  </w:style>
  <w:style w:type="paragraph" w:styleId="Citationintense">
    <w:name w:val="Intense Quote"/>
    <w:basedOn w:val="Normal"/>
    <w:next w:val="Normal"/>
    <w:link w:val="CitationintenseCar"/>
    <w:uiPriority w:val="30"/>
    <w:qFormat/>
    <w:rsid w:val="00E25029"/>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hAnsi="Cambria"/>
      <w:i/>
      <w:iCs/>
      <w:color w:val="FFFFFF"/>
      <w:sz w:val="24"/>
      <w:szCs w:val="24"/>
      <w:lang w:val="en-US" w:eastAsia="en-US" w:bidi="en-US"/>
    </w:rPr>
  </w:style>
  <w:style w:type="character" w:customStyle="1" w:styleId="CitationintenseCar">
    <w:name w:val="Citation intense Car"/>
    <w:basedOn w:val="Policepardfaut"/>
    <w:link w:val="Citationintense"/>
    <w:uiPriority w:val="30"/>
    <w:rsid w:val="00E25029"/>
    <w:rPr>
      <w:rFonts w:ascii="Cambria" w:hAnsi="Cambria"/>
      <w:i/>
      <w:iCs/>
      <w:color w:val="FFFFFF"/>
      <w:sz w:val="24"/>
      <w:szCs w:val="24"/>
      <w:shd w:val="clear" w:color="auto" w:fill="4F81BD"/>
      <w:lang w:val="en-US" w:eastAsia="en-US" w:bidi="en-US"/>
    </w:rPr>
  </w:style>
  <w:style w:type="character" w:styleId="Emphaseple">
    <w:name w:val="Subtle Emphasis"/>
    <w:uiPriority w:val="19"/>
    <w:qFormat/>
    <w:rsid w:val="00E25029"/>
    <w:rPr>
      <w:i/>
      <w:iCs/>
      <w:color w:val="5A5A5A"/>
    </w:rPr>
  </w:style>
  <w:style w:type="character" w:styleId="Emphaseintense">
    <w:name w:val="Intense Emphasis"/>
    <w:uiPriority w:val="21"/>
    <w:qFormat/>
    <w:rsid w:val="00E25029"/>
    <w:rPr>
      <w:b/>
      <w:bCs/>
      <w:i/>
      <w:iCs/>
      <w:color w:val="4F81BD"/>
      <w:sz w:val="22"/>
      <w:szCs w:val="22"/>
    </w:rPr>
  </w:style>
  <w:style w:type="character" w:styleId="Rfrenceple">
    <w:name w:val="Subtle Reference"/>
    <w:uiPriority w:val="31"/>
    <w:qFormat/>
    <w:rsid w:val="00E25029"/>
    <w:rPr>
      <w:color w:val="auto"/>
      <w:u w:val="single" w:color="9BBB59"/>
    </w:rPr>
  </w:style>
  <w:style w:type="character" w:styleId="Rfrenceintense">
    <w:name w:val="Intense Reference"/>
    <w:basedOn w:val="Policepardfaut"/>
    <w:uiPriority w:val="32"/>
    <w:qFormat/>
    <w:rsid w:val="00E25029"/>
    <w:rPr>
      <w:b/>
      <w:bCs/>
      <w:color w:val="76923C"/>
      <w:u w:val="single" w:color="9BBB59"/>
    </w:rPr>
  </w:style>
  <w:style w:type="character" w:styleId="Titredulivre">
    <w:name w:val="Book Title"/>
    <w:basedOn w:val="Policepardfaut"/>
    <w:uiPriority w:val="33"/>
    <w:qFormat/>
    <w:rsid w:val="00E25029"/>
    <w:rPr>
      <w:rFonts w:ascii="Cambria" w:eastAsia="Times New Roman" w:hAnsi="Cambria" w:cs="Times New Roman"/>
      <w:b/>
      <w:bCs/>
      <w:i/>
      <w:iCs/>
      <w:color w:val="auto"/>
    </w:rPr>
  </w:style>
  <w:style w:type="paragraph" w:styleId="En-ttedetabledesmatires">
    <w:name w:val="TOC Heading"/>
    <w:basedOn w:val="Titre1"/>
    <w:next w:val="Normal"/>
    <w:uiPriority w:val="39"/>
    <w:qFormat/>
    <w:rsid w:val="00E25029"/>
    <w:pPr>
      <w:keepNext w:val="0"/>
      <w:pBdr>
        <w:bottom w:val="single" w:sz="12" w:space="1" w:color="548DD4"/>
      </w:pBdr>
      <w:tabs>
        <w:tab w:val="num" w:pos="720"/>
      </w:tabs>
      <w:spacing w:before="240" w:after="120"/>
      <w:ind w:left="720" w:hanging="360"/>
      <w:jc w:val="center"/>
      <w:outlineLvl w:val="9"/>
    </w:pPr>
    <w:rPr>
      <w:rFonts w:ascii="Cambria" w:hAnsi="Cambria"/>
      <w:bCs/>
      <w:smallCaps/>
      <w:sz w:val="28"/>
      <w:szCs w:val="23"/>
      <w:lang w:eastAsia="en-US" w:bidi="en-US"/>
    </w:rPr>
  </w:style>
  <w:style w:type="table" w:styleId="Tableausimple1">
    <w:name w:val="Table Simple 1"/>
    <w:basedOn w:val="TableauNormal"/>
    <w:rsid w:val="00E25029"/>
    <w:pPr>
      <w:ind w:firstLine="360"/>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classique1">
    <w:name w:val="Table Classic 1"/>
    <w:basedOn w:val="TableauNormal"/>
    <w:rsid w:val="00E25029"/>
    <w:pPr>
      <w:ind w:firstLine="360"/>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CarCar">
    <w:name w:val="Car Car"/>
    <w:basedOn w:val="Policepardfaut"/>
    <w:semiHidden/>
    <w:locked/>
    <w:rsid w:val="00E25029"/>
    <w:rPr>
      <w:rFonts w:ascii="CG Times" w:hAnsi="CG Times"/>
      <w:sz w:val="26"/>
      <w:lang w:val="fr-FR" w:eastAsia="fr-FR" w:bidi="ar-SA"/>
    </w:rPr>
  </w:style>
  <w:style w:type="character" w:customStyle="1" w:styleId="CarCar10">
    <w:name w:val="Car Car10"/>
    <w:basedOn w:val="Policepardfaut"/>
    <w:rsid w:val="00E25029"/>
    <w:rPr>
      <w:rFonts w:ascii="Arial" w:hAnsi="Arial"/>
      <w:b/>
      <w:sz w:val="24"/>
      <w:lang w:val="fr-FR" w:eastAsia="fr-FR" w:bidi="ar-SA"/>
    </w:rPr>
  </w:style>
  <w:style w:type="character" w:customStyle="1" w:styleId="WW-Saisiedelutilisateur">
    <w:name w:val="WW-Saisie de l'utilisateur"/>
    <w:rsid w:val="00E25029"/>
    <w:rPr>
      <w:rFonts w:ascii="Arial" w:eastAsia="Courier New" w:hAnsi="Arial" w:cs="Courier New"/>
      <w:sz w:val="21"/>
    </w:rPr>
  </w:style>
  <w:style w:type="character" w:customStyle="1" w:styleId="NotedebasdepageCar1">
    <w:name w:val="Note de bas de page Car1"/>
    <w:aliases w:val="fn Car1,footnote text Car1,Footnotes Car1,Footnote ak Car1,single space Car1"/>
    <w:basedOn w:val="Policepardfaut"/>
    <w:uiPriority w:val="99"/>
    <w:semiHidden/>
    <w:rsid w:val="00E25029"/>
    <w:rPr>
      <w:rFonts w:ascii="Calibri" w:hAnsi="Calibri"/>
      <w:lang w:val="en-US" w:eastAsia="en-US" w:bidi="en-US"/>
    </w:rPr>
  </w:style>
  <w:style w:type="paragraph" w:customStyle="1" w:styleId="Sansinterligne1">
    <w:name w:val="Sans interligne1"/>
    <w:basedOn w:val="Normal"/>
    <w:qFormat/>
    <w:rsid w:val="00E25029"/>
    <w:rPr>
      <w:lang w:val="en-US" w:eastAsia="en-US" w:bidi="en-US"/>
    </w:rPr>
  </w:style>
  <w:style w:type="paragraph" w:customStyle="1" w:styleId="Grillemoyenne1-Accent21">
    <w:name w:val="Grille moyenne 1 - Accent 21"/>
    <w:basedOn w:val="Normal"/>
    <w:qFormat/>
    <w:rsid w:val="00E25029"/>
    <w:pPr>
      <w:ind w:left="720" w:firstLine="360"/>
      <w:contextualSpacing/>
    </w:pPr>
    <w:rPr>
      <w:rFonts w:ascii="Calibri" w:hAnsi="Calibri"/>
      <w:lang w:val="en-US" w:eastAsia="en-US" w:bidi="en-US"/>
    </w:rPr>
  </w:style>
  <w:style w:type="character" w:customStyle="1" w:styleId="Grillemoyenne2-Accent2Car">
    <w:name w:val="Grille moyenne 2 - Accent 2 Car"/>
    <w:link w:val="Grillemoyenne2-Accent21"/>
    <w:locked/>
    <w:rsid w:val="00E25029"/>
    <w:rPr>
      <w:rFonts w:ascii="Cambria" w:hAnsi="Cambria"/>
      <w:i/>
      <w:iCs/>
      <w:color w:val="5A5A5A"/>
    </w:rPr>
  </w:style>
  <w:style w:type="paragraph" w:customStyle="1" w:styleId="Grillemoyenne2-Accent21">
    <w:name w:val="Grille moyenne 2 - Accent 21"/>
    <w:basedOn w:val="Normal"/>
    <w:next w:val="Normal"/>
    <w:link w:val="Grillemoyenne2-Accent2Car"/>
    <w:qFormat/>
    <w:rsid w:val="00E25029"/>
    <w:pPr>
      <w:ind w:firstLine="360"/>
    </w:pPr>
    <w:rPr>
      <w:rFonts w:ascii="Cambria" w:hAnsi="Cambria"/>
      <w:i/>
      <w:iCs/>
      <w:color w:val="5A5A5A"/>
      <w:sz w:val="20"/>
      <w:szCs w:val="20"/>
    </w:rPr>
  </w:style>
  <w:style w:type="character" w:customStyle="1" w:styleId="Grillemoyenne3-Accent2Car">
    <w:name w:val="Grille moyenne 3 - Accent 2 Car"/>
    <w:link w:val="Grillemoyenne3-Accent21"/>
    <w:locked/>
    <w:rsid w:val="00E25029"/>
    <w:rPr>
      <w:rFonts w:ascii="Cambria" w:hAnsi="Cambria"/>
      <w:i/>
      <w:iCs/>
      <w:color w:val="FFFFFF"/>
      <w:sz w:val="24"/>
      <w:szCs w:val="24"/>
      <w:shd w:val="clear" w:color="auto" w:fill="4F81BD"/>
    </w:rPr>
  </w:style>
  <w:style w:type="paragraph" w:customStyle="1" w:styleId="Grillemoyenne3-Accent21">
    <w:name w:val="Grille moyenne 3 - Accent 21"/>
    <w:basedOn w:val="Normal"/>
    <w:next w:val="Normal"/>
    <w:link w:val="Grillemoyenne3-Accent2Car"/>
    <w:qFormat/>
    <w:rsid w:val="00E25029"/>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hAnsi="Cambria"/>
      <w:i/>
      <w:iCs/>
      <w:color w:val="FFFFFF"/>
      <w:sz w:val="24"/>
      <w:szCs w:val="24"/>
    </w:rPr>
  </w:style>
  <w:style w:type="paragraph" w:customStyle="1" w:styleId="En-ttedetabledesmatires1">
    <w:name w:val="En-tête de table des matières1"/>
    <w:basedOn w:val="Titre1"/>
    <w:next w:val="Normal"/>
    <w:qFormat/>
    <w:rsid w:val="00E25029"/>
    <w:pPr>
      <w:keepNext w:val="0"/>
      <w:pBdr>
        <w:bottom w:val="single" w:sz="12" w:space="1" w:color="548DD4"/>
      </w:pBdr>
      <w:spacing w:before="240" w:after="120"/>
      <w:ind w:left="360"/>
      <w:jc w:val="center"/>
      <w:outlineLvl w:val="9"/>
    </w:pPr>
    <w:rPr>
      <w:rFonts w:ascii="Calibri" w:hAnsi="Calibri"/>
      <w:bCs/>
      <w:smallCaps/>
      <w:sz w:val="22"/>
      <w:lang w:eastAsia="en-US" w:bidi="en-US"/>
    </w:rPr>
  </w:style>
  <w:style w:type="paragraph" w:customStyle="1" w:styleId="Default">
    <w:name w:val="Default"/>
    <w:uiPriority w:val="99"/>
    <w:rsid w:val="00E25029"/>
    <w:pPr>
      <w:autoSpaceDE w:val="0"/>
      <w:autoSpaceDN w:val="0"/>
      <w:adjustRightInd w:val="0"/>
    </w:pPr>
    <w:rPr>
      <w:color w:val="000000"/>
      <w:sz w:val="24"/>
      <w:szCs w:val="24"/>
    </w:rPr>
  </w:style>
  <w:style w:type="paragraph" w:customStyle="1" w:styleId="ListParagraph1">
    <w:name w:val="List Paragraph1"/>
    <w:basedOn w:val="Normal"/>
    <w:rsid w:val="00E25029"/>
    <w:pPr>
      <w:spacing w:after="200" w:line="276" w:lineRule="auto"/>
      <w:ind w:left="708"/>
    </w:pPr>
    <w:rPr>
      <w:rFonts w:ascii="Calibri" w:eastAsia="Calibri" w:hAnsi="Calibri"/>
    </w:rPr>
  </w:style>
  <w:style w:type="character" w:customStyle="1" w:styleId="Emphaseple1">
    <w:name w:val="Emphase pâle1"/>
    <w:qFormat/>
    <w:rsid w:val="00E25029"/>
    <w:rPr>
      <w:i/>
      <w:iCs/>
      <w:color w:val="5A5A5A"/>
    </w:rPr>
  </w:style>
  <w:style w:type="character" w:customStyle="1" w:styleId="Emphaseintense1">
    <w:name w:val="Emphase intense1"/>
    <w:qFormat/>
    <w:rsid w:val="00E25029"/>
    <w:rPr>
      <w:b/>
      <w:bCs/>
      <w:i/>
      <w:iCs/>
      <w:color w:val="4F81BD"/>
      <w:sz w:val="22"/>
      <w:szCs w:val="22"/>
    </w:rPr>
  </w:style>
  <w:style w:type="character" w:customStyle="1" w:styleId="Rfrenceple1">
    <w:name w:val="Référence pâle1"/>
    <w:qFormat/>
    <w:rsid w:val="00E25029"/>
    <w:rPr>
      <w:color w:val="auto"/>
      <w:u w:val="single" w:color="9BBB59"/>
    </w:rPr>
  </w:style>
  <w:style w:type="character" w:customStyle="1" w:styleId="Rfrenceintense1">
    <w:name w:val="Référence intense1"/>
    <w:qFormat/>
    <w:rsid w:val="00E25029"/>
    <w:rPr>
      <w:b/>
      <w:bCs/>
      <w:color w:val="76923C"/>
      <w:u w:val="single" w:color="9BBB59"/>
    </w:rPr>
  </w:style>
  <w:style w:type="character" w:customStyle="1" w:styleId="Titredulivre1">
    <w:name w:val="Titre du livre1"/>
    <w:qFormat/>
    <w:rsid w:val="00E25029"/>
    <w:rPr>
      <w:rFonts w:ascii="Cambria" w:eastAsia="Times New Roman" w:hAnsi="Cambria" w:cs="Times New Roman" w:hint="default"/>
      <w:b/>
      <w:bCs/>
      <w:i/>
      <w:iCs/>
      <w:color w:val="auto"/>
    </w:rPr>
  </w:style>
  <w:style w:type="character" w:customStyle="1" w:styleId="WW-Saisiedelutilisateur1">
    <w:name w:val="WW-Saisie de l'utilisateur1"/>
    <w:rsid w:val="00E25029"/>
    <w:rPr>
      <w:rFonts w:ascii="Arial" w:hAnsi="Arial"/>
      <w:sz w:val="21"/>
    </w:rPr>
  </w:style>
  <w:style w:type="paragraph" w:styleId="Notedefin">
    <w:name w:val="endnote text"/>
    <w:basedOn w:val="Normal"/>
    <w:link w:val="NotedefinCar"/>
    <w:rsid w:val="00E25029"/>
    <w:rPr>
      <w:sz w:val="20"/>
      <w:szCs w:val="20"/>
    </w:rPr>
  </w:style>
  <w:style w:type="character" w:customStyle="1" w:styleId="NotedefinCar">
    <w:name w:val="Note de fin Car"/>
    <w:basedOn w:val="Policepardfaut"/>
    <w:link w:val="Notedefin"/>
    <w:rsid w:val="00E25029"/>
  </w:style>
  <w:style w:type="character" w:styleId="Appeldenotedefin">
    <w:name w:val="endnote reference"/>
    <w:basedOn w:val="Policepardfaut"/>
    <w:rsid w:val="00E25029"/>
    <w:rPr>
      <w:vertAlign w:val="superscript"/>
    </w:rPr>
  </w:style>
  <w:style w:type="paragraph" w:customStyle="1" w:styleId="Corpsdetexte21">
    <w:name w:val="Corps de texte 21"/>
    <w:basedOn w:val="Normal"/>
    <w:rsid w:val="00E25029"/>
    <w:pPr>
      <w:jc w:val="both"/>
    </w:pPr>
    <w:rPr>
      <w:rFonts w:ascii="Arial Narrow" w:hAnsi="Arial Narrow"/>
      <w:b/>
      <w:sz w:val="24"/>
      <w:szCs w:val="20"/>
    </w:rPr>
  </w:style>
  <w:style w:type="paragraph" w:customStyle="1" w:styleId="Titre111">
    <w:name w:val="Titre 111"/>
    <w:basedOn w:val="Normal"/>
    <w:next w:val="Normal"/>
    <w:uiPriority w:val="99"/>
    <w:rsid w:val="00E25029"/>
    <w:pPr>
      <w:keepNext/>
      <w:widowControl w:val="0"/>
      <w:suppressAutoHyphens/>
      <w:autoSpaceDE w:val="0"/>
      <w:spacing w:before="227" w:after="227" w:line="360" w:lineRule="auto"/>
      <w:jc w:val="both"/>
    </w:pPr>
    <w:rPr>
      <w:rFonts w:ascii="Arial" w:eastAsia="Arial Unicode MS" w:hAnsi="Arial" w:cs="Tahoma"/>
      <w:sz w:val="24"/>
      <w:szCs w:val="24"/>
    </w:rPr>
  </w:style>
  <w:style w:type="paragraph" w:customStyle="1" w:styleId="Paragraphedeliste1">
    <w:name w:val="Paragraphe de liste1"/>
    <w:basedOn w:val="Normal"/>
    <w:uiPriority w:val="34"/>
    <w:qFormat/>
    <w:rsid w:val="00E25029"/>
    <w:pPr>
      <w:ind w:left="720"/>
      <w:contextualSpacing/>
    </w:pPr>
    <w:rPr>
      <w:sz w:val="24"/>
      <w:szCs w:val="24"/>
    </w:rPr>
  </w:style>
  <w:style w:type="character" w:customStyle="1" w:styleId="Heading1Char">
    <w:name w:val="Heading 1 Char"/>
    <w:basedOn w:val="Policepardfaut"/>
    <w:uiPriority w:val="9"/>
    <w:rsid w:val="00E25029"/>
    <w:rPr>
      <w:rFonts w:ascii="Cambria" w:eastAsia="Times New Roman" w:hAnsi="Cambria" w:cs="Times New Roman"/>
      <w:b/>
      <w:bCs/>
      <w:kern w:val="32"/>
      <w:sz w:val="32"/>
      <w:szCs w:val="32"/>
      <w:lang w:val="en-US" w:eastAsia="en-US"/>
    </w:rPr>
  </w:style>
  <w:style w:type="character" w:customStyle="1" w:styleId="Heading2Char">
    <w:name w:val="Heading 2 Char"/>
    <w:basedOn w:val="Policepardfaut"/>
    <w:uiPriority w:val="9"/>
    <w:semiHidden/>
    <w:rsid w:val="00E25029"/>
    <w:rPr>
      <w:rFonts w:ascii="Cambria" w:eastAsia="Times New Roman" w:hAnsi="Cambria" w:cs="Times New Roman"/>
      <w:b/>
      <w:bCs/>
      <w:i/>
      <w:iCs/>
      <w:sz w:val="28"/>
      <w:szCs w:val="28"/>
      <w:lang w:val="en-US" w:eastAsia="en-US"/>
    </w:rPr>
  </w:style>
  <w:style w:type="character" w:customStyle="1" w:styleId="Heading3Char">
    <w:name w:val="Heading 3 Char"/>
    <w:basedOn w:val="Policepardfaut"/>
    <w:uiPriority w:val="9"/>
    <w:semiHidden/>
    <w:rsid w:val="00E25029"/>
    <w:rPr>
      <w:rFonts w:ascii="Cambria" w:eastAsia="Times New Roman" w:hAnsi="Cambria" w:cs="Times New Roman"/>
      <w:b/>
      <w:bCs/>
      <w:sz w:val="26"/>
      <w:szCs w:val="26"/>
      <w:lang w:val="en-US" w:eastAsia="en-US"/>
    </w:rPr>
  </w:style>
  <w:style w:type="character" w:customStyle="1" w:styleId="Heading4Char">
    <w:name w:val="Heading 4 Char"/>
    <w:basedOn w:val="Policepardfaut"/>
    <w:uiPriority w:val="9"/>
    <w:semiHidden/>
    <w:rsid w:val="00E25029"/>
    <w:rPr>
      <w:rFonts w:ascii="Calibri" w:eastAsia="Times New Roman" w:hAnsi="Calibri" w:cs="Times New Roman"/>
      <w:b/>
      <w:bCs/>
      <w:sz w:val="28"/>
      <w:szCs w:val="28"/>
      <w:lang w:val="en-US" w:eastAsia="en-US"/>
    </w:rPr>
  </w:style>
  <w:style w:type="character" w:customStyle="1" w:styleId="Heading5Char">
    <w:name w:val="Heading 5 Char"/>
    <w:basedOn w:val="Policepardfaut"/>
    <w:uiPriority w:val="9"/>
    <w:semiHidden/>
    <w:rsid w:val="00E25029"/>
    <w:rPr>
      <w:rFonts w:ascii="Calibri" w:eastAsia="Times New Roman" w:hAnsi="Calibri" w:cs="Times New Roman"/>
      <w:b/>
      <w:bCs/>
      <w:i/>
      <w:iCs/>
      <w:sz w:val="26"/>
      <w:szCs w:val="26"/>
      <w:lang w:val="en-US" w:eastAsia="en-US"/>
    </w:rPr>
  </w:style>
  <w:style w:type="character" w:customStyle="1" w:styleId="Heading6Char">
    <w:name w:val="Heading 6 Char"/>
    <w:basedOn w:val="Policepardfaut"/>
    <w:uiPriority w:val="9"/>
    <w:semiHidden/>
    <w:rsid w:val="00E25029"/>
    <w:rPr>
      <w:rFonts w:ascii="Calibri" w:eastAsia="Times New Roman" w:hAnsi="Calibri" w:cs="Times New Roman"/>
      <w:b/>
      <w:bCs/>
      <w:lang w:val="en-US" w:eastAsia="en-US"/>
    </w:rPr>
  </w:style>
  <w:style w:type="character" w:customStyle="1" w:styleId="Heading7Char">
    <w:name w:val="Heading 7 Char"/>
    <w:basedOn w:val="Policepardfaut"/>
    <w:uiPriority w:val="9"/>
    <w:semiHidden/>
    <w:rsid w:val="00E25029"/>
    <w:rPr>
      <w:rFonts w:ascii="Calibri" w:eastAsia="Times New Roman" w:hAnsi="Calibri" w:cs="Times New Roman"/>
      <w:sz w:val="24"/>
      <w:szCs w:val="24"/>
      <w:lang w:val="en-US" w:eastAsia="en-US"/>
    </w:rPr>
  </w:style>
  <w:style w:type="character" w:customStyle="1" w:styleId="Heading8Char">
    <w:name w:val="Heading 8 Char"/>
    <w:basedOn w:val="Policepardfaut"/>
    <w:uiPriority w:val="9"/>
    <w:semiHidden/>
    <w:rsid w:val="00E25029"/>
    <w:rPr>
      <w:rFonts w:ascii="Calibri" w:eastAsia="Times New Roman" w:hAnsi="Calibri" w:cs="Times New Roman"/>
      <w:i/>
      <w:iCs/>
      <w:sz w:val="24"/>
      <w:szCs w:val="24"/>
      <w:lang w:val="en-US" w:eastAsia="en-US"/>
    </w:rPr>
  </w:style>
  <w:style w:type="character" w:customStyle="1" w:styleId="Heading9Char">
    <w:name w:val="Heading 9 Char"/>
    <w:basedOn w:val="Policepardfaut"/>
    <w:uiPriority w:val="9"/>
    <w:semiHidden/>
    <w:rsid w:val="00E25029"/>
    <w:rPr>
      <w:rFonts w:ascii="Cambria" w:eastAsia="Times New Roman" w:hAnsi="Cambria" w:cs="Times New Roman"/>
      <w:lang w:val="en-US" w:eastAsia="en-US"/>
    </w:rPr>
  </w:style>
  <w:style w:type="character" w:customStyle="1" w:styleId="TitleChar">
    <w:name w:val="Title Char"/>
    <w:basedOn w:val="Policepardfaut"/>
    <w:uiPriority w:val="10"/>
    <w:rsid w:val="00E25029"/>
    <w:rPr>
      <w:rFonts w:ascii="Cambria" w:eastAsia="Times New Roman" w:hAnsi="Cambria" w:cs="Times New Roman"/>
      <w:b/>
      <w:bCs/>
      <w:kern w:val="28"/>
      <w:sz w:val="32"/>
      <w:szCs w:val="32"/>
      <w:lang w:val="en-US" w:eastAsia="en-US"/>
    </w:rPr>
  </w:style>
  <w:style w:type="character" w:customStyle="1" w:styleId="BodyTextChar">
    <w:name w:val="Body Text Char"/>
    <w:basedOn w:val="Policepardfaut"/>
    <w:uiPriority w:val="99"/>
    <w:semiHidden/>
    <w:rsid w:val="00E25029"/>
    <w:rPr>
      <w:rFonts w:ascii="Calibri" w:hAnsi="Calibri" w:cs="Calibri"/>
      <w:lang w:val="en-US" w:eastAsia="en-US"/>
    </w:rPr>
  </w:style>
  <w:style w:type="character" w:customStyle="1" w:styleId="BodyTextIndentChar">
    <w:name w:val="Body Text Indent Char"/>
    <w:basedOn w:val="Policepardfaut"/>
    <w:uiPriority w:val="99"/>
    <w:semiHidden/>
    <w:rsid w:val="00E25029"/>
    <w:rPr>
      <w:rFonts w:ascii="Calibri" w:hAnsi="Calibri" w:cs="Calibri"/>
      <w:lang w:val="en-US" w:eastAsia="en-US"/>
    </w:rPr>
  </w:style>
  <w:style w:type="character" w:customStyle="1" w:styleId="BodyTextIndent2Char">
    <w:name w:val="Body Text Indent 2 Char"/>
    <w:basedOn w:val="Policepardfaut"/>
    <w:uiPriority w:val="99"/>
    <w:semiHidden/>
    <w:rsid w:val="00E25029"/>
    <w:rPr>
      <w:rFonts w:ascii="Calibri" w:hAnsi="Calibri" w:cs="Calibri"/>
      <w:lang w:val="en-US" w:eastAsia="en-US"/>
    </w:rPr>
  </w:style>
  <w:style w:type="character" w:customStyle="1" w:styleId="BodyText3Char">
    <w:name w:val="Body Text 3 Char"/>
    <w:basedOn w:val="Policepardfaut"/>
    <w:uiPriority w:val="99"/>
    <w:semiHidden/>
    <w:rsid w:val="00E25029"/>
    <w:rPr>
      <w:rFonts w:ascii="Calibri" w:hAnsi="Calibri" w:cs="Calibri"/>
      <w:sz w:val="16"/>
      <w:szCs w:val="16"/>
      <w:lang w:val="en-US" w:eastAsia="en-US"/>
    </w:rPr>
  </w:style>
  <w:style w:type="character" w:customStyle="1" w:styleId="BodyTextIndent3Char">
    <w:name w:val="Body Text Indent 3 Char"/>
    <w:basedOn w:val="Policepardfaut"/>
    <w:uiPriority w:val="99"/>
    <w:semiHidden/>
    <w:rsid w:val="00E25029"/>
    <w:rPr>
      <w:rFonts w:ascii="Calibri" w:hAnsi="Calibri" w:cs="Calibri"/>
      <w:sz w:val="16"/>
      <w:szCs w:val="16"/>
      <w:lang w:val="en-US" w:eastAsia="en-US"/>
    </w:rPr>
  </w:style>
  <w:style w:type="character" w:customStyle="1" w:styleId="FootnoteTextChar">
    <w:name w:val="Footnote Text Char"/>
    <w:aliases w:val="fn Char,Footnotes Char,Footnote ak Char,single space Char"/>
    <w:basedOn w:val="Policepardfaut"/>
    <w:semiHidden/>
    <w:locked/>
    <w:rsid w:val="00E25029"/>
    <w:rPr>
      <w:rFonts w:ascii="Calibri" w:hAnsi="Calibri" w:cs="Calibri"/>
      <w:lang w:val="en-US" w:eastAsia="en-US"/>
    </w:rPr>
  </w:style>
  <w:style w:type="character" w:customStyle="1" w:styleId="HeaderChar">
    <w:name w:val="Header Char"/>
    <w:basedOn w:val="Policepardfaut"/>
    <w:uiPriority w:val="99"/>
    <w:semiHidden/>
    <w:rsid w:val="00E25029"/>
    <w:rPr>
      <w:rFonts w:ascii="Calibri" w:hAnsi="Calibri" w:cs="Calibri"/>
      <w:lang w:val="en-US" w:eastAsia="en-US"/>
    </w:rPr>
  </w:style>
  <w:style w:type="character" w:customStyle="1" w:styleId="FooterChar">
    <w:name w:val="Footer Char"/>
    <w:basedOn w:val="Policepardfaut"/>
    <w:uiPriority w:val="99"/>
    <w:semiHidden/>
    <w:rsid w:val="00E25029"/>
    <w:rPr>
      <w:rFonts w:ascii="Calibri" w:hAnsi="Calibri" w:cs="Calibri"/>
      <w:lang w:val="en-US" w:eastAsia="en-US"/>
    </w:rPr>
  </w:style>
  <w:style w:type="character" w:customStyle="1" w:styleId="BodyText2Char">
    <w:name w:val="Body Text 2 Char"/>
    <w:basedOn w:val="Policepardfaut"/>
    <w:uiPriority w:val="99"/>
    <w:semiHidden/>
    <w:rsid w:val="00E25029"/>
    <w:rPr>
      <w:rFonts w:ascii="Calibri" w:hAnsi="Calibri" w:cs="Calibri"/>
      <w:lang w:val="en-US" w:eastAsia="en-US"/>
    </w:rPr>
  </w:style>
  <w:style w:type="character" w:customStyle="1" w:styleId="PlainTextChar">
    <w:name w:val="Plain Text Char"/>
    <w:basedOn w:val="Policepardfaut"/>
    <w:uiPriority w:val="99"/>
    <w:semiHidden/>
    <w:rsid w:val="00E25029"/>
    <w:rPr>
      <w:rFonts w:ascii="Courier New" w:hAnsi="Courier New" w:cs="Courier New"/>
      <w:sz w:val="20"/>
      <w:szCs w:val="20"/>
      <w:lang w:val="en-US" w:eastAsia="en-US"/>
    </w:rPr>
  </w:style>
  <w:style w:type="character" w:customStyle="1" w:styleId="CommentTextChar">
    <w:name w:val="Comment Text Char"/>
    <w:basedOn w:val="Policepardfaut"/>
    <w:uiPriority w:val="99"/>
    <w:semiHidden/>
    <w:rsid w:val="00E25029"/>
    <w:rPr>
      <w:rFonts w:ascii="Calibri" w:hAnsi="Calibri" w:cs="Calibri"/>
      <w:sz w:val="20"/>
      <w:szCs w:val="20"/>
      <w:lang w:val="en-US" w:eastAsia="en-US"/>
    </w:rPr>
  </w:style>
  <w:style w:type="character" w:customStyle="1" w:styleId="DocumentMapChar">
    <w:name w:val="Document Map Char"/>
    <w:basedOn w:val="Policepardfaut"/>
    <w:uiPriority w:val="99"/>
    <w:semiHidden/>
    <w:rsid w:val="00E25029"/>
    <w:rPr>
      <w:rFonts w:ascii="Times New Roman" w:hAnsi="Times New Roman"/>
      <w:sz w:val="0"/>
      <w:szCs w:val="0"/>
      <w:lang w:val="en-US" w:eastAsia="en-US"/>
    </w:rPr>
  </w:style>
  <w:style w:type="character" w:customStyle="1" w:styleId="BalloonTextChar">
    <w:name w:val="Balloon Text Char"/>
    <w:basedOn w:val="Policepardfaut"/>
    <w:uiPriority w:val="99"/>
    <w:semiHidden/>
    <w:rsid w:val="00E25029"/>
    <w:rPr>
      <w:rFonts w:ascii="Times New Roman" w:hAnsi="Times New Roman"/>
      <w:sz w:val="0"/>
      <w:szCs w:val="0"/>
      <w:lang w:val="en-US" w:eastAsia="en-US"/>
    </w:rPr>
  </w:style>
  <w:style w:type="character" w:customStyle="1" w:styleId="CommentSubjectChar">
    <w:name w:val="Comment Subject Char"/>
    <w:basedOn w:val="CommentaireCar"/>
    <w:uiPriority w:val="99"/>
    <w:semiHidden/>
    <w:rsid w:val="00E25029"/>
    <w:rPr>
      <w:rFonts w:ascii="Calibri" w:hAnsi="Calibri" w:cs="Calibri"/>
      <w:b/>
      <w:bCs/>
      <w:sz w:val="20"/>
      <w:szCs w:val="20"/>
      <w:lang w:val="en-US" w:eastAsia="en-US"/>
    </w:rPr>
  </w:style>
  <w:style w:type="character" w:customStyle="1" w:styleId="SubtitleChar">
    <w:name w:val="Subtitle Char"/>
    <w:basedOn w:val="Policepardfaut"/>
    <w:uiPriority w:val="11"/>
    <w:rsid w:val="00E25029"/>
    <w:rPr>
      <w:rFonts w:ascii="Cambria" w:eastAsia="Times New Roman" w:hAnsi="Cambria" w:cs="Times New Roman"/>
      <w:sz w:val="24"/>
      <w:szCs w:val="24"/>
      <w:lang w:val="en-US" w:eastAsia="en-US"/>
    </w:rPr>
  </w:style>
  <w:style w:type="paragraph" w:customStyle="1" w:styleId="ColorfulList-Accent11">
    <w:name w:val="Colorful List - Accent 11"/>
    <w:basedOn w:val="Normal"/>
    <w:uiPriority w:val="99"/>
    <w:rsid w:val="00E25029"/>
    <w:pPr>
      <w:spacing w:after="200" w:line="276" w:lineRule="auto"/>
      <w:ind w:left="708"/>
    </w:pPr>
    <w:rPr>
      <w:rFonts w:ascii="Calibri" w:hAnsi="Calibri" w:cs="Calibri"/>
    </w:rPr>
  </w:style>
  <w:style w:type="character" w:customStyle="1" w:styleId="EndnoteTextChar">
    <w:name w:val="Endnote Text Char"/>
    <w:basedOn w:val="Policepardfaut"/>
    <w:uiPriority w:val="99"/>
    <w:semiHidden/>
    <w:rsid w:val="00E25029"/>
    <w:rPr>
      <w:rFonts w:ascii="Calibri" w:hAnsi="Calibri" w:cs="Calibri"/>
      <w:sz w:val="20"/>
      <w:szCs w:val="20"/>
      <w:lang w:val="en-US" w:eastAsia="en-US"/>
    </w:rPr>
  </w:style>
  <w:style w:type="character" w:customStyle="1" w:styleId="fonttitle">
    <w:name w:val="fonttitle"/>
    <w:rsid w:val="00E25029"/>
  </w:style>
  <w:style w:type="paragraph" w:customStyle="1" w:styleId="Listecouleur-Accent11">
    <w:name w:val="Liste couleur - Accent 11"/>
    <w:basedOn w:val="Normal"/>
    <w:uiPriority w:val="34"/>
    <w:qFormat/>
    <w:rsid w:val="00E25029"/>
    <w:pPr>
      <w:spacing w:after="200" w:line="276" w:lineRule="auto"/>
      <w:ind w:left="720"/>
    </w:pPr>
    <w:rPr>
      <w:rFonts w:ascii="Calibri" w:hAnsi="Calibri" w:cs="Calibri"/>
      <w:lang w:eastAsia="en-US"/>
    </w:rPr>
  </w:style>
  <w:style w:type="character" w:customStyle="1" w:styleId="apple-style-span">
    <w:name w:val="apple-style-span"/>
    <w:rsid w:val="00E25029"/>
  </w:style>
  <w:style w:type="character" w:customStyle="1" w:styleId="apple-converted-space">
    <w:name w:val="apple-converted-space"/>
    <w:rsid w:val="00E25029"/>
  </w:style>
  <w:style w:type="paragraph" w:customStyle="1" w:styleId="bodytext">
    <w:name w:val="bodytext"/>
    <w:basedOn w:val="Normal"/>
    <w:rsid w:val="00E25029"/>
    <w:pPr>
      <w:spacing w:beforeLines="1" w:afterLines="1"/>
    </w:pPr>
    <w:rPr>
      <w:rFonts w:ascii="Times" w:hAnsi="Times" w:cs="Times"/>
      <w:sz w:val="20"/>
      <w:szCs w:val="20"/>
    </w:rPr>
  </w:style>
  <w:style w:type="paragraph" w:customStyle="1" w:styleId="Grillemoyenne1-Accent22">
    <w:name w:val="Grille moyenne 1 - Accent 22"/>
    <w:basedOn w:val="Normal"/>
    <w:qFormat/>
    <w:rsid w:val="00E25029"/>
    <w:pPr>
      <w:ind w:left="708"/>
    </w:pPr>
    <w:rPr>
      <w:sz w:val="24"/>
      <w:szCs w:val="24"/>
    </w:rPr>
  </w:style>
  <w:style w:type="paragraph" w:customStyle="1" w:styleId="TOCHeading1">
    <w:name w:val="TOC Heading1"/>
    <w:basedOn w:val="Titre1"/>
    <w:next w:val="Normal"/>
    <w:uiPriority w:val="99"/>
    <w:rsid w:val="00E25029"/>
    <w:pPr>
      <w:keepLines/>
      <w:spacing w:after="0" w:line="276" w:lineRule="auto"/>
      <w:outlineLvl w:val="9"/>
    </w:pPr>
    <w:rPr>
      <w:rFonts w:ascii="Calibri" w:hAnsi="Calibri" w:cs="Calibri"/>
      <w:bCs/>
      <w:color w:val="365F91"/>
      <w:sz w:val="28"/>
      <w:szCs w:val="28"/>
      <w:lang w:val="en-US"/>
    </w:rPr>
  </w:style>
  <w:style w:type="character" w:customStyle="1" w:styleId="CarCar15">
    <w:name w:val="Car Car15"/>
    <w:basedOn w:val="Policepardfaut"/>
    <w:uiPriority w:val="99"/>
    <w:locked/>
    <w:rsid w:val="00E25029"/>
    <w:rPr>
      <w:rFonts w:ascii="Times New Roman" w:hAnsi="Times New Roman" w:cs="Times New Roman"/>
      <w:b/>
      <w:bCs/>
      <w:sz w:val="32"/>
      <w:szCs w:val="32"/>
    </w:rPr>
  </w:style>
  <w:style w:type="character" w:customStyle="1" w:styleId="CarCar19">
    <w:name w:val="Car Car19"/>
    <w:basedOn w:val="Policepardfaut"/>
    <w:uiPriority w:val="99"/>
    <w:locked/>
    <w:rsid w:val="00E25029"/>
    <w:rPr>
      <w:rFonts w:ascii="Cambria" w:hAnsi="Cambria" w:cs="Cambria"/>
      <w:i/>
      <w:iCs/>
      <w:color w:val="4F81BD"/>
      <w:sz w:val="20"/>
      <w:szCs w:val="20"/>
    </w:rPr>
  </w:style>
  <w:style w:type="paragraph" w:styleId="Rvision">
    <w:name w:val="Revision"/>
    <w:hidden/>
    <w:uiPriority w:val="99"/>
    <w:semiHidden/>
    <w:rsid w:val="00E25029"/>
    <w:rPr>
      <w:sz w:val="22"/>
      <w:szCs w:val="22"/>
    </w:rPr>
  </w:style>
  <w:style w:type="paragraph" w:customStyle="1" w:styleId="yiv201242569msonormal">
    <w:name w:val="yiv201242569msonormal"/>
    <w:basedOn w:val="Normal"/>
    <w:rsid w:val="00E25029"/>
    <w:pPr>
      <w:spacing w:before="100" w:beforeAutospacing="1" w:after="100" w:afterAutospacing="1"/>
    </w:pPr>
    <w:rPr>
      <w:rFonts w:eastAsia="Calibri"/>
      <w:sz w:val="24"/>
      <w:szCs w:val="24"/>
    </w:rPr>
  </w:style>
  <w:style w:type="paragraph" w:customStyle="1" w:styleId="cocozof1">
    <w:name w:val="cocozof 1"/>
    <w:basedOn w:val="Titre1"/>
    <w:link w:val="cocozof1Car"/>
    <w:rsid w:val="00E25029"/>
    <w:pPr>
      <w:pBdr>
        <w:bottom w:val="single" w:sz="12" w:space="1" w:color="548DD4"/>
      </w:pBdr>
      <w:spacing w:before="0" w:after="120" w:line="276" w:lineRule="auto"/>
    </w:pPr>
    <w:rPr>
      <w:rFonts w:ascii="Calibri" w:hAnsi="Calibri"/>
      <w:bCs/>
      <w:sz w:val="20"/>
      <w:szCs w:val="20"/>
    </w:rPr>
  </w:style>
  <w:style w:type="paragraph" w:customStyle="1" w:styleId="cocozof2">
    <w:name w:val="cocozof 2"/>
    <w:basedOn w:val="Titre2"/>
    <w:rsid w:val="00E25029"/>
    <w:pPr>
      <w:pBdr>
        <w:bottom w:val="single" w:sz="8" w:space="1" w:color="4F81BD"/>
      </w:pBdr>
      <w:spacing w:before="200" w:after="80" w:line="276" w:lineRule="auto"/>
    </w:pPr>
    <w:rPr>
      <w:rFonts w:ascii="Calibri" w:hAnsi="Calibri"/>
      <w:b/>
      <w:sz w:val="20"/>
      <w:szCs w:val="20"/>
    </w:rPr>
  </w:style>
  <w:style w:type="paragraph" w:customStyle="1" w:styleId="Paragraphedeliste2">
    <w:name w:val="Paragraphe de liste2"/>
    <w:basedOn w:val="Normal"/>
    <w:qFormat/>
    <w:rsid w:val="00242F56"/>
    <w:pPr>
      <w:spacing w:after="200" w:line="276" w:lineRule="auto"/>
      <w:ind w:left="708"/>
    </w:pPr>
    <w:rPr>
      <w:rFonts w:ascii="Calibri" w:eastAsia="Calibri" w:hAnsi="Calibri"/>
    </w:rPr>
  </w:style>
  <w:style w:type="paragraph" w:customStyle="1" w:styleId="Listecouleur-Accent12">
    <w:name w:val="Liste couleur - Accent 12"/>
    <w:basedOn w:val="Normal"/>
    <w:uiPriority w:val="34"/>
    <w:qFormat/>
    <w:rsid w:val="00242F56"/>
    <w:pPr>
      <w:spacing w:after="200" w:line="276" w:lineRule="auto"/>
      <w:ind w:left="720"/>
      <w:contextualSpacing/>
    </w:pPr>
    <w:rPr>
      <w:rFonts w:ascii="Calibri" w:hAnsi="Calibri"/>
    </w:rPr>
  </w:style>
  <w:style w:type="character" w:customStyle="1" w:styleId="FootnoteTextChar1">
    <w:name w:val="Footnote Text Char1"/>
    <w:aliases w:val="fn Char1,Footnotes Char1,Footnote ak Char1,single space Char1"/>
    <w:basedOn w:val="Policepardfaut"/>
    <w:locked/>
    <w:rsid w:val="00242F56"/>
    <w:rPr>
      <w:rFonts w:cs="Times New Roman"/>
      <w:lang w:val="fr-FR" w:eastAsia="fr-FR"/>
    </w:rPr>
  </w:style>
  <w:style w:type="character" w:customStyle="1" w:styleId="HeaderChar1">
    <w:name w:val="Header Char1"/>
    <w:basedOn w:val="Policepardfaut"/>
    <w:locked/>
    <w:rsid w:val="00242F56"/>
    <w:rPr>
      <w:rFonts w:cs="Times New Roman"/>
      <w:sz w:val="22"/>
      <w:szCs w:val="22"/>
      <w:lang w:val="fr-FR" w:eastAsia="fr-FR"/>
    </w:rPr>
  </w:style>
  <w:style w:type="paragraph" w:customStyle="1" w:styleId="Titre12">
    <w:name w:val="Titre 12"/>
    <w:basedOn w:val="Normal1"/>
    <w:next w:val="Normal1"/>
    <w:rsid w:val="00B40839"/>
    <w:pPr>
      <w:keepNext/>
      <w:spacing w:before="0" w:after="0" w:line="240" w:lineRule="auto"/>
      <w:jc w:val="left"/>
    </w:pPr>
    <w:rPr>
      <w:rFonts w:ascii="Times New Roman" w:eastAsia="Lucida Sans Unicode" w:hAnsi="Times New Roman"/>
      <w:sz w:val="24"/>
      <w:szCs w:val="24"/>
    </w:rPr>
  </w:style>
  <w:style w:type="paragraph" w:customStyle="1" w:styleId="Paragraphedeliste3">
    <w:name w:val="Paragraphe de liste3"/>
    <w:basedOn w:val="Normal"/>
    <w:qFormat/>
    <w:rsid w:val="003D0734"/>
    <w:pPr>
      <w:spacing w:after="200" w:line="276" w:lineRule="auto"/>
      <w:ind w:left="708"/>
    </w:pPr>
    <w:rPr>
      <w:rFonts w:ascii="Calibri" w:eastAsia="Calibri" w:hAnsi="Calibri"/>
    </w:rPr>
  </w:style>
  <w:style w:type="paragraph" w:customStyle="1" w:styleId="Grilleclaire-Accent31">
    <w:name w:val="Grille claire - Accent 31"/>
    <w:basedOn w:val="Normal"/>
    <w:uiPriority w:val="34"/>
    <w:qFormat/>
    <w:rsid w:val="00AF1B6E"/>
    <w:pPr>
      <w:ind w:left="720"/>
      <w:contextualSpacing/>
      <w:jc w:val="both"/>
    </w:pPr>
    <w:rPr>
      <w:szCs w:val="20"/>
      <w:lang w:bidi="en-US"/>
    </w:rPr>
  </w:style>
  <w:style w:type="paragraph" w:customStyle="1" w:styleId="Standard">
    <w:name w:val="Standard"/>
    <w:rsid w:val="00A17AC5"/>
    <w:pPr>
      <w:widowControl w:val="0"/>
      <w:suppressAutoHyphens/>
      <w:autoSpaceDN w:val="0"/>
      <w:spacing w:before="227" w:after="227" w:line="360" w:lineRule="auto"/>
      <w:jc w:val="both"/>
      <w:textAlignment w:val="baseline"/>
    </w:pPr>
    <w:rPr>
      <w:rFonts w:ascii="Arial" w:eastAsia="Arial Unicode MS" w:hAnsi="Arial" w:cs="Tahoma"/>
      <w:kern w:val="3"/>
      <w:sz w:val="21"/>
      <w:szCs w:val="24"/>
      <w:lang w:bidi="fr-FR"/>
    </w:rPr>
  </w:style>
  <w:style w:type="paragraph" w:customStyle="1" w:styleId="Textbodyindent">
    <w:name w:val="Text body indent"/>
    <w:basedOn w:val="Standard"/>
    <w:rsid w:val="00A17AC5"/>
    <w:pPr>
      <w:ind w:firstLine="1304"/>
    </w:pPr>
    <w:rPr>
      <w:rFonts w:ascii="Times New Roman" w:eastAsia="Times New Roman" w:hAnsi="Times New Roman" w:cs="Times New Roman"/>
    </w:rPr>
  </w:style>
  <w:style w:type="paragraph" w:customStyle="1" w:styleId="Titre21">
    <w:name w:val="Titre 21"/>
    <w:next w:val="Standard"/>
    <w:rsid w:val="00A17AC5"/>
    <w:pPr>
      <w:widowControl w:val="0"/>
      <w:suppressAutoHyphens/>
      <w:autoSpaceDN w:val="0"/>
      <w:spacing w:before="227"/>
      <w:textAlignment w:val="baseline"/>
    </w:pPr>
    <w:rPr>
      <w:rFonts w:ascii="Arial" w:eastAsia="Arial Unicode MS" w:hAnsi="Arial" w:cs="Tahoma"/>
      <w:b/>
      <w:bCs/>
      <w:i/>
      <w:iCs/>
      <w:kern w:val="3"/>
      <w:sz w:val="28"/>
      <w:szCs w:val="28"/>
      <w:lang w:bidi="fr-FR"/>
    </w:rPr>
  </w:style>
  <w:style w:type="paragraph" w:customStyle="1" w:styleId="Footnote">
    <w:name w:val="Footnote"/>
    <w:basedOn w:val="Standard"/>
    <w:rsid w:val="00A17AC5"/>
    <w:pPr>
      <w:suppressLineNumbers/>
      <w:spacing w:before="113" w:after="113" w:line="240" w:lineRule="auto"/>
      <w:jc w:val="left"/>
    </w:pPr>
    <w:rPr>
      <w:sz w:val="20"/>
      <w:szCs w:val="20"/>
    </w:rPr>
  </w:style>
  <w:style w:type="paragraph" w:customStyle="1" w:styleId="texte">
    <w:name w:val="texte"/>
    <w:basedOn w:val="Normal"/>
    <w:rsid w:val="00137017"/>
    <w:pPr>
      <w:overflowPunct w:val="0"/>
      <w:autoSpaceDE w:val="0"/>
      <w:autoSpaceDN w:val="0"/>
      <w:adjustRightInd w:val="0"/>
      <w:spacing w:after="180" w:line="260" w:lineRule="exact"/>
      <w:ind w:left="2268" w:firstLine="709"/>
      <w:jc w:val="both"/>
    </w:pPr>
    <w:rPr>
      <w:spacing w:val="12"/>
      <w:szCs w:val="20"/>
    </w:rPr>
  </w:style>
  <w:style w:type="paragraph" w:customStyle="1" w:styleId="SingleTxt">
    <w:name w:val="__Single Txt"/>
    <w:basedOn w:val="Normal"/>
    <w:rsid w:val="003B3B63"/>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spacing w:val="4"/>
      <w:w w:val="103"/>
      <w:kern w:val="14"/>
      <w:sz w:val="20"/>
      <w:szCs w:val="20"/>
      <w:lang w:val="en-GB"/>
    </w:rPr>
  </w:style>
  <w:style w:type="character" w:customStyle="1" w:styleId="st1">
    <w:name w:val="st1"/>
    <w:rsid w:val="003B3B63"/>
  </w:style>
  <w:style w:type="numbering" w:customStyle="1" w:styleId="Aucuneliste1">
    <w:name w:val="Aucune liste1"/>
    <w:next w:val="Aucuneliste"/>
    <w:uiPriority w:val="99"/>
    <w:semiHidden/>
    <w:unhideWhenUsed/>
    <w:rsid w:val="00767CD8"/>
  </w:style>
  <w:style w:type="table" w:customStyle="1" w:styleId="Grilledutableau1">
    <w:name w:val="Grille du tableau1"/>
    <w:basedOn w:val="TableauNormal"/>
    <w:next w:val="Grilledutableau"/>
    <w:uiPriority w:val="59"/>
    <w:rsid w:val="00767CD8"/>
    <w:rPr>
      <w:rFonts w:ascii="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imple11">
    <w:name w:val="Simple 11"/>
    <w:basedOn w:val="TableauNormal"/>
    <w:next w:val="Tableausimple1"/>
    <w:rsid w:val="00767CD8"/>
    <w:pPr>
      <w:ind w:firstLine="360"/>
    </w:pPr>
    <w:rPr>
      <w:rFonts w:ascii="Calibri" w:hAnsi="Calibri" w:cs="Calibri"/>
    </w:rPr>
    <w:tblPr>
      <w:tblBorders>
        <w:top w:val="single" w:sz="12" w:space="0" w:color="008000"/>
        <w:bottom w:val="single" w:sz="12" w:space="0" w:color="008000"/>
      </w:tblBorders>
    </w:tblPr>
    <w:tblStylePr w:type="firstRow">
      <w:rPr>
        <w:rFonts w:cs="SimSun"/>
      </w:rPr>
      <w:tblPr/>
      <w:tcPr>
        <w:tcBorders>
          <w:bottom w:val="single" w:sz="6" w:space="0" w:color="008000"/>
          <w:tl2br w:val="none" w:sz="0" w:space="0" w:color="auto"/>
          <w:tr2bl w:val="none" w:sz="0" w:space="0" w:color="auto"/>
        </w:tcBorders>
      </w:tcPr>
    </w:tblStylePr>
    <w:tblStylePr w:type="lastRow">
      <w:rPr>
        <w:rFonts w:cs="SimSun"/>
      </w:rPr>
      <w:tblPr/>
      <w:tcPr>
        <w:tcBorders>
          <w:top w:val="single" w:sz="6" w:space="0" w:color="008000"/>
          <w:tl2br w:val="none" w:sz="0" w:space="0" w:color="auto"/>
          <w:tr2bl w:val="none" w:sz="0" w:space="0" w:color="auto"/>
        </w:tcBorders>
      </w:tcPr>
    </w:tblStylePr>
  </w:style>
  <w:style w:type="table" w:customStyle="1" w:styleId="Classique11">
    <w:name w:val="Classique 11"/>
    <w:basedOn w:val="TableauNormal"/>
    <w:next w:val="Tableauclassique1"/>
    <w:rsid w:val="00767CD8"/>
    <w:pPr>
      <w:ind w:firstLine="360"/>
    </w:pPr>
    <w:rPr>
      <w:rFonts w:ascii="Calibri" w:hAnsi="Calibri" w:cs="Calibri"/>
    </w:rPr>
    <w:tblPr>
      <w:tblBorders>
        <w:top w:val="single" w:sz="12" w:space="0" w:color="000000"/>
        <w:bottom w:val="single" w:sz="12" w:space="0" w:color="000000"/>
      </w:tblBorders>
    </w:tblPr>
    <w:tblStylePr w:type="firstRow">
      <w:rPr>
        <w:rFonts w:cs="SimSun"/>
        <w:i/>
        <w:iCs/>
      </w:rPr>
      <w:tblPr/>
      <w:tcPr>
        <w:tcBorders>
          <w:bottom w:val="single" w:sz="6" w:space="0" w:color="000000"/>
          <w:tl2br w:val="none" w:sz="0" w:space="0" w:color="auto"/>
          <w:tr2bl w:val="none" w:sz="0" w:space="0" w:color="auto"/>
        </w:tcBorders>
      </w:tcPr>
    </w:tblStylePr>
    <w:tblStylePr w:type="lastRow">
      <w:rPr>
        <w:rFonts w:cs="SimSun"/>
        <w:color w:val="auto"/>
      </w:rPr>
      <w:tblPr/>
      <w:tcPr>
        <w:tcBorders>
          <w:top w:val="single" w:sz="6" w:space="0" w:color="000000"/>
          <w:tl2br w:val="none" w:sz="0" w:space="0" w:color="auto"/>
          <w:tr2bl w:val="none" w:sz="0" w:space="0" w:color="auto"/>
        </w:tcBorders>
      </w:tcPr>
    </w:tblStylePr>
    <w:tblStylePr w:type="firstCol">
      <w:rPr>
        <w:rFonts w:cs="SimSun"/>
      </w:rPr>
      <w:tblPr/>
      <w:tcPr>
        <w:tcBorders>
          <w:right w:val="single" w:sz="6" w:space="0" w:color="000000"/>
          <w:tl2br w:val="none" w:sz="0" w:space="0" w:color="auto"/>
          <w:tr2bl w:val="none" w:sz="0" w:space="0" w:color="auto"/>
        </w:tcBorders>
      </w:tcPr>
    </w:tblStylePr>
    <w:tblStylePr w:type="neCell">
      <w:rPr>
        <w:rFonts w:cs="SimSun"/>
        <w:b/>
        <w:bCs/>
        <w:i w:val="0"/>
        <w:iCs w:val="0"/>
      </w:rPr>
      <w:tblPr/>
      <w:tcPr>
        <w:tcBorders>
          <w:tl2br w:val="none" w:sz="0" w:space="0" w:color="auto"/>
          <w:tr2bl w:val="none" w:sz="0" w:space="0" w:color="auto"/>
        </w:tcBorders>
      </w:tcPr>
    </w:tblStylePr>
    <w:tblStylePr w:type="swCell">
      <w:rPr>
        <w:rFonts w:cs="SimSun"/>
        <w:b/>
        <w:bCs/>
      </w:rPr>
      <w:tblPr/>
      <w:tcPr>
        <w:tcBorders>
          <w:tl2br w:val="none" w:sz="0" w:space="0" w:color="auto"/>
          <w:tr2bl w:val="none" w:sz="0" w:space="0" w:color="auto"/>
        </w:tcBorders>
      </w:tcPr>
    </w:tblStylePr>
  </w:style>
  <w:style w:type="character" w:customStyle="1" w:styleId="FootnoteTextChar2">
    <w:name w:val="Footnote Text Char2"/>
    <w:aliases w:val="fn Char2,footnote text Char,Footnotes Char2,Footnote ak Char2,single space Char2"/>
    <w:semiHidden/>
    <w:locked/>
    <w:rsid w:val="00767CD8"/>
    <w:rPr>
      <w:rFonts w:ascii="Calibri" w:hAnsi="Calibri"/>
      <w:sz w:val="22"/>
      <w:lang w:val="en-US" w:eastAsia="en-US"/>
    </w:rPr>
  </w:style>
  <w:style w:type="table" w:customStyle="1" w:styleId="Grilledutableau11">
    <w:name w:val="Grille du tableau11"/>
    <w:basedOn w:val="TableauNormal"/>
    <w:next w:val="Grilledutableau"/>
    <w:uiPriority w:val="59"/>
    <w:rsid w:val="00767C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Paragraphe  revu Car,References Car"/>
    <w:basedOn w:val="Policepardfaut"/>
    <w:link w:val="Paragraphedeliste"/>
    <w:uiPriority w:val="34"/>
    <w:rsid w:val="00EC01AA"/>
    <w:rPr>
      <w:sz w:val="22"/>
      <w:szCs w:val="22"/>
    </w:rPr>
  </w:style>
  <w:style w:type="paragraph" w:customStyle="1" w:styleId="TitreNiveau1">
    <w:name w:val="Titre Niveau 1"/>
    <w:basedOn w:val="cocozof1"/>
    <w:link w:val="TitreNiveau1Car"/>
    <w:qFormat/>
    <w:rsid w:val="009040A0"/>
    <w:pPr>
      <w:numPr>
        <w:numId w:val="9"/>
      </w:numPr>
      <w:spacing w:before="120" w:line="240" w:lineRule="auto"/>
      <w:ind w:left="567" w:hanging="567"/>
      <w:jc w:val="both"/>
    </w:pPr>
    <w:rPr>
      <w:sz w:val="28"/>
      <w:szCs w:val="28"/>
    </w:rPr>
  </w:style>
  <w:style w:type="paragraph" w:customStyle="1" w:styleId="NormalJR">
    <w:name w:val="Normal JR"/>
    <w:basedOn w:val="Textebrut"/>
    <w:link w:val="NormalJRCar"/>
    <w:autoRedefine/>
    <w:uiPriority w:val="99"/>
    <w:qFormat/>
    <w:rsid w:val="00C16187"/>
    <w:pPr>
      <w:widowControl/>
      <w:spacing w:before="120" w:after="120"/>
      <w:jc w:val="both"/>
    </w:pPr>
    <w:rPr>
      <w:rFonts w:eastAsia="SimSun"/>
      <w:snapToGrid/>
      <w:color w:val="000000" w:themeColor="text1"/>
      <w:sz w:val="22"/>
      <w:szCs w:val="22"/>
    </w:rPr>
  </w:style>
  <w:style w:type="character" w:customStyle="1" w:styleId="cocozof1Car">
    <w:name w:val="cocozof 1 Car"/>
    <w:basedOn w:val="Titre1Car"/>
    <w:link w:val="cocozof1"/>
    <w:rsid w:val="009040A0"/>
    <w:rPr>
      <w:rFonts w:ascii="Calibri" w:hAnsi="Calibri"/>
      <w:b/>
      <w:bCs/>
      <w:sz w:val="36"/>
      <w:szCs w:val="22"/>
    </w:rPr>
  </w:style>
  <w:style w:type="character" w:customStyle="1" w:styleId="TitreNiveau1Car">
    <w:name w:val="Titre Niveau 1 Car"/>
    <w:basedOn w:val="cocozof1Car"/>
    <w:link w:val="TitreNiveau1"/>
    <w:rsid w:val="009040A0"/>
    <w:rPr>
      <w:rFonts w:ascii="Calibri" w:hAnsi="Calibri"/>
      <w:b/>
      <w:bCs/>
      <w:sz w:val="28"/>
      <w:szCs w:val="28"/>
    </w:rPr>
  </w:style>
  <w:style w:type="character" w:customStyle="1" w:styleId="NormalJRCar">
    <w:name w:val="Normal JR Car"/>
    <w:basedOn w:val="TextebrutCar"/>
    <w:link w:val="NormalJR"/>
    <w:uiPriority w:val="99"/>
    <w:locked/>
    <w:rsid w:val="00C16187"/>
    <w:rPr>
      <w:rFonts w:ascii="Courier New" w:eastAsia="SimSun" w:hAnsi="Courier New" w:cs="Courier New"/>
      <w:snapToGrid/>
      <w:color w:val="000000" w:themeColor="text1"/>
      <w:sz w:val="22"/>
      <w:szCs w:val="22"/>
    </w:rPr>
  </w:style>
  <w:style w:type="table" w:styleId="Listeclaire-Accent3">
    <w:name w:val="Light List Accent 3"/>
    <w:basedOn w:val="TableauNormal"/>
    <w:uiPriority w:val="61"/>
    <w:rsid w:val="0054732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5">
    <w:name w:val="Light List Accent 5"/>
    <w:basedOn w:val="TableauNormal"/>
    <w:uiPriority w:val="61"/>
    <w:rsid w:val="0054732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steclaire-Accent11">
    <w:name w:val="Liste claire - Accent 11"/>
    <w:basedOn w:val="TableauNormal"/>
    <w:uiPriority w:val="61"/>
    <w:rsid w:val="0054732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numbering" w:customStyle="1" w:styleId="Aucuneliste2">
    <w:name w:val="Aucune liste2"/>
    <w:next w:val="Aucuneliste"/>
    <w:uiPriority w:val="99"/>
    <w:semiHidden/>
    <w:unhideWhenUsed/>
    <w:rsid w:val="00313A19"/>
  </w:style>
  <w:style w:type="table" w:customStyle="1" w:styleId="Grilledutableau2">
    <w:name w:val="Grille du tableau2"/>
    <w:basedOn w:val="TableauNormal"/>
    <w:next w:val="Grilledutableau"/>
    <w:uiPriority w:val="59"/>
    <w:rsid w:val="00313A19"/>
    <w:rPr>
      <w:rFonts w:ascii="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simple11">
    <w:name w:val="Tableau simple 11"/>
    <w:basedOn w:val="TableauNormal"/>
    <w:next w:val="Tableausimple1"/>
    <w:rsid w:val="00313A19"/>
    <w:pPr>
      <w:ind w:firstLine="360"/>
    </w:pPr>
    <w:rPr>
      <w:rFonts w:ascii="Calibri" w:hAnsi="Calibri" w:cs="Calibri"/>
    </w:rPr>
    <w:tblPr>
      <w:tblBorders>
        <w:top w:val="single" w:sz="12" w:space="0" w:color="008000"/>
        <w:bottom w:val="single" w:sz="12" w:space="0" w:color="008000"/>
      </w:tblBorders>
    </w:tblPr>
    <w:tblStylePr w:type="firstRow">
      <w:rPr>
        <w:rFonts w:cs="SimSun"/>
      </w:rPr>
      <w:tblPr/>
      <w:tcPr>
        <w:tcBorders>
          <w:bottom w:val="single" w:sz="6" w:space="0" w:color="008000"/>
          <w:tl2br w:val="none" w:sz="0" w:space="0" w:color="auto"/>
          <w:tr2bl w:val="none" w:sz="0" w:space="0" w:color="auto"/>
        </w:tcBorders>
      </w:tcPr>
    </w:tblStylePr>
    <w:tblStylePr w:type="lastRow">
      <w:rPr>
        <w:rFonts w:cs="SimSun"/>
      </w:rPr>
      <w:tblPr/>
      <w:tcPr>
        <w:tcBorders>
          <w:top w:val="single" w:sz="6" w:space="0" w:color="008000"/>
          <w:tl2br w:val="none" w:sz="0" w:space="0" w:color="auto"/>
          <w:tr2bl w:val="none" w:sz="0" w:space="0" w:color="auto"/>
        </w:tcBorders>
      </w:tcPr>
    </w:tblStylePr>
  </w:style>
  <w:style w:type="table" w:customStyle="1" w:styleId="Tableauclassique11">
    <w:name w:val="Tableau classique 11"/>
    <w:basedOn w:val="TableauNormal"/>
    <w:next w:val="Tableauclassique1"/>
    <w:rsid w:val="00313A19"/>
    <w:pPr>
      <w:ind w:firstLine="360"/>
    </w:pPr>
    <w:rPr>
      <w:rFonts w:ascii="Calibri" w:hAnsi="Calibri" w:cs="Calibri"/>
    </w:rPr>
    <w:tblPr>
      <w:tblBorders>
        <w:top w:val="single" w:sz="12" w:space="0" w:color="000000"/>
        <w:bottom w:val="single" w:sz="12" w:space="0" w:color="000000"/>
      </w:tblBorders>
    </w:tblPr>
    <w:tblStylePr w:type="firstRow">
      <w:rPr>
        <w:rFonts w:cs="SimSun"/>
        <w:i/>
        <w:iCs/>
      </w:rPr>
      <w:tblPr/>
      <w:tcPr>
        <w:tcBorders>
          <w:bottom w:val="single" w:sz="6" w:space="0" w:color="000000"/>
          <w:tl2br w:val="none" w:sz="0" w:space="0" w:color="auto"/>
          <w:tr2bl w:val="none" w:sz="0" w:space="0" w:color="auto"/>
        </w:tcBorders>
      </w:tcPr>
    </w:tblStylePr>
    <w:tblStylePr w:type="lastRow">
      <w:rPr>
        <w:rFonts w:cs="SimSun"/>
        <w:color w:val="auto"/>
      </w:rPr>
      <w:tblPr/>
      <w:tcPr>
        <w:tcBorders>
          <w:top w:val="single" w:sz="6" w:space="0" w:color="000000"/>
          <w:tl2br w:val="none" w:sz="0" w:space="0" w:color="auto"/>
          <w:tr2bl w:val="none" w:sz="0" w:space="0" w:color="auto"/>
        </w:tcBorders>
      </w:tcPr>
    </w:tblStylePr>
    <w:tblStylePr w:type="firstCol">
      <w:rPr>
        <w:rFonts w:cs="SimSun"/>
      </w:rPr>
      <w:tblPr/>
      <w:tcPr>
        <w:tcBorders>
          <w:right w:val="single" w:sz="6" w:space="0" w:color="000000"/>
          <w:tl2br w:val="none" w:sz="0" w:space="0" w:color="auto"/>
          <w:tr2bl w:val="none" w:sz="0" w:space="0" w:color="auto"/>
        </w:tcBorders>
      </w:tcPr>
    </w:tblStylePr>
    <w:tblStylePr w:type="neCell">
      <w:rPr>
        <w:rFonts w:cs="SimSun"/>
        <w:b/>
        <w:bCs/>
        <w:i w:val="0"/>
        <w:iCs w:val="0"/>
      </w:rPr>
      <w:tblPr/>
      <w:tcPr>
        <w:tcBorders>
          <w:tl2br w:val="none" w:sz="0" w:space="0" w:color="auto"/>
          <w:tr2bl w:val="none" w:sz="0" w:space="0" w:color="auto"/>
        </w:tcBorders>
      </w:tcPr>
    </w:tblStylePr>
    <w:tblStylePr w:type="swCell">
      <w:rPr>
        <w:rFonts w:cs="SimSun"/>
        <w:b/>
        <w:bCs/>
      </w:rPr>
      <w:tblPr/>
      <w:tcPr>
        <w:tcBorders>
          <w:tl2br w:val="none" w:sz="0" w:space="0" w:color="auto"/>
          <w:tr2bl w:val="none" w:sz="0" w:space="0" w:color="auto"/>
        </w:tcBorders>
      </w:tcPr>
    </w:tblStylePr>
  </w:style>
  <w:style w:type="table" w:customStyle="1" w:styleId="Grilledutableau12">
    <w:name w:val="Grille du tableau12"/>
    <w:basedOn w:val="TableauNormal"/>
    <w:next w:val="Grilledutableau"/>
    <w:uiPriority w:val="59"/>
    <w:rsid w:val="00313A1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PPORTCONVNOMT1">
    <w:name w:val="RAPPORT CONV NOM T1"/>
    <w:basedOn w:val="TitreNiveau1"/>
    <w:qFormat/>
    <w:rsid w:val="00635191"/>
  </w:style>
  <w:style w:type="paragraph" w:customStyle="1" w:styleId="RAPPORTCONVNOMT2">
    <w:name w:val="RAPPORT CONV NOM T2"/>
    <w:basedOn w:val="Titre2"/>
    <w:qFormat/>
    <w:rsid w:val="00635191"/>
    <w:pPr>
      <w:spacing w:before="120"/>
      <w:jc w:val="both"/>
    </w:pPr>
    <w:rPr>
      <w:sz w:val="26"/>
      <w:szCs w:val="26"/>
    </w:rPr>
  </w:style>
  <w:style w:type="paragraph" w:customStyle="1" w:styleId="RAPPORTCONVNOMT">
    <w:name w:val="RAPPORT CONV NOM Té"/>
    <w:basedOn w:val="cocozof2"/>
    <w:qFormat/>
    <w:rsid w:val="00635191"/>
    <w:pPr>
      <w:spacing w:before="120" w:after="120" w:line="240" w:lineRule="auto"/>
      <w:jc w:val="both"/>
    </w:pPr>
    <w:rPr>
      <w:sz w:val="26"/>
      <w:szCs w:val="26"/>
    </w:rPr>
  </w:style>
  <w:style w:type="character" w:customStyle="1" w:styleId="hps">
    <w:name w:val="hps"/>
    <w:basedOn w:val="Policepardfaut"/>
    <w:rsid w:val="005F248B"/>
  </w:style>
  <w:style w:type="paragraph" w:customStyle="1" w:styleId="msonormal0">
    <w:name w:val="msonormal"/>
    <w:basedOn w:val="Normal"/>
    <w:rsid w:val="002F4B3C"/>
    <w:pPr>
      <w:spacing w:before="100" w:beforeAutospacing="1" w:after="100" w:afterAutospacing="1"/>
    </w:pPr>
    <w:rPr>
      <w:sz w:val="24"/>
      <w:szCs w:val="24"/>
    </w:rPr>
  </w:style>
  <w:style w:type="paragraph" w:customStyle="1" w:styleId="xl168">
    <w:name w:val="xl168"/>
    <w:basedOn w:val="Normal"/>
    <w:rsid w:val="002F4B3C"/>
    <w:pPr>
      <w:spacing w:before="100" w:beforeAutospacing="1" w:after="100" w:afterAutospacing="1"/>
    </w:pPr>
    <w:rPr>
      <w:sz w:val="20"/>
      <w:szCs w:val="20"/>
    </w:rPr>
  </w:style>
  <w:style w:type="paragraph" w:customStyle="1" w:styleId="xl169">
    <w:name w:val="xl169"/>
    <w:basedOn w:val="Normal"/>
    <w:rsid w:val="002F4B3C"/>
    <w:pPr>
      <w:spacing w:before="100" w:beforeAutospacing="1" w:after="100" w:afterAutospacing="1"/>
    </w:pPr>
    <w:rPr>
      <w:sz w:val="20"/>
      <w:szCs w:val="20"/>
    </w:rPr>
  </w:style>
  <w:style w:type="paragraph" w:customStyle="1" w:styleId="xl170">
    <w:name w:val="xl170"/>
    <w:basedOn w:val="Normal"/>
    <w:rsid w:val="002F4B3C"/>
    <w:pPr>
      <w:spacing w:before="100" w:beforeAutospacing="1" w:after="100" w:afterAutospacing="1"/>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caption" w:uiPriority="99" w:qFormat="1"/>
    <w:lsdException w:name="table of figures" w:uiPriority="99"/>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AF1"/>
    <w:rPr>
      <w:sz w:val="22"/>
      <w:szCs w:val="22"/>
    </w:rPr>
  </w:style>
  <w:style w:type="paragraph" w:styleId="Titre1">
    <w:name w:val="heading 1"/>
    <w:aliases w:val="bef_titre2,1. Titre 1"/>
    <w:basedOn w:val="Normal"/>
    <w:next w:val="Normal"/>
    <w:link w:val="Titre1Car"/>
    <w:qFormat/>
    <w:rsid w:val="0061247F"/>
    <w:pPr>
      <w:keepNext/>
      <w:spacing w:before="480" w:after="240"/>
      <w:outlineLvl w:val="0"/>
    </w:pPr>
    <w:rPr>
      <w:rFonts w:ascii="Arial" w:hAnsi="Arial"/>
      <w:b/>
      <w:sz w:val="36"/>
    </w:rPr>
  </w:style>
  <w:style w:type="paragraph" w:styleId="Titre2">
    <w:name w:val="heading 2"/>
    <w:aliases w:val="1.1 Titre 2"/>
    <w:basedOn w:val="Titre1"/>
    <w:next w:val="Normal"/>
    <w:link w:val="Titre2Car"/>
    <w:qFormat/>
    <w:rsid w:val="0061247F"/>
    <w:pPr>
      <w:numPr>
        <w:ilvl w:val="1"/>
        <w:numId w:val="1"/>
      </w:numPr>
      <w:spacing w:before="360" w:after="120"/>
      <w:outlineLvl w:val="1"/>
    </w:pPr>
    <w:rPr>
      <w:b w:val="0"/>
      <w:sz w:val="32"/>
    </w:rPr>
  </w:style>
  <w:style w:type="paragraph" w:styleId="Titre3">
    <w:name w:val="heading 3"/>
    <w:basedOn w:val="Titre2"/>
    <w:next w:val="Normal"/>
    <w:link w:val="Titre3Car"/>
    <w:qFormat/>
    <w:rsid w:val="0061247F"/>
    <w:pPr>
      <w:numPr>
        <w:ilvl w:val="2"/>
      </w:numPr>
      <w:outlineLvl w:val="2"/>
    </w:pPr>
    <w:rPr>
      <w:b/>
      <w:sz w:val="24"/>
    </w:rPr>
  </w:style>
  <w:style w:type="paragraph" w:styleId="Titre4">
    <w:name w:val="heading 4"/>
    <w:basedOn w:val="Titre3"/>
    <w:next w:val="Normal"/>
    <w:link w:val="Titre4Car"/>
    <w:qFormat/>
    <w:rsid w:val="0061247F"/>
    <w:pPr>
      <w:numPr>
        <w:ilvl w:val="3"/>
      </w:numPr>
      <w:spacing w:before="240"/>
      <w:outlineLvl w:val="3"/>
    </w:pPr>
    <w:rPr>
      <w:b w:val="0"/>
      <w:sz w:val="22"/>
    </w:rPr>
  </w:style>
  <w:style w:type="paragraph" w:styleId="Titre5">
    <w:name w:val="heading 5"/>
    <w:basedOn w:val="Titre4"/>
    <w:link w:val="Titre5Car"/>
    <w:qFormat/>
    <w:rsid w:val="0061247F"/>
    <w:pPr>
      <w:numPr>
        <w:ilvl w:val="4"/>
      </w:numPr>
      <w:outlineLvl w:val="4"/>
    </w:pPr>
    <w:rPr>
      <w:rFonts w:ascii="Times New Roman" w:hAnsi="Times New Roman"/>
      <w:b/>
      <w:i/>
    </w:rPr>
  </w:style>
  <w:style w:type="paragraph" w:styleId="Titre6">
    <w:name w:val="heading 6"/>
    <w:basedOn w:val="Normal"/>
    <w:next w:val="Normal"/>
    <w:link w:val="Titre6Car"/>
    <w:qFormat/>
    <w:rsid w:val="00E25029"/>
    <w:pPr>
      <w:spacing w:before="240" w:after="60"/>
      <w:outlineLvl w:val="5"/>
    </w:pPr>
    <w:rPr>
      <w:b/>
      <w:bCs/>
    </w:rPr>
  </w:style>
  <w:style w:type="paragraph" w:styleId="Titre7">
    <w:name w:val="heading 7"/>
    <w:basedOn w:val="Normal"/>
    <w:next w:val="Normal"/>
    <w:link w:val="Titre7Car"/>
    <w:qFormat/>
    <w:rsid w:val="00E25029"/>
    <w:pPr>
      <w:spacing w:before="240" w:after="60"/>
      <w:outlineLvl w:val="6"/>
    </w:pPr>
    <w:rPr>
      <w:sz w:val="24"/>
      <w:szCs w:val="24"/>
    </w:rPr>
  </w:style>
  <w:style w:type="paragraph" w:styleId="Titre8">
    <w:name w:val="heading 8"/>
    <w:basedOn w:val="Normal"/>
    <w:next w:val="Normal"/>
    <w:link w:val="Titre8Car"/>
    <w:qFormat/>
    <w:rsid w:val="00E25029"/>
    <w:pPr>
      <w:spacing w:before="240" w:after="60"/>
      <w:outlineLvl w:val="7"/>
    </w:pPr>
    <w:rPr>
      <w:i/>
      <w:iCs/>
      <w:sz w:val="24"/>
      <w:szCs w:val="24"/>
    </w:rPr>
  </w:style>
  <w:style w:type="paragraph" w:styleId="Titre9">
    <w:name w:val="heading 9"/>
    <w:basedOn w:val="Normal"/>
    <w:next w:val="Normal"/>
    <w:link w:val="Titre9Car"/>
    <w:qFormat/>
    <w:rsid w:val="00E25029"/>
    <w:pPr>
      <w:keepNext/>
      <w:numPr>
        <w:numId w:val="3"/>
      </w:numPr>
      <w:jc w:val="both"/>
      <w:outlineLvl w:val="8"/>
    </w:pPr>
    <w:rPr>
      <w:rFonts w:ascii="Arial" w:hAnsi="Arial" w:cs="Arial"/>
      <w:b/>
      <w:sz w:val="28"/>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bef_titre2 Car,1. Titre 1 Car"/>
    <w:basedOn w:val="Policepardfaut"/>
    <w:link w:val="Titre1"/>
    <w:rsid w:val="00E25029"/>
    <w:rPr>
      <w:rFonts w:ascii="Arial" w:hAnsi="Arial"/>
      <w:b/>
      <w:sz w:val="36"/>
      <w:szCs w:val="22"/>
    </w:rPr>
  </w:style>
  <w:style w:type="character" w:customStyle="1" w:styleId="Titre2Car">
    <w:name w:val="Titre 2 Car"/>
    <w:aliases w:val="1.1 Titre 2 Car"/>
    <w:basedOn w:val="Policepardfaut"/>
    <w:link w:val="Titre2"/>
    <w:rsid w:val="00E25029"/>
    <w:rPr>
      <w:rFonts w:ascii="Arial" w:hAnsi="Arial"/>
      <w:sz w:val="32"/>
      <w:szCs w:val="22"/>
    </w:rPr>
  </w:style>
  <w:style w:type="character" w:customStyle="1" w:styleId="Titre3Car">
    <w:name w:val="Titre 3 Car"/>
    <w:basedOn w:val="Policepardfaut"/>
    <w:link w:val="Titre3"/>
    <w:rsid w:val="00E25029"/>
    <w:rPr>
      <w:rFonts w:ascii="Arial" w:hAnsi="Arial"/>
      <w:b/>
      <w:sz w:val="24"/>
      <w:szCs w:val="22"/>
    </w:rPr>
  </w:style>
  <w:style w:type="character" w:customStyle="1" w:styleId="Titre4Car">
    <w:name w:val="Titre 4 Car"/>
    <w:basedOn w:val="Policepardfaut"/>
    <w:link w:val="Titre4"/>
    <w:rsid w:val="00E25029"/>
    <w:rPr>
      <w:rFonts w:ascii="Arial" w:hAnsi="Arial"/>
      <w:sz w:val="22"/>
      <w:szCs w:val="22"/>
    </w:rPr>
  </w:style>
  <w:style w:type="character" w:customStyle="1" w:styleId="Titre5Car">
    <w:name w:val="Titre 5 Car"/>
    <w:basedOn w:val="Policepardfaut"/>
    <w:link w:val="Titre5"/>
    <w:rsid w:val="00E25029"/>
    <w:rPr>
      <w:b/>
      <w:i/>
      <w:sz w:val="22"/>
      <w:szCs w:val="22"/>
    </w:rPr>
  </w:style>
  <w:style w:type="character" w:customStyle="1" w:styleId="Titre6Car">
    <w:name w:val="Titre 6 Car"/>
    <w:basedOn w:val="Policepardfaut"/>
    <w:link w:val="Titre6"/>
    <w:rsid w:val="00E25029"/>
    <w:rPr>
      <w:b/>
      <w:bCs/>
      <w:sz w:val="22"/>
      <w:szCs w:val="22"/>
    </w:rPr>
  </w:style>
  <w:style w:type="character" w:customStyle="1" w:styleId="Titre7Car">
    <w:name w:val="Titre 7 Car"/>
    <w:basedOn w:val="Policepardfaut"/>
    <w:link w:val="Titre7"/>
    <w:rsid w:val="00E25029"/>
    <w:rPr>
      <w:sz w:val="24"/>
      <w:szCs w:val="24"/>
    </w:rPr>
  </w:style>
  <w:style w:type="character" w:customStyle="1" w:styleId="Titre8Car">
    <w:name w:val="Titre 8 Car"/>
    <w:basedOn w:val="Policepardfaut"/>
    <w:link w:val="Titre8"/>
    <w:rsid w:val="00E25029"/>
    <w:rPr>
      <w:i/>
      <w:iCs/>
      <w:sz w:val="24"/>
      <w:szCs w:val="24"/>
    </w:rPr>
  </w:style>
  <w:style w:type="character" w:customStyle="1" w:styleId="Titre9Car">
    <w:name w:val="Titre 9 Car"/>
    <w:basedOn w:val="Policepardfaut"/>
    <w:link w:val="Titre9"/>
    <w:rsid w:val="00E25029"/>
    <w:rPr>
      <w:rFonts w:ascii="Arial" w:hAnsi="Arial" w:cs="Arial"/>
      <w:b/>
      <w:sz w:val="28"/>
    </w:rPr>
  </w:style>
  <w:style w:type="character" w:styleId="Appelnotedebasdep">
    <w:name w:val="footnote reference"/>
    <w:basedOn w:val="Policepardfaut"/>
    <w:uiPriority w:val="99"/>
    <w:rsid w:val="0061247F"/>
    <w:rPr>
      <w:rFonts w:ascii="Times New Roman" w:hAnsi="Times New Roman"/>
      <w:position w:val="6"/>
      <w:sz w:val="12"/>
      <w:bdr w:val="none" w:sz="0" w:space="0" w:color="auto"/>
    </w:rPr>
  </w:style>
  <w:style w:type="paragraph" w:styleId="En-tte">
    <w:name w:val="header"/>
    <w:basedOn w:val="Normal"/>
    <w:link w:val="En-tteCar"/>
    <w:rsid w:val="0061247F"/>
    <w:pPr>
      <w:pBdr>
        <w:bottom w:val="single" w:sz="6" w:space="2" w:color="auto"/>
      </w:pBdr>
      <w:tabs>
        <w:tab w:val="right" w:pos="8222"/>
      </w:tabs>
    </w:pPr>
    <w:rPr>
      <w:sz w:val="18"/>
    </w:rPr>
  </w:style>
  <w:style w:type="character" w:customStyle="1" w:styleId="En-tteCar">
    <w:name w:val="En-tête Car"/>
    <w:basedOn w:val="Policepardfaut"/>
    <w:link w:val="En-tte"/>
    <w:rsid w:val="00E25029"/>
    <w:rPr>
      <w:sz w:val="18"/>
    </w:rPr>
  </w:style>
  <w:style w:type="paragraph" w:styleId="Notedebasdepage">
    <w:name w:val="footnote text"/>
    <w:aliases w:val="fn,footnote text,Footnotes,Footnote ak,single space,FOOTNOTES"/>
    <w:basedOn w:val="Normal"/>
    <w:link w:val="NotedebasdepageCar"/>
    <w:uiPriority w:val="99"/>
    <w:rsid w:val="0061247F"/>
    <w:pPr>
      <w:spacing w:before="40" w:after="40"/>
      <w:ind w:left="170" w:right="851" w:hanging="170"/>
    </w:pPr>
    <w:rPr>
      <w:sz w:val="16"/>
    </w:rPr>
  </w:style>
  <w:style w:type="character" w:customStyle="1" w:styleId="NotedebasdepageCar">
    <w:name w:val="Note de bas de page Car"/>
    <w:aliases w:val="fn Car,footnote text Car,Footnotes Car,Footnote ak Car,single space Car,FOOTNOTES Car"/>
    <w:basedOn w:val="Policepardfaut"/>
    <w:link w:val="Notedebasdepage"/>
    <w:uiPriority w:val="99"/>
    <w:rsid w:val="00E25029"/>
    <w:rPr>
      <w:sz w:val="16"/>
    </w:rPr>
  </w:style>
  <w:style w:type="paragraph" w:styleId="Pieddepage">
    <w:name w:val="footer"/>
    <w:basedOn w:val="Normal"/>
    <w:link w:val="PieddepageCar"/>
    <w:rsid w:val="0061247F"/>
    <w:pPr>
      <w:pBdr>
        <w:top w:val="single" w:sz="6" w:space="2" w:color="auto"/>
      </w:pBdr>
      <w:tabs>
        <w:tab w:val="right" w:pos="8222"/>
      </w:tabs>
    </w:pPr>
    <w:rPr>
      <w:rFonts w:ascii="Arial" w:hAnsi="Arial"/>
      <w:sz w:val="18"/>
    </w:rPr>
  </w:style>
  <w:style w:type="character" w:customStyle="1" w:styleId="PieddepageCar">
    <w:name w:val="Pied de page Car"/>
    <w:basedOn w:val="Policepardfaut"/>
    <w:link w:val="Pieddepage"/>
    <w:rsid w:val="00E25029"/>
    <w:rPr>
      <w:rFonts w:ascii="Arial" w:hAnsi="Arial"/>
      <w:sz w:val="18"/>
    </w:rPr>
  </w:style>
  <w:style w:type="paragraph" w:styleId="TM1">
    <w:name w:val="toc 1"/>
    <w:basedOn w:val="Normal"/>
    <w:next w:val="Normal"/>
    <w:autoRedefine/>
    <w:uiPriority w:val="39"/>
    <w:rsid w:val="00B64020"/>
    <w:pPr>
      <w:tabs>
        <w:tab w:val="right" w:leader="dot" w:pos="9214"/>
      </w:tabs>
      <w:spacing w:before="120"/>
    </w:pPr>
    <w:rPr>
      <w:rFonts w:asciiTheme="minorHAnsi" w:hAnsiTheme="minorHAnsi"/>
      <w:b/>
      <w:bCs/>
      <w:i/>
      <w:iCs/>
      <w:sz w:val="24"/>
      <w:szCs w:val="24"/>
    </w:rPr>
  </w:style>
  <w:style w:type="paragraph" w:styleId="TM2">
    <w:name w:val="toc 2"/>
    <w:basedOn w:val="Normal"/>
    <w:next w:val="Normal"/>
    <w:autoRedefine/>
    <w:uiPriority w:val="39"/>
    <w:rsid w:val="00B64020"/>
    <w:pPr>
      <w:tabs>
        <w:tab w:val="right" w:leader="dot" w:pos="9214"/>
      </w:tabs>
      <w:spacing w:before="120"/>
      <w:ind w:left="708"/>
    </w:pPr>
    <w:rPr>
      <w:rFonts w:asciiTheme="minorHAnsi" w:hAnsiTheme="minorHAnsi"/>
      <w:b/>
      <w:bCs/>
    </w:rPr>
  </w:style>
  <w:style w:type="paragraph" w:styleId="TM3">
    <w:name w:val="toc 3"/>
    <w:basedOn w:val="Normal"/>
    <w:next w:val="Normal"/>
    <w:autoRedefine/>
    <w:uiPriority w:val="39"/>
    <w:rsid w:val="0061247F"/>
    <w:pPr>
      <w:ind w:left="440"/>
    </w:pPr>
    <w:rPr>
      <w:rFonts w:asciiTheme="minorHAnsi" w:hAnsiTheme="minorHAnsi"/>
      <w:sz w:val="20"/>
      <w:szCs w:val="20"/>
    </w:rPr>
  </w:style>
  <w:style w:type="paragraph" w:styleId="TM4">
    <w:name w:val="toc 4"/>
    <w:basedOn w:val="Normal"/>
    <w:next w:val="Normal"/>
    <w:autoRedefine/>
    <w:rsid w:val="0061247F"/>
    <w:pPr>
      <w:ind w:left="660"/>
    </w:pPr>
    <w:rPr>
      <w:rFonts w:asciiTheme="minorHAnsi" w:hAnsiTheme="minorHAnsi"/>
      <w:sz w:val="20"/>
      <w:szCs w:val="20"/>
    </w:rPr>
  </w:style>
  <w:style w:type="paragraph" w:styleId="TM5">
    <w:name w:val="toc 5"/>
    <w:basedOn w:val="Normal"/>
    <w:next w:val="Normal"/>
    <w:autoRedefine/>
    <w:semiHidden/>
    <w:rsid w:val="0061247F"/>
    <w:pPr>
      <w:ind w:left="880"/>
    </w:pPr>
    <w:rPr>
      <w:rFonts w:asciiTheme="minorHAnsi" w:hAnsiTheme="minorHAnsi"/>
      <w:sz w:val="20"/>
      <w:szCs w:val="20"/>
    </w:rPr>
  </w:style>
  <w:style w:type="paragraph" w:styleId="Lgende">
    <w:name w:val="caption"/>
    <w:basedOn w:val="Normal"/>
    <w:next w:val="Normal"/>
    <w:uiPriority w:val="99"/>
    <w:qFormat/>
    <w:rsid w:val="0061247F"/>
    <w:rPr>
      <w:rFonts w:ascii="Arial" w:hAnsi="Arial"/>
      <w:b/>
      <w:sz w:val="20"/>
    </w:rPr>
  </w:style>
  <w:style w:type="paragraph" w:styleId="Titre">
    <w:name w:val="Title"/>
    <w:basedOn w:val="Normal"/>
    <w:next w:val="Normal"/>
    <w:link w:val="TitreCar"/>
    <w:autoRedefine/>
    <w:uiPriority w:val="10"/>
    <w:qFormat/>
    <w:rsid w:val="00C544BA"/>
    <w:pPr>
      <w:pBdr>
        <w:bottom w:val="single" w:sz="8" w:space="4" w:color="4F81BD" w:themeColor="accent1"/>
      </w:pBdr>
      <w:spacing w:after="300"/>
      <w:contextualSpacing/>
    </w:pPr>
    <w:rPr>
      <w:rFonts w:ascii="Arial" w:eastAsiaTheme="majorEastAsia" w:hAnsi="Arial"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C544BA"/>
    <w:rPr>
      <w:rFonts w:ascii="Arial" w:eastAsiaTheme="majorEastAsia" w:hAnsi="Arial" w:cstheme="majorBidi"/>
      <w:color w:val="17365D" w:themeColor="text2" w:themeShade="BF"/>
      <w:spacing w:val="5"/>
      <w:kern w:val="28"/>
      <w:sz w:val="52"/>
      <w:szCs w:val="52"/>
    </w:rPr>
  </w:style>
  <w:style w:type="paragraph" w:customStyle="1" w:styleId="Point">
    <w:name w:val="_Point"/>
    <w:basedOn w:val="Normal"/>
    <w:rsid w:val="00E25029"/>
    <w:pPr>
      <w:numPr>
        <w:numId w:val="2"/>
      </w:numPr>
    </w:pPr>
    <w:rPr>
      <w:sz w:val="20"/>
      <w:szCs w:val="20"/>
    </w:rPr>
  </w:style>
  <w:style w:type="paragraph" w:customStyle="1" w:styleId="titreI">
    <w:name w:val="titre I"/>
    <w:basedOn w:val="Normal"/>
    <w:rsid w:val="00E25029"/>
    <w:pPr>
      <w:numPr>
        <w:numId w:val="4"/>
      </w:numPr>
      <w:jc w:val="both"/>
    </w:pPr>
    <w:rPr>
      <w:rFonts w:ascii="Arial" w:hAnsi="Arial" w:cs="Arial"/>
      <w:b/>
      <w:sz w:val="28"/>
      <w:szCs w:val="20"/>
    </w:rPr>
  </w:style>
  <w:style w:type="paragraph" w:styleId="Corpsdetexte3">
    <w:name w:val="Body Text 3"/>
    <w:basedOn w:val="Normal"/>
    <w:link w:val="Corpsdetexte3Car"/>
    <w:rsid w:val="00E25029"/>
    <w:pPr>
      <w:jc w:val="both"/>
    </w:pPr>
    <w:rPr>
      <w:rFonts w:ascii="Arial" w:hAnsi="Arial" w:cs="Arial"/>
    </w:rPr>
  </w:style>
  <w:style w:type="character" w:customStyle="1" w:styleId="Corpsdetexte3Car">
    <w:name w:val="Corps de texte 3 Car"/>
    <w:basedOn w:val="Policepardfaut"/>
    <w:link w:val="Corpsdetexte3"/>
    <w:rsid w:val="00E25029"/>
    <w:rPr>
      <w:rFonts w:ascii="Arial" w:hAnsi="Arial" w:cs="Arial"/>
      <w:sz w:val="22"/>
      <w:szCs w:val="22"/>
    </w:rPr>
  </w:style>
  <w:style w:type="paragraph" w:styleId="Corpsdetexte2">
    <w:name w:val="Body Text 2"/>
    <w:basedOn w:val="Normal"/>
    <w:link w:val="Corpsdetexte2Car"/>
    <w:rsid w:val="00E25029"/>
    <w:rPr>
      <w:rFonts w:ascii="CG Times" w:hAnsi="CG Times"/>
      <w:b/>
      <w:sz w:val="26"/>
      <w:szCs w:val="20"/>
    </w:rPr>
  </w:style>
  <w:style w:type="character" w:customStyle="1" w:styleId="Corpsdetexte2Car">
    <w:name w:val="Corps de texte 2 Car"/>
    <w:basedOn w:val="Policepardfaut"/>
    <w:link w:val="Corpsdetexte2"/>
    <w:rsid w:val="00E25029"/>
    <w:rPr>
      <w:rFonts w:ascii="CG Times" w:hAnsi="CG Times"/>
      <w:b/>
      <w:sz w:val="26"/>
    </w:rPr>
  </w:style>
  <w:style w:type="paragraph" w:styleId="Corpsdetexte">
    <w:name w:val="Body Text"/>
    <w:basedOn w:val="Normal"/>
    <w:link w:val="CorpsdetexteCar"/>
    <w:rsid w:val="00E25029"/>
    <w:pPr>
      <w:tabs>
        <w:tab w:val="num" w:pos="0"/>
      </w:tabs>
      <w:jc w:val="both"/>
    </w:pPr>
    <w:rPr>
      <w:rFonts w:ascii="CG Times" w:hAnsi="CG Times"/>
      <w:sz w:val="26"/>
      <w:szCs w:val="20"/>
    </w:rPr>
  </w:style>
  <w:style w:type="character" w:customStyle="1" w:styleId="CorpsdetexteCar">
    <w:name w:val="Corps de texte Car"/>
    <w:basedOn w:val="Policepardfaut"/>
    <w:link w:val="Corpsdetexte"/>
    <w:rsid w:val="00E25029"/>
    <w:rPr>
      <w:rFonts w:ascii="CG Times" w:hAnsi="CG Times"/>
      <w:sz w:val="26"/>
    </w:rPr>
  </w:style>
  <w:style w:type="paragraph" w:styleId="Retraitcorpsdetexte">
    <w:name w:val="Body Text Indent"/>
    <w:basedOn w:val="Normal"/>
    <w:link w:val="RetraitcorpsdetexteCar"/>
    <w:rsid w:val="00E25029"/>
    <w:rPr>
      <w:rFonts w:ascii="CG Times" w:hAnsi="CG Times"/>
      <w:sz w:val="26"/>
      <w:szCs w:val="20"/>
    </w:rPr>
  </w:style>
  <w:style w:type="character" w:customStyle="1" w:styleId="RetraitcorpsdetexteCar">
    <w:name w:val="Retrait corps de texte Car"/>
    <w:basedOn w:val="Policepardfaut"/>
    <w:link w:val="Retraitcorpsdetexte"/>
    <w:rsid w:val="00E25029"/>
    <w:rPr>
      <w:rFonts w:ascii="CG Times" w:hAnsi="CG Times"/>
      <w:sz w:val="26"/>
    </w:rPr>
  </w:style>
  <w:style w:type="paragraph" w:customStyle="1" w:styleId="BodyText22">
    <w:name w:val="Body Text 22"/>
    <w:basedOn w:val="Normal"/>
    <w:rsid w:val="00E25029"/>
    <w:pPr>
      <w:tabs>
        <w:tab w:val="left" w:pos="1413"/>
      </w:tabs>
      <w:jc w:val="both"/>
    </w:pPr>
    <w:rPr>
      <w:rFonts w:ascii="Arial" w:hAnsi="Arial"/>
      <w:sz w:val="24"/>
      <w:szCs w:val="20"/>
    </w:rPr>
  </w:style>
  <w:style w:type="paragraph" w:styleId="Retraitcorpsdetexte2">
    <w:name w:val="Body Text Indent 2"/>
    <w:basedOn w:val="Normal"/>
    <w:link w:val="Retraitcorpsdetexte2Car"/>
    <w:rsid w:val="00E25029"/>
    <w:pPr>
      <w:ind w:left="-851"/>
      <w:jc w:val="both"/>
    </w:pPr>
    <w:rPr>
      <w:sz w:val="28"/>
      <w:szCs w:val="20"/>
    </w:rPr>
  </w:style>
  <w:style w:type="character" w:customStyle="1" w:styleId="Retraitcorpsdetexte2Car">
    <w:name w:val="Retrait corps de texte 2 Car"/>
    <w:basedOn w:val="Policepardfaut"/>
    <w:link w:val="Retraitcorpsdetexte2"/>
    <w:rsid w:val="00E25029"/>
    <w:rPr>
      <w:sz w:val="28"/>
    </w:rPr>
  </w:style>
  <w:style w:type="paragraph" w:styleId="Retraitcorpsdetexte3">
    <w:name w:val="Body Text Indent 3"/>
    <w:basedOn w:val="Normal"/>
    <w:link w:val="Retraitcorpsdetexte3Car"/>
    <w:rsid w:val="00E25029"/>
    <w:pPr>
      <w:ind w:left="720"/>
      <w:jc w:val="both"/>
    </w:pPr>
    <w:rPr>
      <w:rFonts w:ascii="Arial" w:hAnsi="Arial"/>
      <w:sz w:val="26"/>
      <w:szCs w:val="20"/>
    </w:rPr>
  </w:style>
  <w:style w:type="character" w:customStyle="1" w:styleId="Retraitcorpsdetexte3Car">
    <w:name w:val="Retrait corps de texte 3 Car"/>
    <w:basedOn w:val="Policepardfaut"/>
    <w:link w:val="Retraitcorpsdetexte3"/>
    <w:rsid w:val="00E25029"/>
    <w:rPr>
      <w:rFonts w:ascii="Arial" w:hAnsi="Arial"/>
      <w:sz w:val="26"/>
    </w:rPr>
  </w:style>
  <w:style w:type="paragraph" w:styleId="Tabledesillustrations">
    <w:name w:val="table of figures"/>
    <w:basedOn w:val="Normal"/>
    <w:next w:val="Normal"/>
    <w:uiPriority w:val="99"/>
    <w:rsid w:val="00E25029"/>
    <w:pPr>
      <w:ind w:left="440" w:hanging="440"/>
    </w:pPr>
  </w:style>
  <w:style w:type="paragraph" w:styleId="TM6">
    <w:name w:val="toc 6"/>
    <w:basedOn w:val="Normal"/>
    <w:next w:val="Normal"/>
    <w:autoRedefine/>
    <w:rsid w:val="00E25029"/>
    <w:pPr>
      <w:ind w:left="1100"/>
    </w:pPr>
    <w:rPr>
      <w:rFonts w:asciiTheme="minorHAnsi" w:hAnsiTheme="minorHAnsi"/>
      <w:sz w:val="20"/>
      <w:szCs w:val="20"/>
    </w:rPr>
  </w:style>
  <w:style w:type="paragraph" w:styleId="TM7">
    <w:name w:val="toc 7"/>
    <w:basedOn w:val="Normal"/>
    <w:next w:val="Normal"/>
    <w:autoRedefine/>
    <w:rsid w:val="00E25029"/>
    <w:pPr>
      <w:ind w:left="1320"/>
    </w:pPr>
    <w:rPr>
      <w:rFonts w:asciiTheme="minorHAnsi" w:hAnsiTheme="minorHAnsi"/>
      <w:sz w:val="20"/>
      <w:szCs w:val="20"/>
    </w:rPr>
  </w:style>
  <w:style w:type="paragraph" w:styleId="TM8">
    <w:name w:val="toc 8"/>
    <w:basedOn w:val="Normal"/>
    <w:next w:val="Normal"/>
    <w:autoRedefine/>
    <w:rsid w:val="00E25029"/>
    <w:pPr>
      <w:ind w:left="1540"/>
    </w:pPr>
    <w:rPr>
      <w:rFonts w:asciiTheme="minorHAnsi" w:hAnsiTheme="minorHAnsi"/>
      <w:sz w:val="20"/>
      <w:szCs w:val="20"/>
    </w:rPr>
  </w:style>
  <w:style w:type="paragraph" w:styleId="TM9">
    <w:name w:val="toc 9"/>
    <w:basedOn w:val="Normal"/>
    <w:next w:val="Normal"/>
    <w:autoRedefine/>
    <w:rsid w:val="00E25029"/>
    <w:pPr>
      <w:ind w:left="1760"/>
    </w:pPr>
    <w:rPr>
      <w:rFonts w:asciiTheme="minorHAnsi" w:hAnsiTheme="minorHAnsi"/>
      <w:sz w:val="20"/>
      <w:szCs w:val="20"/>
    </w:rPr>
  </w:style>
  <w:style w:type="character" w:styleId="Lienhypertexte">
    <w:name w:val="Hyperlink"/>
    <w:basedOn w:val="Policepardfaut"/>
    <w:uiPriority w:val="99"/>
    <w:rsid w:val="00E25029"/>
    <w:rPr>
      <w:color w:val="0000FF"/>
      <w:u w:val="single"/>
    </w:rPr>
  </w:style>
  <w:style w:type="paragraph" w:styleId="Commentaire">
    <w:name w:val="annotation text"/>
    <w:basedOn w:val="Normal"/>
    <w:link w:val="CommentaireCar"/>
    <w:uiPriority w:val="99"/>
    <w:rsid w:val="00E25029"/>
    <w:rPr>
      <w:sz w:val="20"/>
      <w:szCs w:val="20"/>
    </w:rPr>
  </w:style>
  <w:style w:type="character" w:customStyle="1" w:styleId="CommentaireCar">
    <w:name w:val="Commentaire Car"/>
    <w:basedOn w:val="Policepardfaut"/>
    <w:link w:val="Commentaire"/>
    <w:uiPriority w:val="99"/>
    <w:rsid w:val="00E25029"/>
  </w:style>
  <w:style w:type="paragraph" w:customStyle="1" w:styleId="BodyText31">
    <w:name w:val="Body Text 31"/>
    <w:basedOn w:val="Normal"/>
    <w:rsid w:val="00E25029"/>
    <w:pPr>
      <w:jc w:val="both"/>
    </w:pPr>
    <w:rPr>
      <w:rFonts w:ascii="Arial Narrow" w:hAnsi="Arial Narrow"/>
      <w:szCs w:val="20"/>
    </w:rPr>
  </w:style>
  <w:style w:type="paragraph" w:customStyle="1" w:styleId="defonds">
    <w:name w:val="de fonds"/>
    <w:basedOn w:val="Corpsdetexte"/>
    <w:rsid w:val="00E25029"/>
    <w:pPr>
      <w:tabs>
        <w:tab w:val="clear" w:pos="0"/>
        <w:tab w:val="num" w:pos="1428"/>
      </w:tabs>
      <w:ind w:left="1428" w:hanging="360"/>
    </w:pPr>
    <w:rPr>
      <w:rFonts w:ascii="Arial" w:hAnsi="Arial"/>
      <w:sz w:val="24"/>
    </w:rPr>
  </w:style>
  <w:style w:type="paragraph" w:customStyle="1" w:styleId="xl27">
    <w:name w:val="xl27"/>
    <w:basedOn w:val="Normal"/>
    <w:rsid w:val="00E25029"/>
    <w:pPr>
      <w:pBdr>
        <w:left w:val="single" w:sz="12"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BodyText23">
    <w:name w:val="Body Text 23"/>
    <w:basedOn w:val="Normal"/>
    <w:rsid w:val="00E25029"/>
    <w:pPr>
      <w:jc w:val="both"/>
    </w:pPr>
    <w:rPr>
      <w:rFonts w:ascii="Arial Narrow" w:hAnsi="Arial Narrow"/>
      <w:b/>
      <w:sz w:val="24"/>
      <w:szCs w:val="20"/>
    </w:rPr>
  </w:style>
  <w:style w:type="character" w:styleId="Numrodepage">
    <w:name w:val="page number"/>
    <w:basedOn w:val="Policepardfaut"/>
    <w:rsid w:val="00E25029"/>
  </w:style>
  <w:style w:type="paragraph" w:customStyle="1" w:styleId="xl24">
    <w:name w:val="xl24"/>
    <w:basedOn w:val="Normal"/>
    <w:rsid w:val="00E25029"/>
    <w:pPr>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5">
    <w:name w:val="xl25"/>
    <w:basedOn w:val="Normal"/>
    <w:rsid w:val="00E25029"/>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6">
    <w:name w:val="xl26"/>
    <w:basedOn w:val="Normal"/>
    <w:rsid w:val="00E25029"/>
    <w:pPr>
      <w:pBdr>
        <w:left w:val="single" w:sz="4" w:space="0" w:color="auto"/>
      </w:pBdr>
      <w:spacing w:before="100" w:beforeAutospacing="1" w:after="100" w:afterAutospacing="1"/>
      <w:jc w:val="both"/>
      <w:textAlignment w:val="top"/>
    </w:pPr>
    <w:rPr>
      <w:rFonts w:ascii="Book Antiqua" w:eastAsia="Arial Unicode MS" w:hAnsi="Book Antiqua" w:cs="Arial Unicode MS"/>
      <w:b/>
      <w:bCs/>
      <w:color w:val="000000"/>
      <w:sz w:val="24"/>
      <w:szCs w:val="24"/>
    </w:rPr>
  </w:style>
  <w:style w:type="paragraph" w:customStyle="1" w:styleId="xl28">
    <w:name w:val="xl28"/>
    <w:basedOn w:val="Normal"/>
    <w:rsid w:val="00E25029"/>
    <w:pPr>
      <w:pBdr>
        <w:right w:val="single" w:sz="4" w:space="0" w:color="auto"/>
      </w:pBdr>
      <w:spacing w:before="100" w:beforeAutospacing="1" w:after="100" w:afterAutospacing="1"/>
      <w:jc w:val="center"/>
      <w:textAlignment w:val="top"/>
    </w:pPr>
    <w:rPr>
      <w:rFonts w:ascii="Book Antiqua" w:eastAsia="Arial Unicode MS" w:hAnsi="Book Antiqua" w:cs="Arial Unicode MS"/>
      <w:b/>
      <w:bCs/>
      <w:color w:val="000000"/>
      <w:sz w:val="24"/>
      <w:szCs w:val="24"/>
    </w:rPr>
  </w:style>
  <w:style w:type="paragraph" w:customStyle="1" w:styleId="xl29">
    <w:name w:val="xl29"/>
    <w:basedOn w:val="Normal"/>
    <w:rsid w:val="00E25029"/>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0">
    <w:name w:val="xl30"/>
    <w:basedOn w:val="Normal"/>
    <w:rsid w:val="00E25029"/>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1">
    <w:name w:val="xl31"/>
    <w:basedOn w:val="Normal"/>
    <w:rsid w:val="00E25029"/>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2">
    <w:name w:val="xl32"/>
    <w:basedOn w:val="Normal"/>
    <w:rsid w:val="00E25029"/>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E25029"/>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4">
    <w:name w:val="xl34"/>
    <w:basedOn w:val="Normal"/>
    <w:rsid w:val="00E25029"/>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5">
    <w:name w:val="xl35"/>
    <w:basedOn w:val="Normal"/>
    <w:rsid w:val="00E25029"/>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6">
    <w:name w:val="xl36"/>
    <w:basedOn w:val="Normal"/>
    <w:rsid w:val="00E25029"/>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7">
    <w:name w:val="xl37"/>
    <w:basedOn w:val="Normal"/>
    <w:rsid w:val="00E25029"/>
    <w:pPr>
      <w:pBdr>
        <w:top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E25029"/>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9">
    <w:name w:val="xl39"/>
    <w:basedOn w:val="Normal"/>
    <w:rsid w:val="00E25029"/>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0">
    <w:name w:val="xl40"/>
    <w:basedOn w:val="Normal"/>
    <w:rsid w:val="00E25029"/>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1">
    <w:name w:val="xl41"/>
    <w:basedOn w:val="Normal"/>
    <w:rsid w:val="00E25029"/>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2">
    <w:name w:val="xl42"/>
    <w:basedOn w:val="Normal"/>
    <w:rsid w:val="00E25029"/>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3">
    <w:name w:val="xl43"/>
    <w:basedOn w:val="Normal"/>
    <w:rsid w:val="00E25029"/>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4">
    <w:name w:val="xl44"/>
    <w:basedOn w:val="Normal"/>
    <w:rsid w:val="00E25029"/>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E25029"/>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E25029"/>
    <w:pPr>
      <w:pBdr>
        <w:bottom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47">
    <w:name w:val="xl47"/>
    <w:basedOn w:val="Normal"/>
    <w:rsid w:val="00E25029"/>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8">
    <w:name w:val="xl48"/>
    <w:basedOn w:val="Normal"/>
    <w:rsid w:val="00E25029"/>
    <w:pPr>
      <w:pBdr>
        <w:bottom w:val="single" w:sz="4"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9">
    <w:name w:val="xl49"/>
    <w:basedOn w:val="Normal"/>
    <w:rsid w:val="00E25029"/>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0">
    <w:name w:val="xl50"/>
    <w:basedOn w:val="Normal"/>
    <w:rsid w:val="00E25029"/>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1">
    <w:name w:val="xl51"/>
    <w:basedOn w:val="Normal"/>
    <w:rsid w:val="00E25029"/>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E25029"/>
    <w:pPr>
      <w:pBdr>
        <w:left w:val="single" w:sz="4" w:space="0" w:color="auto"/>
        <w:bottom w:val="single" w:sz="4" w:space="0" w:color="auto"/>
      </w:pBdr>
      <w:spacing w:before="100" w:beforeAutospacing="1" w:after="100" w:afterAutospacing="1"/>
    </w:pPr>
    <w:rPr>
      <w:rFonts w:ascii="Arial" w:eastAsia="Arial Unicode MS" w:hAnsi="Arial" w:cs="Arial"/>
      <w:b/>
      <w:bCs/>
      <w:sz w:val="24"/>
      <w:szCs w:val="24"/>
    </w:rPr>
  </w:style>
  <w:style w:type="paragraph" w:customStyle="1" w:styleId="xl53">
    <w:name w:val="xl53"/>
    <w:basedOn w:val="Normal"/>
    <w:rsid w:val="00E25029"/>
    <w:pPr>
      <w:spacing w:before="100" w:beforeAutospacing="1" w:after="100" w:afterAutospacing="1"/>
      <w:jc w:val="center"/>
    </w:pPr>
    <w:rPr>
      <w:rFonts w:ascii="Arial" w:eastAsia="Arial Unicode MS" w:hAnsi="Arial" w:cs="Arial"/>
      <w:b/>
      <w:bCs/>
      <w:i/>
      <w:iCs/>
      <w:sz w:val="16"/>
      <w:szCs w:val="16"/>
    </w:rPr>
  </w:style>
  <w:style w:type="paragraph" w:customStyle="1" w:styleId="xl54">
    <w:name w:val="xl54"/>
    <w:basedOn w:val="Normal"/>
    <w:rsid w:val="00E25029"/>
    <w:pPr>
      <w:spacing w:before="100" w:beforeAutospacing="1" w:after="100" w:afterAutospacing="1"/>
      <w:jc w:val="center"/>
    </w:pPr>
    <w:rPr>
      <w:rFonts w:ascii="Arial" w:eastAsia="Arial Unicode MS" w:hAnsi="Arial" w:cs="Arial"/>
      <w:b/>
      <w:bCs/>
      <w:i/>
      <w:iCs/>
      <w:sz w:val="16"/>
      <w:szCs w:val="16"/>
    </w:rPr>
  </w:style>
  <w:style w:type="paragraph" w:customStyle="1" w:styleId="xl55">
    <w:name w:val="xl55"/>
    <w:basedOn w:val="Normal"/>
    <w:rsid w:val="00E25029"/>
    <w:pPr>
      <w:spacing w:before="100" w:beforeAutospacing="1" w:after="100" w:afterAutospacing="1"/>
    </w:pPr>
    <w:rPr>
      <w:rFonts w:ascii="Arial" w:eastAsia="Arial Unicode MS" w:hAnsi="Arial" w:cs="Arial"/>
      <w:i/>
      <w:iCs/>
      <w:sz w:val="16"/>
      <w:szCs w:val="16"/>
    </w:rPr>
  </w:style>
  <w:style w:type="paragraph" w:customStyle="1" w:styleId="xl56">
    <w:name w:val="xl56"/>
    <w:basedOn w:val="Normal"/>
    <w:rsid w:val="00E25029"/>
    <w:pPr>
      <w:pBdr>
        <w:top w:val="single" w:sz="8" w:space="0" w:color="auto"/>
      </w:pBdr>
      <w:shd w:val="clear" w:color="auto" w:fill="FFFFFF"/>
      <w:spacing w:before="100" w:beforeAutospacing="1" w:after="100" w:afterAutospacing="1"/>
      <w:jc w:val="center"/>
    </w:pPr>
    <w:rPr>
      <w:rFonts w:ascii="CG Times" w:eastAsia="Arial Unicode MS" w:hAnsi="CG Times" w:cs="Arial Unicode MS"/>
      <w:b/>
      <w:bCs/>
      <w:sz w:val="18"/>
      <w:szCs w:val="18"/>
    </w:rPr>
  </w:style>
  <w:style w:type="paragraph" w:customStyle="1" w:styleId="xl57">
    <w:name w:val="xl57"/>
    <w:basedOn w:val="Normal"/>
    <w:rsid w:val="00E25029"/>
    <w:pPr>
      <w:pBdr>
        <w:bottom w:val="single" w:sz="8" w:space="0" w:color="auto"/>
      </w:pBdr>
      <w:shd w:val="clear" w:color="auto" w:fill="FFFFFF"/>
      <w:spacing w:before="100" w:beforeAutospacing="1" w:after="100" w:afterAutospacing="1"/>
    </w:pPr>
    <w:rPr>
      <w:rFonts w:ascii="CG Times" w:eastAsia="Arial Unicode MS" w:hAnsi="CG Times" w:cs="Arial Unicode MS"/>
      <w:b/>
      <w:bCs/>
      <w:sz w:val="18"/>
      <w:szCs w:val="18"/>
    </w:rPr>
  </w:style>
  <w:style w:type="paragraph" w:customStyle="1" w:styleId="xl58">
    <w:name w:val="xl58"/>
    <w:basedOn w:val="Normal"/>
    <w:rsid w:val="00E25029"/>
    <w:pPr>
      <w:pBdr>
        <w:left w:val="single" w:sz="4" w:space="0" w:color="auto"/>
        <w:bottom w:val="single" w:sz="8" w:space="0" w:color="auto"/>
        <w:right w:val="single" w:sz="4" w:space="0" w:color="auto"/>
      </w:pBdr>
      <w:shd w:val="clear" w:color="auto" w:fill="FFFFFF"/>
      <w:spacing w:before="100" w:beforeAutospacing="1" w:after="100" w:afterAutospacing="1"/>
    </w:pPr>
    <w:rPr>
      <w:rFonts w:ascii="CG Times" w:eastAsia="Arial Unicode MS" w:hAnsi="CG Times" w:cs="Arial Unicode MS"/>
      <w:b/>
      <w:bCs/>
      <w:sz w:val="18"/>
      <w:szCs w:val="18"/>
    </w:rPr>
  </w:style>
  <w:style w:type="paragraph" w:customStyle="1" w:styleId="xl59">
    <w:name w:val="xl59"/>
    <w:basedOn w:val="Normal"/>
    <w:rsid w:val="00E25029"/>
    <w:pPr>
      <w:pBdr>
        <w:left w:val="single" w:sz="4" w:space="0" w:color="auto"/>
        <w:right w:val="single" w:sz="4" w:space="0" w:color="auto"/>
      </w:pBdr>
      <w:spacing w:before="100" w:beforeAutospacing="1" w:after="100" w:afterAutospacing="1"/>
      <w:jc w:val="right"/>
    </w:pPr>
    <w:rPr>
      <w:rFonts w:ascii="CG Times" w:eastAsia="Arial Unicode MS" w:hAnsi="CG Times" w:cs="Arial Unicode MS"/>
      <w:sz w:val="18"/>
      <w:szCs w:val="18"/>
    </w:rPr>
  </w:style>
  <w:style w:type="paragraph" w:customStyle="1" w:styleId="xl60">
    <w:name w:val="xl60"/>
    <w:basedOn w:val="Normal"/>
    <w:rsid w:val="00E25029"/>
    <w:pPr>
      <w:pBdr>
        <w:top w:val="single" w:sz="8" w:space="0" w:color="auto"/>
        <w:left w:val="single" w:sz="4" w:space="0" w:color="auto"/>
        <w:right w:val="single" w:sz="4" w:space="0" w:color="auto"/>
      </w:pBdr>
      <w:shd w:val="clear" w:color="auto" w:fill="FFFFFF"/>
      <w:spacing w:before="100" w:beforeAutospacing="1" w:after="100" w:afterAutospacing="1"/>
      <w:jc w:val="center"/>
    </w:pPr>
    <w:rPr>
      <w:rFonts w:ascii="CG Times" w:eastAsia="Arial Unicode MS" w:hAnsi="CG Times" w:cs="Arial Unicode MS"/>
      <w:b/>
      <w:bCs/>
      <w:sz w:val="18"/>
      <w:szCs w:val="18"/>
    </w:rPr>
  </w:style>
  <w:style w:type="paragraph" w:customStyle="1" w:styleId="xl61">
    <w:name w:val="xl61"/>
    <w:basedOn w:val="Normal"/>
    <w:rsid w:val="00E25029"/>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b/>
      <w:bCs/>
      <w:sz w:val="24"/>
      <w:szCs w:val="24"/>
    </w:rPr>
  </w:style>
  <w:style w:type="paragraph" w:customStyle="1" w:styleId="xl62">
    <w:name w:val="xl62"/>
    <w:basedOn w:val="Normal"/>
    <w:rsid w:val="00E25029"/>
    <w:pPr>
      <w:pBdr>
        <w:left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63">
    <w:name w:val="xl63"/>
    <w:basedOn w:val="Normal"/>
    <w:rsid w:val="00E25029"/>
    <w:pPr>
      <w:pBdr>
        <w:top w:val="single" w:sz="8" w:space="0" w:color="auto"/>
        <w:left w:val="single" w:sz="8" w:space="0" w:color="auto"/>
      </w:pBdr>
      <w:shd w:val="clear" w:color="auto" w:fill="C0C0C0"/>
      <w:spacing w:before="100" w:beforeAutospacing="1" w:after="100" w:afterAutospacing="1"/>
      <w:textAlignment w:val="center"/>
    </w:pPr>
    <w:rPr>
      <w:rFonts w:ascii="Arial" w:eastAsia="Arial Unicode MS" w:hAnsi="Arial" w:cs="Arial"/>
      <w:b/>
      <w:bCs/>
      <w:sz w:val="24"/>
      <w:szCs w:val="24"/>
    </w:rPr>
  </w:style>
  <w:style w:type="paragraph" w:customStyle="1" w:styleId="xl64">
    <w:name w:val="xl64"/>
    <w:basedOn w:val="Normal"/>
    <w:rsid w:val="00E25029"/>
    <w:pPr>
      <w:pBdr>
        <w:top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65">
    <w:name w:val="xl65"/>
    <w:basedOn w:val="Normal"/>
    <w:rsid w:val="00E25029"/>
    <w:pPr>
      <w:pBdr>
        <w:top w:val="single" w:sz="8" w:space="0" w:color="auto"/>
        <w:right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66">
    <w:name w:val="xl66"/>
    <w:basedOn w:val="Normal"/>
    <w:rsid w:val="00E25029"/>
    <w:pP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67">
    <w:name w:val="xl67"/>
    <w:basedOn w:val="Normal"/>
    <w:rsid w:val="00E25029"/>
    <w:pPr>
      <w:pBdr>
        <w:right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68">
    <w:name w:val="xl68"/>
    <w:basedOn w:val="Normal"/>
    <w:rsid w:val="00E25029"/>
    <w:pPr>
      <w:pBdr>
        <w:left w:val="single" w:sz="8" w:space="0" w:color="auto"/>
        <w:bottom w:val="single" w:sz="8" w:space="0" w:color="auto"/>
      </w:pBdr>
      <w:shd w:val="clear" w:color="auto" w:fill="C0C0C0"/>
      <w:spacing w:before="100" w:beforeAutospacing="1" w:after="100" w:afterAutospacing="1"/>
      <w:textAlignment w:val="center"/>
    </w:pPr>
    <w:rPr>
      <w:rFonts w:ascii="Arial" w:eastAsia="Arial Unicode MS" w:hAnsi="Arial" w:cs="Arial"/>
      <w:b/>
      <w:bCs/>
      <w:i/>
      <w:iCs/>
      <w:sz w:val="28"/>
      <w:szCs w:val="28"/>
    </w:rPr>
  </w:style>
  <w:style w:type="paragraph" w:customStyle="1" w:styleId="xl69">
    <w:name w:val="xl69"/>
    <w:basedOn w:val="Normal"/>
    <w:rsid w:val="00E25029"/>
    <w:pPr>
      <w:pBdr>
        <w:bottom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70">
    <w:name w:val="xl70"/>
    <w:basedOn w:val="Normal"/>
    <w:rsid w:val="00E25029"/>
    <w:pPr>
      <w:pBdr>
        <w:bottom w:val="single" w:sz="8" w:space="0" w:color="auto"/>
        <w:right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71">
    <w:name w:val="xl71"/>
    <w:basedOn w:val="Normal"/>
    <w:rsid w:val="00E25029"/>
    <w:pPr>
      <w:pBdr>
        <w:top w:val="single" w:sz="8" w:space="0" w:color="auto"/>
        <w:left w:val="single" w:sz="4" w:space="0" w:color="auto"/>
        <w:right w:val="single" w:sz="4" w:space="0" w:color="auto"/>
      </w:pBdr>
      <w:shd w:val="clear" w:color="auto" w:fill="FFFFFF"/>
      <w:spacing w:before="100" w:beforeAutospacing="1" w:after="100" w:afterAutospacing="1"/>
      <w:jc w:val="center"/>
    </w:pPr>
    <w:rPr>
      <w:rFonts w:ascii="CG Times" w:eastAsia="Arial Unicode MS" w:hAnsi="CG Times" w:cs="Arial Unicode MS"/>
      <w:b/>
      <w:bCs/>
      <w:sz w:val="18"/>
      <w:szCs w:val="18"/>
    </w:rPr>
  </w:style>
  <w:style w:type="paragraph" w:customStyle="1" w:styleId="xl72">
    <w:name w:val="xl72"/>
    <w:basedOn w:val="Normal"/>
    <w:rsid w:val="00E25029"/>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3">
    <w:name w:val="xl73"/>
    <w:basedOn w:val="Normal"/>
    <w:rsid w:val="00E25029"/>
    <w:pPr>
      <w:pBdr>
        <w:left w:val="single" w:sz="4" w:space="0" w:color="auto"/>
        <w:bottom w:val="single" w:sz="8" w:space="0" w:color="auto"/>
        <w:right w:val="single" w:sz="4" w:space="0" w:color="auto"/>
      </w:pBdr>
      <w:spacing w:before="100" w:beforeAutospacing="1" w:after="100" w:afterAutospacing="1"/>
    </w:pPr>
    <w:rPr>
      <w:rFonts w:ascii="CG Times" w:eastAsia="Arial Unicode MS" w:hAnsi="CG Times" w:cs="Arial Unicode MS"/>
      <w:sz w:val="18"/>
      <w:szCs w:val="18"/>
    </w:rPr>
  </w:style>
  <w:style w:type="paragraph" w:customStyle="1" w:styleId="xl74">
    <w:name w:val="xl74"/>
    <w:basedOn w:val="Normal"/>
    <w:rsid w:val="00E25029"/>
    <w:pPr>
      <w:pBdr>
        <w:left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75">
    <w:name w:val="xl75"/>
    <w:basedOn w:val="Normal"/>
    <w:rsid w:val="00E25029"/>
    <w:pPr>
      <w:pBdr>
        <w:top w:val="single" w:sz="8" w:space="0" w:color="auto"/>
        <w:left w:val="single" w:sz="8" w:space="0" w:color="auto"/>
      </w:pBdr>
      <w:shd w:val="clear" w:color="auto" w:fill="C0C0C0"/>
      <w:spacing w:before="100" w:beforeAutospacing="1" w:after="100" w:afterAutospacing="1"/>
      <w:textAlignment w:val="center"/>
    </w:pPr>
    <w:rPr>
      <w:rFonts w:ascii="Arial" w:eastAsia="Arial Unicode MS" w:hAnsi="Arial" w:cs="Arial"/>
      <w:b/>
      <w:bCs/>
      <w:sz w:val="24"/>
      <w:szCs w:val="24"/>
    </w:rPr>
  </w:style>
  <w:style w:type="paragraph" w:customStyle="1" w:styleId="xl76">
    <w:name w:val="xl76"/>
    <w:basedOn w:val="Normal"/>
    <w:rsid w:val="00E25029"/>
    <w:pPr>
      <w:pBdr>
        <w:top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77">
    <w:name w:val="xl77"/>
    <w:basedOn w:val="Normal"/>
    <w:rsid w:val="00E25029"/>
    <w:pPr>
      <w:pBdr>
        <w:top w:val="single" w:sz="8" w:space="0" w:color="auto"/>
        <w:right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78">
    <w:name w:val="xl78"/>
    <w:basedOn w:val="Normal"/>
    <w:rsid w:val="00E25029"/>
    <w:pP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79">
    <w:name w:val="xl79"/>
    <w:basedOn w:val="Normal"/>
    <w:rsid w:val="00E25029"/>
    <w:pPr>
      <w:pBdr>
        <w:right w:val="single" w:sz="8"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80">
    <w:name w:val="xl80"/>
    <w:basedOn w:val="Normal"/>
    <w:rsid w:val="00E25029"/>
    <w:pPr>
      <w:pBdr>
        <w:left w:val="single" w:sz="8" w:space="0" w:color="auto"/>
        <w:bottom w:val="single" w:sz="8" w:space="0" w:color="auto"/>
      </w:pBdr>
      <w:shd w:val="clear" w:color="auto" w:fill="C0C0C0"/>
      <w:spacing w:before="100" w:beforeAutospacing="1" w:after="100" w:afterAutospacing="1"/>
      <w:textAlignment w:val="center"/>
    </w:pPr>
    <w:rPr>
      <w:rFonts w:ascii="Arial" w:eastAsia="Arial Unicode MS" w:hAnsi="Arial" w:cs="Arial"/>
      <w:b/>
      <w:bCs/>
      <w:i/>
      <w:iCs/>
      <w:sz w:val="28"/>
      <w:szCs w:val="28"/>
    </w:rPr>
  </w:style>
  <w:style w:type="paragraph" w:customStyle="1" w:styleId="BodyText21">
    <w:name w:val="Body Text 21"/>
    <w:basedOn w:val="Normal"/>
    <w:rsid w:val="00E25029"/>
    <w:pPr>
      <w:jc w:val="both"/>
    </w:pPr>
    <w:rPr>
      <w:sz w:val="28"/>
      <w:szCs w:val="20"/>
    </w:rPr>
  </w:style>
  <w:style w:type="paragraph" w:styleId="Textedebulles">
    <w:name w:val="Balloon Text"/>
    <w:basedOn w:val="Normal"/>
    <w:link w:val="TextedebullesCar"/>
    <w:rsid w:val="00E25029"/>
    <w:rPr>
      <w:rFonts w:ascii="Tahoma" w:hAnsi="Tahoma" w:cs="Tahoma"/>
      <w:sz w:val="16"/>
      <w:szCs w:val="16"/>
    </w:rPr>
  </w:style>
  <w:style w:type="character" w:customStyle="1" w:styleId="TextedebullesCar">
    <w:name w:val="Texte de bulles Car"/>
    <w:basedOn w:val="Policepardfaut"/>
    <w:link w:val="Textedebulles"/>
    <w:rsid w:val="00E25029"/>
    <w:rPr>
      <w:rFonts w:ascii="Tahoma" w:hAnsi="Tahoma" w:cs="Tahoma"/>
      <w:sz w:val="16"/>
      <w:szCs w:val="16"/>
    </w:rPr>
  </w:style>
  <w:style w:type="paragraph" w:customStyle="1" w:styleId="p5">
    <w:name w:val="p5"/>
    <w:basedOn w:val="Normal"/>
    <w:rsid w:val="00E25029"/>
    <w:pPr>
      <w:widowControl w:val="0"/>
      <w:tabs>
        <w:tab w:val="left" w:pos="420"/>
        <w:tab w:val="left" w:pos="780"/>
      </w:tabs>
      <w:spacing w:line="280" w:lineRule="atLeast"/>
      <w:ind w:left="720" w:hanging="288"/>
      <w:jc w:val="both"/>
    </w:pPr>
    <w:rPr>
      <w:sz w:val="24"/>
      <w:szCs w:val="20"/>
    </w:rPr>
  </w:style>
  <w:style w:type="paragraph" w:customStyle="1" w:styleId="p13">
    <w:name w:val="p13"/>
    <w:basedOn w:val="Normal"/>
    <w:rsid w:val="00E25029"/>
    <w:pPr>
      <w:widowControl w:val="0"/>
      <w:tabs>
        <w:tab w:val="left" w:pos="420"/>
      </w:tabs>
      <w:spacing w:line="280" w:lineRule="atLeast"/>
      <w:ind w:left="1440" w:firstLine="432"/>
      <w:jc w:val="both"/>
    </w:pPr>
    <w:rPr>
      <w:sz w:val="24"/>
      <w:szCs w:val="20"/>
    </w:rPr>
  </w:style>
  <w:style w:type="paragraph" w:customStyle="1" w:styleId="p14">
    <w:name w:val="p14"/>
    <w:basedOn w:val="Normal"/>
    <w:rsid w:val="00E25029"/>
    <w:pPr>
      <w:widowControl w:val="0"/>
      <w:tabs>
        <w:tab w:val="left" w:pos="420"/>
      </w:tabs>
      <w:spacing w:line="280" w:lineRule="atLeast"/>
      <w:ind w:left="1008" w:hanging="432"/>
      <w:jc w:val="both"/>
    </w:pPr>
    <w:rPr>
      <w:sz w:val="24"/>
      <w:szCs w:val="20"/>
    </w:rPr>
  </w:style>
  <w:style w:type="paragraph" w:customStyle="1" w:styleId="Style2">
    <w:name w:val="Style2"/>
    <w:basedOn w:val="Normal"/>
    <w:autoRedefine/>
    <w:rsid w:val="00E25029"/>
    <w:rPr>
      <w:rFonts w:ascii="cg time" w:hAnsi="cg time" w:cs="Arial"/>
      <w:b/>
      <w:bCs/>
      <w:sz w:val="26"/>
      <w:szCs w:val="24"/>
    </w:rPr>
  </w:style>
  <w:style w:type="paragraph" w:customStyle="1" w:styleId="font5">
    <w:name w:val="font5"/>
    <w:basedOn w:val="Normal"/>
    <w:rsid w:val="00E25029"/>
    <w:pPr>
      <w:spacing w:before="100" w:beforeAutospacing="1" w:after="100" w:afterAutospacing="1"/>
    </w:pPr>
    <w:rPr>
      <w:rFonts w:ascii="Arial" w:eastAsia="Arial Unicode MS" w:hAnsi="Arial" w:cs="Arial"/>
      <w:sz w:val="16"/>
      <w:szCs w:val="16"/>
    </w:rPr>
  </w:style>
  <w:style w:type="paragraph" w:customStyle="1" w:styleId="Style1">
    <w:name w:val="Style1"/>
    <w:basedOn w:val="Normal"/>
    <w:rsid w:val="00E25029"/>
    <w:rPr>
      <w:sz w:val="20"/>
      <w:szCs w:val="20"/>
    </w:rPr>
  </w:style>
  <w:style w:type="paragraph" w:customStyle="1" w:styleId="WW-Corpsdetexte3">
    <w:name w:val="WW-Corps de texte 3"/>
    <w:basedOn w:val="Normal"/>
    <w:rsid w:val="00E25029"/>
    <w:pPr>
      <w:suppressAutoHyphens/>
      <w:jc w:val="both"/>
    </w:pPr>
    <w:rPr>
      <w:rFonts w:ascii="Arial" w:hAnsi="Arial"/>
    </w:rPr>
  </w:style>
  <w:style w:type="character" w:styleId="Lienhypertextesuivivisit">
    <w:name w:val="FollowedHyperlink"/>
    <w:basedOn w:val="Policepardfaut"/>
    <w:uiPriority w:val="99"/>
    <w:rsid w:val="00E25029"/>
    <w:rPr>
      <w:color w:val="800080"/>
      <w:u w:val="single"/>
    </w:rPr>
  </w:style>
  <w:style w:type="paragraph" w:styleId="Objetducommentaire">
    <w:name w:val="annotation subject"/>
    <w:basedOn w:val="Commentaire"/>
    <w:next w:val="Commentaire"/>
    <w:link w:val="ObjetducommentaireCar"/>
    <w:rsid w:val="00E25029"/>
    <w:rPr>
      <w:b/>
      <w:bCs/>
    </w:rPr>
  </w:style>
  <w:style w:type="character" w:customStyle="1" w:styleId="ObjetducommentaireCar">
    <w:name w:val="Objet du commentaire Car"/>
    <w:basedOn w:val="CommentaireCar"/>
    <w:link w:val="Objetducommentaire"/>
    <w:rsid w:val="00E25029"/>
    <w:rPr>
      <w:b/>
      <w:bCs/>
    </w:rPr>
  </w:style>
  <w:style w:type="paragraph" w:customStyle="1" w:styleId="MonoTextenormal">
    <w:name w:val="Mono Texte normal"/>
    <w:link w:val="MonoTextenormalCar"/>
    <w:rsid w:val="00E25029"/>
    <w:pPr>
      <w:widowControl w:val="0"/>
      <w:spacing w:line="270" w:lineRule="exact"/>
      <w:jc w:val="both"/>
    </w:pPr>
    <w:rPr>
      <w:noProof/>
      <w:sz w:val="22"/>
    </w:rPr>
  </w:style>
  <w:style w:type="character" w:customStyle="1" w:styleId="MonoTextenormalCar">
    <w:name w:val="Mono Texte normal Car"/>
    <w:basedOn w:val="Policepardfaut"/>
    <w:link w:val="MonoTextenormal"/>
    <w:rsid w:val="00E25029"/>
    <w:rPr>
      <w:noProof/>
      <w:sz w:val="22"/>
    </w:rPr>
  </w:style>
  <w:style w:type="paragraph" w:customStyle="1" w:styleId="WW-Standard">
    <w:name w:val="WW-Standard"/>
    <w:rsid w:val="00E25029"/>
    <w:pPr>
      <w:suppressAutoHyphens/>
    </w:pPr>
    <w:rPr>
      <w:sz w:val="24"/>
    </w:rPr>
  </w:style>
  <w:style w:type="character" w:styleId="MachinecrireHTML">
    <w:name w:val="HTML Typewriter"/>
    <w:basedOn w:val="Policepardfaut"/>
    <w:rsid w:val="00E25029"/>
    <w:rPr>
      <w:rFonts w:ascii="Courier New" w:eastAsia="Times New Roman" w:hAnsi="Courier New" w:cs="Courier New"/>
      <w:sz w:val="20"/>
      <w:szCs w:val="20"/>
    </w:rPr>
  </w:style>
  <w:style w:type="paragraph" w:styleId="Normalcentr">
    <w:name w:val="Block Text"/>
    <w:basedOn w:val="Normal"/>
    <w:rsid w:val="00E25029"/>
    <w:pPr>
      <w:ind w:left="-284" w:right="-426"/>
      <w:jc w:val="both"/>
    </w:pPr>
    <w:rPr>
      <w:sz w:val="24"/>
      <w:szCs w:val="24"/>
    </w:rPr>
  </w:style>
  <w:style w:type="paragraph" w:styleId="Textebrut">
    <w:name w:val="Plain Text"/>
    <w:basedOn w:val="Normal"/>
    <w:link w:val="TextebrutCar"/>
    <w:rsid w:val="00E25029"/>
    <w:pPr>
      <w:widowControl w:val="0"/>
    </w:pPr>
    <w:rPr>
      <w:rFonts w:ascii="Courier New" w:hAnsi="Courier New" w:cs="Courier New"/>
      <w:snapToGrid w:val="0"/>
      <w:sz w:val="20"/>
      <w:szCs w:val="20"/>
    </w:rPr>
  </w:style>
  <w:style w:type="character" w:customStyle="1" w:styleId="TextebrutCar">
    <w:name w:val="Texte brut Car"/>
    <w:basedOn w:val="Policepardfaut"/>
    <w:link w:val="Textebrut"/>
    <w:rsid w:val="00E25029"/>
    <w:rPr>
      <w:rFonts w:ascii="Courier New" w:hAnsi="Courier New" w:cs="Courier New"/>
      <w:snapToGrid w:val="0"/>
    </w:rPr>
  </w:style>
  <w:style w:type="character" w:styleId="lev">
    <w:name w:val="Strong"/>
    <w:basedOn w:val="Policepardfaut"/>
    <w:uiPriority w:val="22"/>
    <w:qFormat/>
    <w:rsid w:val="00E25029"/>
    <w:rPr>
      <w:b/>
      <w:bCs/>
    </w:rPr>
  </w:style>
  <w:style w:type="character" w:styleId="Marquedecommentaire">
    <w:name w:val="annotation reference"/>
    <w:basedOn w:val="Policepardfaut"/>
    <w:uiPriority w:val="99"/>
    <w:rsid w:val="00E25029"/>
    <w:rPr>
      <w:sz w:val="16"/>
      <w:szCs w:val="16"/>
    </w:rPr>
  </w:style>
  <w:style w:type="paragraph" w:customStyle="1" w:styleId="Normal1">
    <w:name w:val="Normal1"/>
    <w:basedOn w:val="Normal"/>
    <w:rsid w:val="00E25029"/>
    <w:pPr>
      <w:widowControl w:val="0"/>
      <w:suppressAutoHyphens/>
      <w:autoSpaceDE w:val="0"/>
      <w:spacing w:before="227" w:after="227" w:line="360" w:lineRule="auto"/>
      <w:jc w:val="both"/>
    </w:pPr>
    <w:rPr>
      <w:rFonts w:ascii="Arial" w:eastAsia="Arial Unicode MS" w:hAnsi="Arial"/>
      <w:sz w:val="20"/>
      <w:szCs w:val="20"/>
    </w:rPr>
  </w:style>
  <w:style w:type="paragraph" w:customStyle="1" w:styleId="Titre11">
    <w:name w:val="Titre 11"/>
    <w:basedOn w:val="Normal1"/>
    <w:next w:val="Normal1"/>
    <w:rsid w:val="00E25029"/>
    <w:pPr>
      <w:keepNext/>
      <w:tabs>
        <w:tab w:val="left" w:pos="5245"/>
      </w:tabs>
      <w:spacing w:before="0" w:after="200" w:line="312" w:lineRule="auto"/>
      <w:ind w:left="567" w:firstLine="1134"/>
    </w:pPr>
    <w:rPr>
      <w:rFonts w:ascii="Univers (PCL6)" w:eastAsia="Univers (PCL6)" w:hAnsi="Univers (PCL6)" w:cs="Univers (PCL6)"/>
      <w:b/>
      <w:bCs/>
      <w:sz w:val="22"/>
      <w:szCs w:val="22"/>
    </w:rPr>
  </w:style>
  <w:style w:type="character" w:customStyle="1" w:styleId="RTFNum62">
    <w:name w:val="RTF_Num 6 2"/>
    <w:rsid w:val="00E25029"/>
  </w:style>
  <w:style w:type="paragraph" w:customStyle="1" w:styleId="CharCar">
    <w:name w:val="Char Car"/>
    <w:basedOn w:val="Normal"/>
    <w:rsid w:val="00E25029"/>
    <w:pPr>
      <w:spacing w:after="160" w:line="240" w:lineRule="exact"/>
    </w:pPr>
    <w:rPr>
      <w:rFonts w:ascii="Arial" w:hAnsi="Arial"/>
      <w:sz w:val="20"/>
      <w:szCs w:val="20"/>
      <w:lang w:val="en-US" w:eastAsia="en-US"/>
    </w:rPr>
  </w:style>
  <w:style w:type="paragraph" w:customStyle="1" w:styleId="CharChar1Char">
    <w:name w:val="Char Char1 Char"/>
    <w:basedOn w:val="Normal"/>
    <w:rsid w:val="00E25029"/>
    <w:pPr>
      <w:spacing w:after="160" w:line="240" w:lineRule="exact"/>
    </w:pPr>
    <w:rPr>
      <w:rFonts w:ascii="Tahoma" w:hAnsi="Tahoma"/>
      <w:sz w:val="20"/>
      <w:szCs w:val="20"/>
      <w:lang w:val="en-US" w:eastAsia="en-US"/>
    </w:rPr>
  </w:style>
  <w:style w:type="paragraph" w:customStyle="1" w:styleId="ParagraphNumbering">
    <w:name w:val="Paragraph Numbering"/>
    <w:basedOn w:val="Normal"/>
    <w:link w:val="ParagraphNumberingChar"/>
    <w:qFormat/>
    <w:rsid w:val="00E25029"/>
    <w:pPr>
      <w:numPr>
        <w:numId w:val="5"/>
      </w:numPr>
      <w:spacing w:after="240"/>
    </w:pPr>
    <w:rPr>
      <w:sz w:val="24"/>
      <w:szCs w:val="24"/>
      <w:lang w:val="en-US" w:eastAsia="en-US"/>
    </w:rPr>
  </w:style>
  <w:style w:type="character" w:customStyle="1" w:styleId="ParagraphNumberingChar">
    <w:name w:val="Paragraph Numbering Char"/>
    <w:basedOn w:val="Policepardfaut"/>
    <w:link w:val="ParagraphNumbering"/>
    <w:rsid w:val="00E25029"/>
    <w:rPr>
      <w:sz w:val="24"/>
      <w:szCs w:val="24"/>
      <w:lang w:val="en-US" w:eastAsia="en-US"/>
    </w:rPr>
  </w:style>
  <w:style w:type="paragraph" w:styleId="Listepuces">
    <w:name w:val="List Bullet"/>
    <w:basedOn w:val="Normal"/>
    <w:rsid w:val="00E25029"/>
    <w:pPr>
      <w:numPr>
        <w:numId w:val="6"/>
      </w:numPr>
      <w:spacing w:after="240"/>
    </w:pPr>
    <w:rPr>
      <w:sz w:val="24"/>
      <w:szCs w:val="24"/>
      <w:lang w:val="en-US" w:eastAsia="en-US"/>
    </w:rPr>
  </w:style>
  <w:style w:type="paragraph" w:styleId="Paragraphedeliste">
    <w:name w:val="List Paragraph"/>
    <w:aliases w:val="Paragraphe  revu,References"/>
    <w:basedOn w:val="Normal"/>
    <w:link w:val="ParagraphedelisteCar"/>
    <w:uiPriority w:val="34"/>
    <w:qFormat/>
    <w:rsid w:val="00E25029"/>
    <w:pPr>
      <w:ind w:left="708"/>
    </w:pPr>
  </w:style>
  <w:style w:type="paragraph" w:styleId="Listepuces3">
    <w:name w:val="List Bullet 3"/>
    <w:basedOn w:val="Normal"/>
    <w:rsid w:val="00E25029"/>
    <w:pPr>
      <w:numPr>
        <w:numId w:val="7"/>
      </w:numPr>
    </w:pPr>
    <w:rPr>
      <w:sz w:val="24"/>
      <w:szCs w:val="24"/>
    </w:rPr>
  </w:style>
  <w:style w:type="paragraph" w:customStyle="1" w:styleId="normal10">
    <w:name w:val="normal1"/>
    <w:basedOn w:val="Normal"/>
    <w:rsid w:val="00E25029"/>
    <w:pPr>
      <w:autoSpaceDE w:val="0"/>
      <w:spacing w:before="227" w:after="227" w:line="360" w:lineRule="auto"/>
      <w:jc w:val="both"/>
    </w:pPr>
    <w:rPr>
      <w:rFonts w:ascii="Arial" w:hAnsi="Arial" w:cs="Arial"/>
      <w:sz w:val="20"/>
      <w:szCs w:val="20"/>
    </w:rPr>
  </w:style>
  <w:style w:type="paragraph" w:styleId="NormalWeb">
    <w:name w:val="Normal (Web)"/>
    <w:basedOn w:val="Normal"/>
    <w:uiPriority w:val="99"/>
    <w:rsid w:val="00E25029"/>
    <w:pPr>
      <w:spacing w:before="100" w:beforeAutospacing="1" w:after="100" w:afterAutospacing="1"/>
    </w:pPr>
    <w:rPr>
      <w:sz w:val="24"/>
      <w:szCs w:val="24"/>
    </w:rPr>
  </w:style>
  <w:style w:type="paragraph" w:customStyle="1" w:styleId="WW-Retraitcorpsdetexte3">
    <w:name w:val="WW-Retrait corps de texte 3"/>
    <w:basedOn w:val="Normal"/>
    <w:rsid w:val="00E25029"/>
    <w:pPr>
      <w:suppressAutoHyphens/>
      <w:spacing w:after="200" w:line="360" w:lineRule="auto"/>
      <w:ind w:left="567" w:firstLine="851"/>
      <w:jc w:val="both"/>
    </w:pPr>
    <w:rPr>
      <w:rFonts w:ascii="Univers (PCL6)" w:hAnsi="Univers (PCL6)"/>
      <w:szCs w:val="20"/>
    </w:rPr>
  </w:style>
  <w:style w:type="paragraph" w:customStyle="1" w:styleId="Titre11Titre1beftitre2">
    <w:name w:val="Titre 1.1. Titre 1.bef_titre2"/>
    <w:basedOn w:val="Normal"/>
    <w:next w:val="Normal"/>
    <w:rsid w:val="00E25029"/>
    <w:pPr>
      <w:keepNext/>
      <w:numPr>
        <w:numId w:val="8"/>
      </w:numPr>
      <w:outlineLvl w:val="0"/>
    </w:pPr>
    <w:rPr>
      <w:rFonts w:ascii="Arial" w:hAnsi="Arial"/>
      <w:b/>
      <w:sz w:val="24"/>
      <w:szCs w:val="20"/>
    </w:rPr>
  </w:style>
  <w:style w:type="paragraph" w:customStyle="1" w:styleId="Titre211Titre2">
    <w:name w:val="Titre 2.1.1 Titre 2"/>
    <w:basedOn w:val="Normal"/>
    <w:next w:val="Normal"/>
    <w:rsid w:val="00E25029"/>
    <w:pPr>
      <w:keepNext/>
      <w:numPr>
        <w:ilvl w:val="1"/>
        <w:numId w:val="8"/>
      </w:numPr>
      <w:outlineLvl w:val="1"/>
    </w:pPr>
    <w:rPr>
      <w:b/>
      <w:sz w:val="28"/>
      <w:szCs w:val="20"/>
      <w:u w:val="single"/>
    </w:rPr>
  </w:style>
  <w:style w:type="paragraph" w:customStyle="1" w:styleId="ParaAccraCar">
    <w:name w:val="Para_Accra Car"/>
    <w:basedOn w:val="Normal"/>
    <w:autoRedefine/>
    <w:rsid w:val="00E25029"/>
    <w:pPr>
      <w:jc w:val="both"/>
    </w:pPr>
    <w:rPr>
      <w:rFonts w:ascii="Arial" w:hAnsi="Arial"/>
      <w:sz w:val="26"/>
      <w:szCs w:val="20"/>
    </w:rPr>
  </w:style>
  <w:style w:type="paragraph" w:customStyle="1" w:styleId="tf">
    <w:name w:val="tf"/>
    <w:basedOn w:val="Normal"/>
    <w:rsid w:val="00E25029"/>
    <w:pPr>
      <w:spacing w:after="120"/>
      <w:jc w:val="both"/>
    </w:pPr>
  </w:style>
  <w:style w:type="character" w:customStyle="1" w:styleId="CarCar7">
    <w:name w:val="Car Car7"/>
    <w:basedOn w:val="Policepardfaut"/>
    <w:semiHidden/>
    <w:rsid w:val="00E25029"/>
    <w:rPr>
      <w:lang w:val="fr-FR" w:eastAsia="fr-FR" w:bidi="ar-SA"/>
    </w:rPr>
  </w:style>
  <w:style w:type="character" w:customStyle="1" w:styleId="Neutre">
    <w:name w:val="Neutre"/>
    <w:basedOn w:val="Policepardfaut"/>
    <w:rsid w:val="00E25029"/>
    <w:rPr>
      <w:rFonts w:ascii="Times New Roman" w:hAnsi="Times New Roman" w:cs="Times New Roman"/>
      <w:b/>
      <w:bCs/>
      <w:caps/>
      <w:sz w:val="32"/>
      <w:szCs w:val="32"/>
      <w:u w:val="thick"/>
      <w:vertAlign w:val="baseline"/>
    </w:rPr>
  </w:style>
  <w:style w:type="paragraph" w:styleId="Explorateurdedocuments">
    <w:name w:val="Document Map"/>
    <w:basedOn w:val="Normal"/>
    <w:link w:val="ExplorateurdedocumentsCar"/>
    <w:rsid w:val="00E25029"/>
    <w:pPr>
      <w:shd w:val="clear" w:color="auto" w:fill="000080"/>
    </w:pPr>
    <w:rPr>
      <w:rFonts w:ascii="Tahoma" w:hAnsi="Tahoma" w:cs="Tahoma"/>
      <w:sz w:val="20"/>
      <w:szCs w:val="20"/>
    </w:rPr>
  </w:style>
  <w:style w:type="character" w:customStyle="1" w:styleId="ExplorateurdedocumentsCar">
    <w:name w:val="Explorateur de documents Car"/>
    <w:basedOn w:val="Policepardfaut"/>
    <w:link w:val="Explorateurdedocuments"/>
    <w:rsid w:val="00E25029"/>
    <w:rPr>
      <w:rFonts w:ascii="Tahoma" w:hAnsi="Tahoma" w:cs="Tahoma"/>
      <w:shd w:val="clear" w:color="auto" w:fill="000080"/>
    </w:rPr>
  </w:style>
  <w:style w:type="character" w:customStyle="1" w:styleId="Saisiedelutilisateur">
    <w:name w:val="Saisie de l'utilisateur"/>
    <w:rsid w:val="00E25029"/>
    <w:rPr>
      <w:rFonts w:ascii="Arial" w:eastAsia="Courier New" w:hAnsi="Arial" w:cs="Courier New"/>
      <w:sz w:val="21"/>
    </w:rPr>
  </w:style>
  <w:style w:type="paragraph" w:customStyle="1" w:styleId="WW-Retraitcorpsdetexte2">
    <w:name w:val="WW-Retrait corps de texte 2"/>
    <w:basedOn w:val="Normal"/>
    <w:rsid w:val="00E25029"/>
    <w:pPr>
      <w:spacing w:after="120" w:line="360" w:lineRule="exact"/>
      <w:ind w:left="567" w:firstLine="1021"/>
      <w:jc w:val="both"/>
    </w:pPr>
    <w:rPr>
      <w:rFonts w:ascii="Helvetica" w:hAnsi="Helvetica"/>
      <w:snapToGrid w:val="0"/>
      <w:szCs w:val="24"/>
    </w:rPr>
  </w:style>
  <w:style w:type="character" w:customStyle="1" w:styleId="UserEntry">
    <w:name w:val="User Entry"/>
    <w:rsid w:val="00E25029"/>
    <w:rPr>
      <w:rFonts w:ascii="Arial" w:hAnsi="Arial"/>
      <w:noProof w:val="0"/>
      <w:sz w:val="21"/>
    </w:rPr>
  </w:style>
  <w:style w:type="table" w:styleId="Grilledutableau">
    <w:name w:val="Table Grid"/>
    <w:basedOn w:val="TableauNormal"/>
    <w:uiPriority w:val="59"/>
    <w:rsid w:val="00E2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Car12">
    <w:name w:val="Car Car12"/>
    <w:basedOn w:val="Policepardfaut"/>
    <w:semiHidden/>
    <w:locked/>
    <w:rsid w:val="00E25029"/>
    <w:rPr>
      <w:rFonts w:ascii="CG Times" w:hAnsi="CG Times"/>
      <w:sz w:val="26"/>
      <w:lang w:val="fr-FR" w:eastAsia="fr-FR" w:bidi="ar-SA"/>
    </w:rPr>
  </w:style>
  <w:style w:type="paragraph" w:customStyle="1" w:styleId="debut1">
    <w:name w:val="debut1"/>
    <w:basedOn w:val="Normal"/>
    <w:rsid w:val="00E25029"/>
    <w:pPr>
      <w:spacing w:after="100" w:afterAutospacing="1"/>
    </w:pPr>
    <w:rPr>
      <w:sz w:val="24"/>
      <w:szCs w:val="24"/>
    </w:rPr>
  </w:style>
  <w:style w:type="paragraph" w:customStyle="1" w:styleId="p0">
    <w:name w:val="p0"/>
    <w:basedOn w:val="Normal"/>
    <w:rsid w:val="00E25029"/>
    <w:pPr>
      <w:widowControl w:val="0"/>
      <w:tabs>
        <w:tab w:val="left" w:pos="720"/>
      </w:tabs>
      <w:snapToGrid w:val="0"/>
      <w:spacing w:line="240" w:lineRule="atLeast"/>
      <w:ind w:firstLine="360"/>
      <w:jc w:val="both"/>
    </w:pPr>
    <w:rPr>
      <w:rFonts w:ascii="Calibri" w:hAnsi="Calibri"/>
      <w:sz w:val="24"/>
      <w:lang w:val="en-US" w:eastAsia="en-US" w:bidi="en-US"/>
    </w:rPr>
  </w:style>
  <w:style w:type="paragraph" w:styleId="Sous-titre">
    <w:name w:val="Subtitle"/>
    <w:basedOn w:val="Normal"/>
    <w:next w:val="Normal"/>
    <w:link w:val="Sous-titreCar"/>
    <w:qFormat/>
    <w:rsid w:val="00E25029"/>
    <w:pPr>
      <w:spacing w:before="200" w:after="900"/>
      <w:jc w:val="right"/>
    </w:pPr>
    <w:rPr>
      <w:rFonts w:ascii="Calibri" w:hAnsi="Calibri"/>
      <w:i/>
      <w:iCs/>
      <w:sz w:val="24"/>
      <w:szCs w:val="24"/>
      <w:lang w:val="en-US" w:eastAsia="en-US" w:bidi="en-US"/>
    </w:rPr>
  </w:style>
  <w:style w:type="character" w:customStyle="1" w:styleId="Sous-titreCar">
    <w:name w:val="Sous-titre Car"/>
    <w:basedOn w:val="Policepardfaut"/>
    <w:link w:val="Sous-titre"/>
    <w:rsid w:val="00E25029"/>
    <w:rPr>
      <w:rFonts w:ascii="Calibri" w:hAnsi="Calibri"/>
      <w:i/>
      <w:iCs/>
      <w:sz w:val="24"/>
      <w:szCs w:val="24"/>
      <w:lang w:val="en-US" w:eastAsia="en-US" w:bidi="en-US"/>
    </w:rPr>
  </w:style>
  <w:style w:type="character" w:styleId="Accentuation">
    <w:name w:val="Emphasis"/>
    <w:uiPriority w:val="20"/>
    <w:qFormat/>
    <w:rsid w:val="00E25029"/>
    <w:rPr>
      <w:b/>
      <w:bCs/>
      <w:i/>
      <w:iCs/>
      <w:color w:val="5A5A5A"/>
    </w:rPr>
  </w:style>
  <w:style w:type="paragraph" w:styleId="Sansinterligne">
    <w:name w:val="No Spacing"/>
    <w:basedOn w:val="Normal"/>
    <w:link w:val="SansinterligneCar"/>
    <w:uiPriority w:val="1"/>
    <w:qFormat/>
    <w:rsid w:val="00E25029"/>
    <w:rPr>
      <w:rFonts w:ascii="Calibri" w:hAnsi="Calibri"/>
      <w:lang w:val="en-US" w:eastAsia="en-US" w:bidi="en-US"/>
    </w:rPr>
  </w:style>
  <w:style w:type="character" w:customStyle="1" w:styleId="SansinterligneCar">
    <w:name w:val="Sans interligne Car"/>
    <w:basedOn w:val="Policepardfaut"/>
    <w:link w:val="Sansinterligne"/>
    <w:rsid w:val="00E25029"/>
    <w:rPr>
      <w:rFonts w:ascii="Calibri" w:hAnsi="Calibri"/>
      <w:sz w:val="22"/>
      <w:szCs w:val="22"/>
      <w:lang w:val="en-US" w:eastAsia="en-US" w:bidi="en-US"/>
    </w:rPr>
  </w:style>
  <w:style w:type="paragraph" w:styleId="Citation">
    <w:name w:val="Quote"/>
    <w:basedOn w:val="Normal"/>
    <w:next w:val="Normal"/>
    <w:link w:val="CitationCar"/>
    <w:uiPriority w:val="29"/>
    <w:qFormat/>
    <w:rsid w:val="00E25029"/>
    <w:pPr>
      <w:ind w:firstLine="360"/>
    </w:pPr>
    <w:rPr>
      <w:rFonts w:ascii="Cambria" w:hAnsi="Cambria"/>
      <w:i/>
      <w:iCs/>
      <w:color w:val="5A5A5A"/>
      <w:lang w:val="en-US" w:eastAsia="en-US" w:bidi="en-US"/>
    </w:rPr>
  </w:style>
  <w:style w:type="character" w:customStyle="1" w:styleId="CitationCar">
    <w:name w:val="Citation Car"/>
    <w:basedOn w:val="Policepardfaut"/>
    <w:link w:val="Citation"/>
    <w:uiPriority w:val="29"/>
    <w:rsid w:val="00E25029"/>
    <w:rPr>
      <w:rFonts w:ascii="Cambria" w:hAnsi="Cambria"/>
      <w:i/>
      <w:iCs/>
      <w:color w:val="5A5A5A"/>
      <w:sz w:val="22"/>
      <w:szCs w:val="22"/>
      <w:lang w:val="en-US" w:eastAsia="en-US" w:bidi="en-US"/>
    </w:rPr>
  </w:style>
  <w:style w:type="paragraph" w:styleId="Citationintense">
    <w:name w:val="Intense Quote"/>
    <w:basedOn w:val="Normal"/>
    <w:next w:val="Normal"/>
    <w:link w:val="CitationintenseCar"/>
    <w:uiPriority w:val="30"/>
    <w:qFormat/>
    <w:rsid w:val="00E25029"/>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hAnsi="Cambria"/>
      <w:i/>
      <w:iCs/>
      <w:color w:val="FFFFFF"/>
      <w:sz w:val="24"/>
      <w:szCs w:val="24"/>
      <w:lang w:val="en-US" w:eastAsia="en-US" w:bidi="en-US"/>
    </w:rPr>
  </w:style>
  <w:style w:type="character" w:customStyle="1" w:styleId="CitationintenseCar">
    <w:name w:val="Citation intense Car"/>
    <w:basedOn w:val="Policepardfaut"/>
    <w:link w:val="Citationintense"/>
    <w:uiPriority w:val="30"/>
    <w:rsid w:val="00E25029"/>
    <w:rPr>
      <w:rFonts w:ascii="Cambria" w:hAnsi="Cambria"/>
      <w:i/>
      <w:iCs/>
      <w:color w:val="FFFFFF"/>
      <w:sz w:val="24"/>
      <w:szCs w:val="24"/>
      <w:shd w:val="clear" w:color="auto" w:fill="4F81BD"/>
      <w:lang w:val="en-US" w:eastAsia="en-US" w:bidi="en-US"/>
    </w:rPr>
  </w:style>
  <w:style w:type="character" w:styleId="Emphaseple">
    <w:name w:val="Subtle Emphasis"/>
    <w:uiPriority w:val="19"/>
    <w:qFormat/>
    <w:rsid w:val="00E25029"/>
    <w:rPr>
      <w:i/>
      <w:iCs/>
      <w:color w:val="5A5A5A"/>
    </w:rPr>
  </w:style>
  <w:style w:type="character" w:styleId="Emphaseintense">
    <w:name w:val="Intense Emphasis"/>
    <w:uiPriority w:val="21"/>
    <w:qFormat/>
    <w:rsid w:val="00E25029"/>
    <w:rPr>
      <w:b/>
      <w:bCs/>
      <w:i/>
      <w:iCs/>
      <w:color w:val="4F81BD"/>
      <w:sz w:val="22"/>
      <w:szCs w:val="22"/>
    </w:rPr>
  </w:style>
  <w:style w:type="character" w:styleId="Rfrenceple">
    <w:name w:val="Subtle Reference"/>
    <w:uiPriority w:val="31"/>
    <w:qFormat/>
    <w:rsid w:val="00E25029"/>
    <w:rPr>
      <w:color w:val="auto"/>
      <w:u w:val="single" w:color="9BBB59"/>
    </w:rPr>
  </w:style>
  <w:style w:type="character" w:styleId="Rfrenceintense">
    <w:name w:val="Intense Reference"/>
    <w:basedOn w:val="Policepardfaut"/>
    <w:uiPriority w:val="32"/>
    <w:qFormat/>
    <w:rsid w:val="00E25029"/>
    <w:rPr>
      <w:b/>
      <w:bCs/>
      <w:color w:val="76923C"/>
      <w:u w:val="single" w:color="9BBB59"/>
    </w:rPr>
  </w:style>
  <w:style w:type="character" w:styleId="Titredulivre">
    <w:name w:val="Book Title"/>
    <w:basedOn w:val="Policepardfaut"/>
    <w:uiPriority w:val="33"/>
    <w:qFormat/>
    <w:rsid w:val="00E25029"/>
    <w:rPr>
      <w:rFonts w:ascii="Cambria" w:eastAsia="Times New Roman" w:hAnsi="Cambria" w:cs="Times New Roman"/>
      <w:b/>
      <w:bCs/>
      <w:i/>
      <w:iCs/>
      <w:color w:val="auto"/>
    </w:rPr>
  </w:style>
  <w:style w:type="paragraph" w:styleId="En-ttedetabledesmatires">
    <w:name w:val="TOC Heading"/>
    <w:basedOn w:val="Titre1"/>
    <w:next w:val="Normal"/>
    <w:uiPriority w:val="39"/>
    <w:qFormat/>
    <w:rsid w:val="00E25029"/>
    <w:pPr>
      <w:keepNext w:val="0"/>
      <w:pBdr>
        <w:bottom w:val="single" w:sz="12" w:space="1" w:color="548DD4"/>
      </w:pBdr>
      <w:tabs>
        <w:tab w:val="num" w:pos="720"/>
      </w:tabs>
      <w:spacing w:before="240" w:after="120"/>
      <w:ind w:left="720" w:hanging="360"/>
      <w:jc w:val="center"/>
      <w:outlineLvl w:val="9"/>
    </w:pPr>
    <w:rPr>
      <w:rFonts w:ascii="Cambria" w:hAnsi="Cambria"/>
      <w:bCs/>
      <w:smallCaps/>
      <w:sz w:val="28"/>
      <w:szCs w:val="23"/>
      <w:lang w:eastAsia="en-US" w:bidi="en-US"/>
    </w:rPr>
  </w:style>
  <w:style w:type="table" w:styleId="Tableausimple1">
    <w:name w:val="Table Simple 1"/>
    <w:basedOn w:val="TableauNormal"/>
    <w:rsid w:val="00E25029"/>
    <w:pPr>
      <w:ind w:firstLine="360"/>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classique1">
    <w:name w:val="Table Classic 1"/>
    <w:basedOn w:val="TableauNormal"/>
    <w:rsid w:val="00E25029"/>
    <w:pPr>
      <w:ind w:firstLine="360"/>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CarCar">
    <w:name w:val="Car Car"/>
    <w:basedOn w:val="Policepardfaut"/>
    <w:semiHidden/>
    <w:locked/>
    <w:rsid w:val="00E25029"/>
    <w:rPr>
      <w:rFonts w:ascii="CG Times" w:hAnsi="CG Times"/>
      <w:sz w:val="26"/>
      <w:lang w:val="fr-FR" w:eastAsia="fr-FR" w:bidi="ar-SA"/>
    </w:rPr>
  </w:style>
  <w:style w:type="character" w:customStyle="1" w:styleId="CarCar10">
    <w:name w:val="Car Car10"/>
    <w:basedOn w:val="Policepardfaut"/>
    <w:rsid w:val="00E25029"/>
    <w:rPr>
      <w:rFonts w:ascii="Arial" w:hAnsi="Arial"/>
      <w:b/>
      <w:sz w:val="24"/>
      <w:lang w:val="fr-FR" w:eastAsia="fr-FR" w:bidi="ar-SA"/>
    </w:rPr>
  </w:style>
  <w:style w:type="character" w:customStyle="1" w:styleId="WW-Saisiedelutilisateur">
    <w:name w:val="WW-Saisie de l'utilisateur"/>
    <w:rsid w:val="00E25029"/>
    <w:rPr>
      <w:rFonts w:ascii="Arial" w:eastAsia="Courier New" w:hAnsi="Arial" w:cs="Courier New"/>
      <w:sz w:val="21"/>
    </w:rPr>
  </w:style>
  <w:style w:type="character" w:customStyle="1" w:styleId="NotedebasdepageCar1">
    <w:name w:val="Note de bas de page Car1"/>
    <w:aliases w:val="fn Car1,footnote text Car1,Footnotes Car1,Footnote ak Car1,single space Car1"/>
    <w:basedOn w:val="Policepardfaut"/>
    <w:uiPriority w:val="99"/>
    <w:semiHidden/>
    <w:rsid w:val="00E25029"/>
    <w:rPr>
      <w:rFonts w:ascii="Calibri" w:hAnsi="Calibri"/>
      <w:lang w:val="en-US" w:eastAsia="en-US" w:bidi="en-US"/>
    </w:rPr>
  </w:style>
  <w:style w:type="paragraph" w:customStyle="1" w:styleId="Sansinterligne1">
    <w:name w:val="Sans interligne1"/>
    <w:basedOn w:val="Normal"/>
    <w:qFormat/>
    <w:rsid w:val="00E25029"/>
    <w:rPr>
      <w:lang w:val="en-US" w:eastAsia="en-US" w:bidi="en-US"/>
    </w:rPr>
  </w:style>
  <w:style w:type="paragraph" w:customStyle="1" w:styleId="Grillemoyenne1-Accent21">
    <w:name w:val="Grille moyenne 1 - Accent 21"/>
    <w:basedOn w:val="Normal"/>
    <w:qFormat/>
    <w:rsid w:val="00E25029"/>
    <w:pPr>
      <w:ind w:left="720" w:firstLine="360"/>
      <w:contextualSpacing/>
    </w:pPr>
    <w:rPr>
      <w:rFonts w:ascii="Calibri" w:hAnsi="Calibri"/>
      <w:lang w:val="en-US" w:eastAsia="en-US" w:bidi="en-US"/>
    </w:rPr>
  </w:style>
  <w:style w:type="character" w:customStyle="1" w:styleId="Grillemoyenne2-Accent2Car">
    <w:name w:val="Grille moyenne 2 - Accent 2 Car"/>
    <w:link w:val="Grillemoyenne2-Accent21"/>
    <w:locked/>
    <w:rsid w:val="00E25029"/>
    <w:rPr>
      <w:rFonts w:ascii="Cambria" w:hAnsi="Cambria"/>
      <w:i/>
      <w:iCs/>
      <w:color w:val="5A5A5A"/>
    </w:rPr>
  </w:style>
  <w:style w:type="paragraph" w:customStyle="1" w:styleId="Grillemoyenne2-Accent21">
    <w:name w:val="Grille moyenne 2 - Accent 21"/>
    <w:basedOn w:val="Normal"/>
    <w:next w:val="Normal"/>
    <w:link w:val="Grillemoyenne2-Accent2Car"/>
    <w:qFormat/>
    <w:rsid w:val="00E25029"/>
    <w:pPr>
      <w:ind w:firstLine="360"/>
    </w:pPr>
    <w:rPr>
      <w:rFonts w:ascii="Cambria" w:hAnsi="Cambria"/>
      <w:i/>
      <w:iCs/>
      <w:color w:val="5A5A5A"/>
      <w:sz w:val="20"/>
      <w:szCs w:val="20"/>
    </w:rPr>
  </w:style>
  <w:style w:type="character" w:customStyle="1" w:styleId="Grillemoyenne3-Accent2Car">
    <w:name w:val="Grille moyenne 3 - Accent 2 Car"/>
    <w:link w:val="Grillemoyenne3-Accent21"/>
    <w:locked/>
    <w:rsid w:val="00E25029"/>
    <w:rPr>
      <w:rFonts w:ascii="Cambria" w:hAnsi="Cambria"/>
      <w:i/>
      <w:iCs/>
      <w:color w:val="FFFFFF"/>
      <w:sz w:val="24"/>
      <w:szCs w:val="24"/>
      <w:shd w:val="clear" w:color="auto" w:fill="4F81BD"/>
    </w:rPr>
  </w:style>
  <w:style w:type="paragraph" w:customStyle="1" w:styleId="Grillemoyenne3-Accent21">
    <w:name w:val="Grille moyenne 3 - Accent 21"/>
    <w:basedOn w:val="Normal"/>
    <w:next w:val="Normal"/>
    <w:link w:val="Grillemoyenne3-Accent2Car"/>
    <w:qFormat/>
    <w:rsid w:val="00E25029"/>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hAnsi="Cambria"/>
      <w:i/>
      <w:iCs/>
      <w:color w:val="FFFFFF"/>
      <w:sz w:val="24"/>
      <w:szCs w:val="24"/>
    </w:rPr>
  </w:style>
  <w:style w:type="paragraph" w:customStyle="1" w:styleId="En-ttedetabledesmatires1">
    <w:name w:val="En-tête de table des matières1"/>
    <w:basedOn w:val="Titre1"/>
    <w:next w:val="Normal"/>
    <w:qFormat/>
    <w:rsid w:val="00E25029"/>
    <w:pPr>
      <w:keepNext w:val="0"/>
      <w:pBdr>
        <w:bottom w:val="single" w:sz="12" w:space="1" w:color="548DD4"/>
      </w:pBdr>
      <w:spacing w:before="240" w:after="120"/>
      <w:ind w:left="360"/>
      <w:jc w:val="center"/>
      <w:outlineLvl w:val="9"/>
    </w:pPr>
    <w:rPr>
      <w:rFonts w:ascii="Calibri" w:hAnsi="Calibri"/>
      <w:bCs/>
      <w:smallCaps/>
      <w:sz w:val="22"/>
      <w:lang w:eastAsia="en-US" w:bidi="en-US"/>
    </w:rPr>
  </w:style>
  <w:style w:type="paragraph" w:customStyle="1" w:styleId="Default">
    <w:name w:val="Default"/>
    <w:uiPriority w:val="99"/>
    <w:rsid w:val="00E25029"/>
    <w:pPr>
      <w:autoSpaceDE w:val="0"/>
      <w:autoSpaceDN w:val="0"/>
      <w:adjustRightInd w:val="0"/>
    </w:pPr>
    <w:rPr>
      <w:color w:val="000000"/>
      <w:sz w:val="24"/>
      <w:szCs w:val="24"/>
    </w:rPr>
  </w:style>
  <w:style w:type="paragraph" w:customStyle="1" w:styleId="ListParagraph1">
    <w:name w:val="List Paragraph1"/>
    <w:basedOn w:val="Normal"/>
    <w:rsid w:val="00E25029"/>
    <w:pPr>
      <w:spacing w:after="200" w:line="276" w:lineRule="auto"/>
      <w:ind w:left="708"/>
    </w:pPr>
    <w:rPr>
      <w:rFonts w:ascii="Calibri" w:eastAsia="Calibri" w:hAnsi="Calibri"/>
    </w:rPr>
  </w:style>
  <w:style w:type="character" w:customStyle="1" w:styleId="Emphaseple1">
    <w:name w:val="Emphase pâle1"/>
    <w:qFormat/>
    <w:rsid w:val="00E25029"/>
    <w:rPr>
      <w:i/>
      <w:iCs/>
      <w:color w:val="5A5A5A"/>
    </w:rPr>
  </w:style>
  <w:style w:type="character" w:customStyle="1" w:styleId="Emphaseintense1">
    <w:name w:val="Emphase intense1"/>
    <w:qFormat/>
    <w:rsid w:val="00E25029"/>
    <w:rPr>
      <w:b/>
      <w:bCs/>
      <w:i/>
      <w:iCs/>
      <w:color w:val="4F81BD"/>
      <w:sz w:val="22"/>
      <w:szCs w:val="22"/>
    </w:rPr>
  </w:style>
  <w:style w:type="character" w:customStyle="1" w:styleId="Rfrenceple1">
    <w:name w:val="Référence pâle1"/>
    <w:qFormat/>
    <w:rsid w:val="00E25029"/>
    <w:rPr>
      <w:color w:val="auto"/>
      <w:u w:val="single" w:color="9BBB59"/>
    </w:rPr>
  </w:style>
  <w:style w:type="character" w:customStyle="1" w:styleId="Rfrenceintense1">
    <w:name w:val="Référence intense1"/>
    <w:qFormat/>
    <w:rsid w:val="00E25029"/>
    <w:rPr>
      <w:b/>
      <w:bCs/>
      <w:color w:val="76923C"/>
      <w:u w:val="single" w:color="9BBB59"/>
    </w:rPr>
  </w:style>
  <w:style w:type="character" w:customStyle="1" w:styleId="Titredulivre1">
    <w:name w:val="Titre du livre1"/>
    <w:qFormat/>
    <w:rsid w:val="00E25029"/>
    <w:rPr>
      <w:rFonts w:ascii="Cambria" w:eastAsia="Times New Roman" w:hAnsi="Cambria" w:cs="Times New Roman" w:hint="default"/>
      <w:b/>
      <w:bCs/>
      <w:i/>
      <w:iCs/>
      <w:color w:val="auto"/>
    </w:rPr>
  </w:style>
  <w:style w:type="character" w:customStyle="1" w:styleId="WW-Saisiedelutilisateur1">
    <w:name w:val="WW-Saisie de l'utilisateur1"/>
    <w:rsid w:val="00E25029"/>
    <w:rPr>
      <w:rFonts w:ascii="Arial" w:hAnsi="Arial"/>
      <w:sz w:val="21"/>
    </w:rPr>
  </w:style>
  <w:style w:type="paragraph" w:styleId="Notedefin">
    <w:name w:val="endnote text"/>
    <w:basedOn w:val="Normal"/>
    <w:link w:val="NotedefinCar"/>
    <w:rsid w:val="00E25029"/>
    <w:rPr>
      <w:sz w:val="20"/>
      <w:szCs w:val="20"/>
    </w:rPr>
  </w:style>
  <w:style w:type="character" w:customStyle="1" w:styleId="NotedefinCar">
    <w:name w:val="Note de fin Car"/>
    <w:basedOn w:val="Policepardfaut"/>
    <w:link w:val="Notedefin"/>
    <w:rsid w:val="00E25029"/>
  </w:style>
  <w:style w:type="character" w:styleId="Appeldenotedefin">
    <w:name w:val="endnote reference"/>
    <w:basedOn w:val="Policepardfaut"/>
    <w:rsid w:val="00E25029"/>
    <w:rPr>
      <w:vertAlign w:val="superscript"/>
    </w:rPr>
  </w:style>
  <w:style w:type="paragraph" w:customStyle="1" w:styleId="Corpsdetexte21">
    <w:name w:val="Corps de texte 21"/>
    <w:basedOn w:val="Normal"/>
    <w:rsid w:val="00E25029"/>
    <w:pPr>
      <w:jc w:val="both"/>
    </w:pPr>
    <w:rPr>
      <w:rFonts w:ascii="Arial Narrow" w:hAnsi="Arial Narrow"/>
      <w:b/>
      <w:sz w:val="24"/>
      <w:szCs w:val="20"/>
    </w:rPr>
  </w:style>
  <w:style w:type="paragraph" w:customStyle="1" w:styleId="Titre111">
    <w:name w:val="Titre 111"/>
    <w:basedOn w:val="Normal"/>
    <w:next w:val="Normal"/>
    <w:uiPriority w:val="99"/>
    <w:rsid w:val="00E25029"/>
    <w:pPr>
      <w:keepNext/>
      <w:widowControl w:val="0"/>
      <w:suppressAutoHyphens/>
      <w:autoSpaceDE w:val="0"/>
      <w:spacing w:before="227" w:after="227" w:line="360" w:lineRule="auto"/>
      <w:jc w:val="both"/>
    </w:pPr>
    <w:rPr>
      <w:rFonts w:ascii="Arial" w:eastAsia="Arial Unicode MS" w:hAnsi="Arial" w:cs="Tahoma"/>
      <w:sz w:val="24"/>
      <w:szCs w:val="24"/>
    </w:rPr>
  </w:style>
  <w:style w:type="paragraph" w:customStyle="1" w:styleId="Paragraphedeliste1">
    <w:name w:val="Paragraphe de liste1"/>
    <w:basedOn w:val="Normal"/>
    <w:uiPriority w:val="34"/>
    <w:qFormat/>
    <w:rsid w:val="00E25029"/>
    <w:pPr>
      <w:ind w:left="720"/>
      <w:contextualSpacing/>
    </w:pPr>
    <w:rPr>
      <w:sz w:val="24"/>
      <w:szCs w:val="24"/>
    </w:rPr>
  </w:style>
  <w:style w:type="character" w:customStyle="1" w:styleId="Heading1Char">
    <w:name w:val="Heading 1 Char"/>
    <w:basedOn w:val="Policepardfaut"/>
    <w:uiPriority w:val="9"/>
    <w:rsid w:val="00E25029"/>
    <w:rPr>
      <w:rFonts w:ascii="Cambria" w:eastAsia="Times New Roman" w:hAnsi="Cambria" w:cs="Times New Roman"/>
      <w:b/>
      <w:bCs/>
      <w:kern w:val="32"/>
      <w:sz w:val="32"/>
      <w:szCs w:val="32"/>
      <w:lang w:val="en-US" w:eastAsia="en-US"/>
    </w:rPr>
  </w:style>
  <w:style w:type="character" w:customStyle="1" w:styleId="Heading2Char">
    <w:name w:val="Heading 2 Char"/>
    <w:basedOn w:val="Policepardfaut"/>
    <w:uiPriority w:val="9"/>
    <w:semiHidden/>
    <w:rsid w:val="00E25029"/>
    <w:rPr>
      <w:rFonts w:ascii="Cambria" w:eastAsia="Times New Roman" w:hAnsi="Cambria" w:cs="Times New Roman"/>
      <w:b/>
      <w:bCs/>
      <w:i/>
      <w:iCs/>
      <w:sz w:val="28"/>
      <w:szCs w:val="28"/>
      <w:lang w:val="en-US" w:eastAsia="en-US"/>
    </w:rPr>
  </w:style>
  <w:style w:type="character" w:customStyle="1" w:styleId="Heading3Char">
    <w:name w:val="Heading 3 Char"/>
    <w:basedOn w:val="Policepardfaut"/>
    <w:uiPriority w:val="9"/>
    <w:semiHidden/>
    <w:rsid w:val="00E25029"/>
    <w:rPr>
      <w:rFonts w:ascii="Cambria" w:eastAsia="Times New Roman" w:hAnsi="Cambria" w:cs="Times New Roman"/>
      <w:b/>
      <w:bCs/>
      <w:sz w:val="26"/>
      <w:szCs w:val="26"/>
      <w:lang w:val="en-US" w:eastAsia="en-US"/>
    </w:rPr>
  </w:style>
  <w:style w:type="character" w:customStyle="1" w:styleId="Heading4Char">
    <w:name w:val="Heading 4 Char"/>
    <w:basedOn w:val="Policepardfaut"/>
    <w:uiPriority w:val="9"/>
    <w:semiHidden/>
    <w:rsid w:val="00E25029"/>
    <w:rPr>
      <w:rFonts w:ascii="Calibri" w:eastAsia="Times New Roman" w:hAnsi="Calibri" w:cs="Times New Roman"/>
      <w:b/>
      <w:bCs/>
      <w:sz w:val="28"/>
      <w:szCs w:val="28"/>
      <w:lang w:val="en-US" w:eastAsia="en-US"/>
    </w:rPr>
  </w:style>
  <w:style w:type="character" w:customStyle="1" w:styleId="Heading5Char">
    <w:name w:val="Heading 5 Char"/>
    <w:basedOn w:val="Policepardfaut"/>
    <w:uiPriority w:val="9"/>
    <w:semiHidden/>
    <w:rsid w:val="00E25029"/>
    <w:rPr>
      <w:rFonts w:ascii="Calibri" w:eastAsia="Times New Roman" w:hAnsi="Calibri" w:cs="Times New Roman"/>
      <w:b/>
      <w:bCs/>
      <w:i/>
      <w:iCs/>
      <w:sz w:val="26"/>
      <w:szCs w:val="26"/>
      <w:lang w:val="en-US" w:eastAsia="en-US"/>
    </w:rPr>
  </w:style>
  <w:style w:type="character" w:customStyle="1" w:styleId="Heading6Char">
    <w:name w:val="Heading 6 Char"/>
    <w:basedOn w:val="Policepardfaut"/>
    <w:uiPriority w:val="9"/>
    <w:semiHidden/>
    <w:rsid w:val="00E25029"/>
    <w:rPr>
      <w:rFonts w:ascii="Calibri" w:eastAsia="Times New Roman" w:hAnsi="Calibri" w:cs="Times New Roman"/>
      <w:b/>
      <w:bCs/>
      <w:lang w:val="en-US" w:eastAsia="en-US"/>
    </w:rPr>
  </w:style>
  <w:style w:type="character" w:customStyle="1" w:styleId="Heading7Char">
    <w:name w:val="Heading 7 Char"/>
    <w:basedOn w:val="Policepardfaut"/>
    <w:uiPriority w:val="9"/>
    <w:semiHidden/>
    <w:rsid w:val="00E25029"/>
    <w:rPr>
      <w:rFonts w:ascii="Calibri" w:eastAsia="Times New Roman" w:hAnsi="Calibri" w:cs="Times New Roman"/>
      <w:sz w:val="24"/>
      <w:szCs w:val="24"/>
      <w:lang w:val="en-US" w:eastAsia="en-US"/>
    </w:rPr>
  </w:style>
  <w:style w:type="character" w:customStyle="1" w:styleId="Heading8Char">
    <w:name w:val="Heading 8 Char"/>
    <w:basedOn w:val="Policepardfaut"/>
    <w:uiPriority w:val="9"/>
    <w:semiHidden/>
    <w:rsid w:val="00E25029"/>
    <w:rPr>
      <w:rFonts w:ascii="Calibri" w:eastAsia="Times New Roman" w:hAnsi="Calibri" w:cs="Times New Roman"/>
      <w:i/>
      <w:iCs/>
      <w:sz w:val="24"/>
      <w:szCs w:val="24"/>
      <w:lang w:val="en-US" w:eastAsia="en-US"/>
    </w:rPr>
  </w:style>
  <w:style w:type="character" w:customStyle="1" w:styleId="Heading9Char">
    <w:name w:val="Heading 9 Char"/>
    <w:basedOn w:val="Policepardfaut"/>
    <w:uiPriority w:val="9"/>
    <w:semiHidden/>
    <w:rsid w:val="00E25029"/>
    <w:rPr>
      <w:rFonts w:ascii="Cambria" w:eastAsia="Times New Roman" w:hAnsi="Cambria" w:cs="Times New Roman"/>
      <w:lang w:val="en-US" w:eastAsia="en-US"/>
    </w:rPr>
  </w:style>
  <w:style w:type="character" w:customStyle="1" w:styleId="TitleChar">
    <w:name w:val="Title Char"/>
    <w:basedOn w:val="Policepardfaut"/>
    <w:uiPriority w:val="10"/>
    <w:rsid w:val="00E25029"/>
    <w:rPr>
      <w:rFonts w:ascii="Cambria" w:eastAsia="Times New Roman" w:hAnsi="Cambria" w:cs="Times New Roman"/>
      <w:b/>
      <w:bCs/>
      <w:kern w:val="28"/>
      <w:sz w:val="32"/>
      <w:szCs w:val="32"/>
      <w:lang w:val="en-US" w:eastAsia="en-US"/>
    </w:rPr>
  </w:style>
  <w:style w:type="character" w:customStyle="1" w:styleId="BodyTextChar">
    <w:name w:val="Body Text Char"/>
    <w:basedOn w:val="Policepardfaut"/>
    <w:uiPriority w:val="99"/>
    <w:semiHidden/>
    <w:rsid w:val="00E25029"/>
    <w:rPr>
      <w:rFonts w:ascii="Calibri" w:hAnsi="Calibri" w:cs="Calibri"/>
      <w:lang w:val="en-US" w:eastAsia="en-US"/>
    </w:rPr>
  </w:style>
  <w:style w:type="character" w:customStyle="1" w:styleId="BodyTextIndentChar">
    <w:name w:val="Body Text Indent Char"/>
    <w:basedOn w:val="Policepardfaut"/>
    <w:uiPriority w:val="99"/>
    <w:semiHidden/>
    <w:rsid w:val="00E25029"/>
    <w:rPr>
      <w:rFonts w:ascii="Calibri" w:hAnsi="Calibri" w:cs="Calibri"/>
      <w:lang w:val="en-US" w:eastAsia="en-US"/>
    </w:rPr>
  </w:style>
  <w:style w:type="character" w:customStyle="1" w:styleId="BodyTextIndent2Char">
    <w:name w:val="Body Text Indent 2 Char"/>
    <w:basedOn w:val="Policepardfaut"/>
    <w:uiPriority w:val="99"/>
    <w:semiHidden/>
    <w:rsid w:val="00E25029"/>
    <w:rPr>
      <w:rFonts w:ascii="Calibri" w:hAnsi="Calibri" w:cs="Calibri"/>
      <w:lang w:val="en-US" w:eastAsia="en-US"/>
    </w:rPr>
  </w:style>
  <w:style w:type="character" w:customStyle="1" w:styleId="BodyText3Char">
    <w:name w:val="Body Text 3 Char"/>
    <w:basedOn w:val="Policepardfaut"/>
    <w:uiPriority w:val="99"/>
    <w:semiHidden/>
    <w:rsid w:val="00E25029"/>
    <w:rPr>
      <w:rFonts w:ascii="Calibri" w:hAnsi="Calibri" w:cs="Calibri"/>
      <w:sz w:val="16"/>
      <w:szCs w:val="16"/>
      <w:lang w:val="en-US" w:eastAsia="en-US"/>
    </w:rPr>
  </w:style>
  <w:style w:type="character" w:customStyle="1" w:styleId="BodyTextIndent3Char">
    <w:name w:val="Body Text Indent 3 Char"/>
    <w:basedOn w:val="Policepardfaut"/>
    <w:uiPriority w:val="99"/>
    <w:semiHidden/>
    <w:rsid w:val="00E25029"/>
    <w:rPr>
      <w:rFonts w:ascii="Calibri" w:hAnsi="Calibri" w:cs="Calibri"/>
      <w:sz w:val="16"/>
      <w:szCs w:val="16"/>
      <w:lang w:val="en-US" w:eastAsia="en-US"/>
    </w:rPr>
  </w:style>
  <w:style w:type="character" w:customStyle="1" w:styleId="FootnoteTextChar">
    <w:name w:val="Footnote Text Char"/>
    <w:aliases w:val="fn Char,Footnotes Char,Footnote ak Char,single space Char"/>
    <w:basedOn w:val="Policepardfaut"/>
    <w:semiHidden/>
    <w:locked/>
    <w:rsid w:val="00E25029"/>
    <w:rPr>
      <w:rFonts w:ascii="Calibri" w:hAnsi="Calibri" w:cs="Calibri"/>
      <w:lang w:val="en-US" w:eastAsia="en-US"/>
    </w:rPr>
  </w:style>
  <w:style w:type="character" w:customStyle="1" w:styleId="HeaderChar">
    <w:name w:val="Header Char"/>
    <w:basedOn w:val="Policepardfaut"/>
    <w:uiPriority w:val="99"/>
    <w:semiHidden/>
    <w:rsid w:val="00E25029"/>
    <w:rPr>
      <w:rFonts w:ascii="Calibri" w:hAnsi="Calibri" w:cs="Calibri"/>
      <w:lang w:val="en-US" w:eastAsia="en-US"/>
    </w:rPr>
  </w:style>
  <w:style w:type="character" w:customStyle="1" w:styleId="FooterChar">
    <w:name w:val="Footer Char"/>
    <w:basedOn w:val="Policepardfaut"/>
    <w:uiPriority w:val="99"/>
    <w:semiHidden/>
    <w:rsid w:val="00E25029"/>
    <w:rPr>
      <w:rFonts w:ascii="Calibri" w:hAnsi="Calibri" w:cs="Calibri"/>
      <w:lang w:val="en-US" w:eastAsia="en-US"/>
    </w:rPr>
  </w:style>
  <w:style w:type="character" w:customStyle="1" w:styleId="BodyText2Char">
    <w:name w:val="Body Text 2 Char"/>
    <w:basedOn w:val="Policepardfaut"/>
    <w:uiPriority w:val="99"/>
    <w:semiHidden/>
    <w:rsid w:val="00E25029"/>
    <w:rPr>
      <w:rFonts w:ascii="Calibri" w:hAnsi="Calibri" w:cs="Calibri"/>
      <w:lang w:val="en-US" w:eastAsia="en-US"/>
    </w:rPr>
  </w:style>
  <w:style w:type="character" w:customStyle="1" w:styleId="PlainTextChar">
    <w:name w:val="Plain Text Char"/>
    <w:basedOn w:val="Policepardfaut"/>
    <w:uiPriority w:val="99"/>
    <w:semiHidden/>
    <w:rsid w:val="00E25029"/>
    <w:rPr>
      <w:rFonts w:ascii="Courier New" w:hAnsi="Courier New" w:cs="Courier New"/>
      <w:sz w:val="20"/>
      <w:szCs w:val="20"/>
      <w:lang w:val="en-US" w:eastAsia="en-US"/>
    </w:rPr>
  </w:style>
  <w:style w:type="character" w:customStyle="1" w:styleId="CommentTextChar">
    <w:name w:val="Comment Text Char"/>
    <w:basedOn w:val="Policepardfaut"/>
    <w:uiPriority w:val="99"/>
    <w:semiHidden/>
    <w:rsid w:val="00E25029"/>
    <w:rPr>
      <w:rFonts w:ascii="Calibri" w:hAnsi="Calibri" w:cs="Calibri"/>
      <w:sz w:val="20"/>
      <w:szCs w:val="20"/>
      <w:lang w:val="en-US" w:eastAsia="en-US"/>
    </w:rPr>
  </w:style>
  <w:style w:type="character" w:customStyle="1" w:styleId="DocumentMapChar">
    <w:name w:val="Document Map Char"/>
    <w:basedOn w:val="Policepardfaut"/>
    <w:uiPriority w:val="99"/>
    <w:semiHidden/>
    <w:rsid w:val="00E25029"/>
    <w:rPr>
      <w:rFonts w:ascii="Times New Roman" w:hAnsi="Times New Roman"/>
      <w:sz w:val="0"/>
      <w:szCs w:val="0"/>
      <w:lang w:val="en-US" w:eastAsia="en-US"/>
    </w:rPr>
  </w:style>
  <w:style w:type="character" w:customStyle="1" w:styleId="BalloonTextChar">
    <w:name w:val="Balloon Text Char"/>
    <w:basedOn w:val="Policepardfaut"/>
    <w:uiPriority w:val="99"/>
    <w:semiHidden/>
    <w:rsid w:val="00E25029"/>
    <w:rPr>
      <w:rFonts w:ascii="Times New Roman" w:hAnsi="Times New Roman"/>
      <w:sz w:val="0"/>
      <w:szCs w:val="0"/>
      <w:lang w:val="en-US" w:eastAsia="en-US"/>
    </w:rPr>
  </w:style>
  <w:style w:type="character" w:customStyle="1" w:styleId="CommentSubjectChar">
    <w:name w:val="Comment Subject Char"/>
    <w:basedOn w:val="CommentaireCar"/>
    <w:uiPriority w:val="99"/>
    <w:semiHidden/>
    <w:rsid w:val="00E25029"/>
    <w:rPr>
      <w:rFonts w:ascii="Calibri" w:hAnsi="Calibri" w:cs="Calibri"/>
      <w:b/>
      <w:bCs/>
      <w:sz w:val="20"/>
      <w:szCs w:val="20"/>
      <w:lang w:val="en-US" w:eastAsia="en-US"/>
    </w:rPr>
  </w:style>
  <w:style w:type="character" w:customStyle="1" w:styleId="SubtitleChar">
    <w:name w:val="Subtitle Char"/>
    <w:basedOn w:val="Policepardfaut"/>
    <w:uiPriority w:val="11"/>
    <w:rsid w:val="00E25029"/>
    <w:rPr>
      <w:rFonts w:ascii="Cambria" w:eastAsia="Times New Roman" w:hAnsi="Cambria" w:cs="Times New Roman"/>
      <w:sz w:val="24"/>
      <w:szCs w:val="24"/>
      <w:lang w:val="en-US" w:eastAsia="en-US"/>
    </w:rPr>
  </w:style>
  <w:style w:type="paragraph" w:customStyle="1" w:styleId="ColorfulList-Accent11">
    <w:name w:val="Colorful List - Accent 11"/>
    <w:basedOn w:val="Normal"/>
    <w:uiPriority w:val="99"/>
    <w:rsid w:val="00E25029"/>
    <w:pPr>
      <w:spacing w:after="200" w:line="276" w:lineRule="auto"/>
      <w:ind w:left="708"/>
    </w:pPr>
    <w:rPr>
      <w:rFonts w:ascii="Calibri" w:hAnsi="Calibri" w:cs="Calibri"/>
    </w:rPr>
  </w:style>
  <w:style w:type="character" w:customStyle="1" w:styleId="EndnoteTextChar">
    <w:name w:val="Endnote Text Char"/>
    <w:basedOn w:val="Policepardfaut"/>
    <w:uiPriority w:val="99"/>
    <w:semiHidden/>
    <w:rsid w:val="00E25029"/>
    <w:rPr>
      <w:rFonts w:ascii="Calibri" w:hAnsi="Calibri" w:cs="Calibri"/>
      <w:sz w:val="20"/>
      <w:szCs w:val="20"/>
      <w:lang w:val="en-US" w:eastAsia="en-US"/>
    </w:rPr>
  </w:style>
  <w:style w:type="character" w:customStyle="1" w:styleId="fonttitle">
    <w:name w:val="fonttitle"/>
    <w:rsid w:val="00E25029"/>
  </w:style>
  <w:style w:type="paragraph" w:customStyle="1" w:styleId="Listecouleur-Accent11">
    <w:name w:val="Liste couleur - Accent 11"/>
    <w:basedOn w:val="Normal"/>
    <w:uiPriority w:val="34"/>
    <w:qFormat/>
    <w:rsid w:val="00E25029"/>
    <w:pPr>
      <w:spacing w:after="200" w:line="276" w:lineRule="auto"/>
      <w:ind w:left="720"/>
    </w:pPr>
    <w:rPr>
      <w:rFonts w:ascii="Calibri" w:hAnsi="Calibri" w:cs="Calibri"/>
      <w:lang w:eastAsia="en-US"/>
    </w:rPr>
  </w:style>
  <w:style w:type="character" w:customStyle="1" w:styleId="apple-style-span">
    <w:name w:val="apple-style-span"/>
    <w:rsid w:val="00E25029"/>
  </w:style>
  <w:style w:type="character" w:customStyle="1" w:styleId="apple-converted-space">
    <w:name w:val="apple-converted-space"/>
    <w:rsid w:val="00E25029"/>
  </w:style>
  <w:style w:type="paragraph" w:customStyle="1" w:styleId="bodytext">
    <w:name w:val="bodytext"/>
    <w:basedOn w:val="Normal"/>
    <w:rsid w:val="00E25029"/>
    <w:pPr>
      <w:spacing w:beforeLines="1" w:afterLines="1"/>
    </w:pPr>
    <w:rPr>
      <w:rFonts w:ascii="Times" w:hAnsi="Times" w:cs="Times"/>
      <w:sz w:val="20"/>
      <w:szCs w:val="20"/>
    </w:rPr>
  </w:style>
  <w:style w:type="paragraph" w:customStyle="1" w:styleId="Grillemoyenne1-Accent22">
    <w:name w:val="Grille moyenne 1 - Accent 22"/>
    <w:basedOn w:val="Normal"/>
    <w:qFormat/>
    <w:rsid w:val="00E25029"/>
    <w:pPr>
      <w:ind w:left="708"/>
    </w:pPr>
    <w:rPr>
      <w:sz w:val="24"/>
      <w:szCs w:val="24"/>
    </w:rPr>
  </w:style>
  <w:style w:type="paragraph" w:customStyle="1" w:styleId="TOCHeading1">
    <w:name w:val="TOC Heading1"/>
    <w:basedOn w:val="Titre1"/>
    <w:next w:val="Normal"/>
    <w:uiPriority w:val="99"/>
    <w:rsid w:val="00E25029"/>
    <w:pPr>
      <w:keepLines/>
      <w:spacing w:after="0" w:line="276" w:lineRule="auto"/>
      <w:outlineLvl w:val="9"/>
    </w:pPr>
    <w:rPr>
      <w:rFonts w:ascii="Calibri" w:hAnsi="Calibri" w:cs="Calibri"/>
      <w:bCs/>
      <w:color w:val="365F91"/>
      <w:sz w:val="28"/>
      <w:szCs w:val="28"/>
      <w:lang w:val="en-US"/>
    </w:rPr>
  </w:style>
  <w:style w:type="character" w:customStyle="1" w:styleId="CarCar15">
    <w:name w:val="Car Car15"/>
    <w:basedOn w:val="Policepardfaut"/>
    <w:uiPriority w:val="99"/>
    <w:locked/>
    <w:rsid w:val="00E25029"/>
    <w:rPr>
      <w:rFonts w:ascii="Times New Roman" w:hAnsi="Times New Roman" w:cs="Times New Roman"/>
      <w:b/>
      <w:bCs/>
      <w:sz w:val="32"/>
      <w:szCs w:val="32"/>
    </w:rPr>
  </w:style>
  <w:style w:type="character" w:customStyle="1" w:styleId="CarCar19">
    <w:name w:val="Car Car19"/>
    <w:basedOn w:val="Policepardfaut"/>
    <w:uiPriority w:val="99"/>
    <w:locked/>
    <w:rsid w:val="00E25029"/>
    <w:rPr>
      <w:rFonts w:ascii="Cambria" w:hAnsi="Cambria" w:cs="Cambria"/>
      <w:i/>
      <w:iCs/>
      <w:color w:val="4F81BD"/>
      <w:sz w:val="20"/>
      <w:szCs w:val="20"/>
    </w:rPr>
  </w:style>
  <w:style w:type="paragraph" w:styleId="Rvision">
    <w:name w:val="Revision"/>
    <w:hidden/>
    <w:uiPriority w:val="99"/>
    <w:semiHidden/>
    <w:rsid w:val="00E25029"/>
    <w:rPr>
      <w:sz w:val="22"/>
      <w:szCs w:val="22"/>
    </w:rPr>
  </w:style>
  <w:style w:type="paragraph" w:customStyle="1" w:styleId="yiv201242569msonormal">
    <w:name w:val="yiv201242569msonormal"/>
    <w:basedOn w:val="Normal"/>
    <w:rsid w:val="00E25029"/>
    <w:pPr>
      <w:spacing w:before="100" w:beforeAutospacing="1" w:after="100" w:afterAutospacing="1"/>
    </w:pPr>
    <w:rPr>
      <w:rFonts w:eastAsia="Calibri"/>
      <w:sz w:val="24"/>
      <w:szCs w:val="24"/>
    </w:rPr>
  </w:style>
  <w:style w:type="paragraph" w:customStyle="1" w:styleId="cocozof1">
    <w:name w:val="cocozof 1"/>
    <w:basedOn w:val="Titre1"/>
    <w:link w:val="cocozof1Car"/>
    <w:rsid w:val="00E25029"/>
    <w:pPr>
      <w:pBdr>
        <w:bottom w:val="single" w:sz="12" w:space="1" w:color="548DD4"/>
      </w:pBdr>
      <w:spacing w:before="0" w:after="120" w:line="276" w:lineRule="auto"/>
    </w:pPr>
    <w:rPr>
      <w:rFonts w:ascii="Calibri" w:hAnsi="Calibri"/>
      <w:bCs/>
      <w:sz w:val="20"/>
      <w:szCs w:val="20"/>
    </w:rPr>
  </w:style>
  <w:style w:type="paragraph" w:customStyle="1" w:styleId="cocozof2">
    <w:name w:val="cocozof 2"/>
    <w:basedOn w:val="Titre2"/>
    <w:rsid w:val="00E25029"/>
    <w:pPr>
      <w:pBdr>
        <w:bottom w:val="single" w:sz="8" w:space="1" w:color="4F81BD"/>
      </w:pBdr>
      <w:spacing w:before="200" w:after="80" w:line="276" w:lineRule="auto"/>
    </w:pPr>
    <w:rPr>
      <w:rFonts w:ascii="Calibri" w:hAnsi="Calibri"/>
      <w:b/>
      <w:sz w:val="20"/>
      <w:szCs w:val="20"/>
    </w:rPr>
  </w:style>
  <w:style w:type="paragraph" w:customStyle="1" w:styleId="Paragraphedeliste2">
    <w:name w:val="Paragraphe de liste2"/>
    <w:basedOn w:val="Normal"/>
    <w:qFormat/>
    <w:rsid w:val="00242F56"/>
    <w:pPr>
      <w:spacing w:after="200" w:line="276" w:lineRule="auto"/>
      <w:ind w:left="708"/>
    </w:pPr>
    <w:rPr>
      <w:rFonts w:ascii="Calibri" w:eastAsia="Calibri" w:hAnsi="Calibri"/>
    </w:rPr>
  </w:style>
  <w:style w:type="paragraph" w:customStyle="1" w:styleId="Listecouleur-Accent12">
    <w:name w:val="Liste couleur - Accent 12"/>
    <w:basedOn w:val="Normal"/>
    <w:uiPriority w:val="34"/>
    <w:qFormat/>
    <w:rsid w:val="00242F56"/>
    <w:pPr>
      <w:spacing w:after="200" w:line="276" w:lineRule="auto"/>
      <w:ind w:left="720"/>
      <w:contextualSpacing/>
    </w:pPr>
    <w:rPr>
      <w:rFonts w:ascii="Calibri" w:hAnsi="Calibri"/>
    </w:rPr>
  </w:style>
  <w:style w:type="character" w:customStyle="1" w:styleId="FootnoteTextChar1">
    <w:name w:val="Footnote Text Char1"/>
    <w:aliases w:val="fn Char1,Footnotes Char1,Footnote ak Char1,single space Char1"/>
    <w:basedOn w:val="Policepardfaut"/>
    <w:locked/>
    <w:rsid w:val="00242F56"/>
    <w:rPr>
      <w:rFonts w:cs="Times New Roman"/>
      <w:lang w:val="fr-FR" w:eastAsia="fr-FR"/>
    </w:rPr>
  </w:style>
  <w:style w:type="character" w:customStyle="1" w:styleId="HeaderChar1">
    <w:name w:val="Header Char1"/>
    <w:basedOn w:val="Policepardfaut"/>
    <w:locked/>
    <w:rsid w:val="00242F56"/>
    <w:rPr>
      <w:rFonts w:cs="Times New Roman"/>
      <w:sz w:val="22"/>
      <w:szCs w:val="22"/>
      <w:lang w:val="fr-FR" w:eastAsia="fr-FR"/>
    </w:rPr>
  </w:style>
  <w:style w:type="paragraph" w:customStyle="1" w:styleId="Titre12">
    <w:name w:val="Titre 12"/>
    <w:basedOn w:val="Normal1"/>
    <w:next w:val="Normal1"/>
    <w:rsid w:val="00B40839"/>
    <w:pPr>
      <w:keepNext/>
      <w:spacing w:before="0" w:after="0" w:line="240" w:lineRule="auto"/>
      <w:jc w:val="left"/>
    </w:pPr>
    <w:rPr>
      <w:rFonts w:ascii="Times New Roman" w:eastAsia="Lucida Sans Unicode" w:hAnsi="Times New Roman"/>
      <w:sz w:val="24"/>
      <w:szCs w:val="24"/>
    </w:rPr>
  </w:style>
  <w:style w:type="paragraph" w:customStyle="1" w:styleId="Paragraphedeliste3">
    <w:name w:val="Paragraphe de liste3"/>
    <w:basedOn w:val="Normal"/>
    <w:qFormat/>
    <w:rsid w:val="003D0734"/>
    <w:pPr>
      <w:spacing w:after="200" w:line="276" w:lineRule="auto"/>
      <w:ind w:left="708"/>
    </w:pPr>
    <w:rPr>
      <w:rFonts w:ascii="Calibri" w:eastAsia="Calibri" w:hAnsi="Calibri"/>
    </w:rPr>
  </w:style>
  <w:style w:type="paragraph" w:customStyle="1" w:styleId="Grilleclaire-Accent31">
    <w:name w:val="Grille claire - Accent 31"/>
    <w:basedOn w:val="Normal"/>
    <w:uiPriority w:val="34"/>
    <w:qFormat/>
    <w:rsid w:val="00AF1B6E"/>
    <w:pPr>
      <w:ind w:left="720"/>
      <w:contextualSpacing/>
      <w:jc w:val="both"/>
    </w:pPr>
    <w:rPr>
      <w:szCs w:val="20"/>
      <w:lang w:bidi="en-US"/>
    </w:rPr>
  </w:style>
  <w:style w:type="paragraph" w:customStyle="1" w:styleId="Standard">
    <w:name w:val="Standard"/>
    <w:rsid w:val="00A17AC5"/>
    <w:pPr>
      <w:widowControl w:val="0"/>
      <w:suppressAutoHyphens/>
      <w:autoSpaceDN w:val="0"/>
      <w:spacing w:before="227" w:after="227" w:line="360" w:lineRule="auto"/>
      <w:jc w:val="both"/>
      <w:textAlignment w:val="baseline"/>
    </w:pPr>
    <w:rPr>
      <w:rFonts w:ascii="Arial" w:eastAsia="Arial Unicode MS" w:hAnsi="Arial" w:cs="Tahoma"/>
      <w:kern w:val="3"/>
      <w:sz w:val="21"/>
      <w:szCs w:val="24"/>
      <w:lang w:bidi="fr-FR"/>
    </w:rPr>
  </w:style>
  <w:style w:type="paragraph" w:customStyle="1" w:styleId="Textbodyindent">
    <w:name w:val="Text body indent"/>
    <w:basedOn w:val="Standard"/>
    <w:rsid w:val="00A17AC5"/>
    <w:pPr>
      <w:ind w:firstLine="1304"/>
    </w:pPr>
    <w:rPr>
      <w:rFonts w:ascii="Times New Roman" w:eastAsia="Times New Roman" w:hAnsi="Times New Roman" w:cs="Times New Roman"/>
    </w:rPr>
  </w:style>
  <w:style w:type="paragraph" w:customStyle="1" w:styleId="Titre21">
    <w:name w:val="Titre 21"/>
    <w:next w:val="Standard"/>
    <w:rsid w:val="00A17AC5"/>
    <w:pPr>
      <w:widowControl w:val="0"/>
      <w:suppressAutoHyphens/>
      <w:autoSpaceDN w:val="0"/>
      <w:spacing w:before="227"/>
      <w:textAlignment w:val="baseline"/>
    </w:pPr>
    <w:rPr>
      <w:rFonts w:ascii="Arial" w:eastAsia="Arial Unicode MS" w:hAnsi="Arial" w:cs="Tahoma"/>
      <w:b/>
      <w:bCs/>
      <w:i/>
      <w:iCs/>
      <w:kern w:val="3"/>
      <w:sz w:val="28"/>
      <w:szCs w:val="28"/>
      <w:lang w:bidi="fr-FR"/>
    </w:rPr>
  </w:style>
  <w:style w:type="paragraph" w:customStyle="1" w:styleId="Footnote">
    <w:name w:val="Footnote"/>
    <w:basedOn w:val="Standard"/>
    <w:rsid w:val="00A17AC5"/>
    <w:pPr>
      <w:suppressLineNumbers/>
      <w:spacing w:before="113" w:after="113" w:line="240" w:lineRule="auto"/>
      <w:jc w:val="left"/>
    </w:pPr>
    <w:rPr>
      <w:sz w:val="20"/>
      <w:szCs w:val="20"/>
    </w:rPr>
  </w:style>
  <w:style w:type="paragraph" w:customStyle="1" w:styleId="texte">
    <w:name w:val="texte"/>
    <w:basedOn w:val="Normal"/>
    <w:rsid w:val="00137017"/>
    <w:pPr>
      <w:overflowPunct w:val="0"/>
      <w:autoSpaceDE w:val="0"/>
      <w:autoSpaceDN w:val="0"/>
      <w:adjustRightInd w:val="0"/>
      <w:spacing w:after="180" w:line="260" w:lineRule="exact"/>
      <w:ind w:left="2268" w:firstLine="709"/>
      <w:jc w:val="both"/>
    </w:pPr>
    <w:rPr>
      <w:spacing w:val="12"/>
      <w:szCs w:val="20"/>
    </w:rPr>
  </w:style>
  <w:style w:type="paragraph" w:customStyle="1" w:styleId="SingleTxt">
    <w:name w:val="__Single Txt"/>
    <w:basedOn w:val="Normal"/>
    <w:rsid w:val="003B3B63"/>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spacing w:val="4"/>
      <w:w w:val="103"/>
      <w:kern w:val="14"/>
      <w:sz w:val="20"/>
      <w:szCs w:val="20"/>
      <w:lang w:val="en-GB"/>
    </w:rPr>
  </w:style>
  <w:style w:type="character" w:customStyle="1" w:styleId="st1">
    <w:name w:val="st1"/>
    <w:rsid w:val="003B3B63"/>
  </w:style>
  <w:style w:type="numbering" w:customStyle="1" w:styleId="Aucuneliste1">
    <w:name w:val="Aucune liste1"/>
    <w:next w:val="Aucuneliste"/>
    <w:uiPriority w:val="99"/>
    <w:semiHidden/>
    <w:unhideWhenUsed/>
    <w:rsid w:val="00767CD8"/>
  </w:style>
  <w:style w:type="table" w:customStyle="1" w:styleId="Grilledutableau1">
    <w:name w:val="Grille du tableau1"/>
    <w:basedOn w:val="TableauNormal"/>
    <w:next w:val="Grilledutableau"/>
    <w:uiPriority w:val="59"/>
    <w:rsid w:val="00767CD8"/>
    <w:rPr>
      <w:rFonts w:ascii="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imple11">
    <w:name w:val="Simple 11"/>
    <w:basedOn w:val="TableauNormal"/>
    <w:next w:val="Tableausimple1"/>
    <w:rsid w:val="00767CD8"/>
    <w:pPr>
      <w:ind w:firstLine="360"/>
    </w:pPr>
    <w:rPr>
      <w:rFonts w:ascii="Calibri" w:hAnsi="Calibri" w:cs="Calibri"/>
    </w:rPr>
    <w:tblPr>
      <w:tblBorders>
        <w:top w:val="single" w:sz="12" w:space="0" w:color="008000"/>
        <w:bottom w:val="single" w:sz="12" w:space="0" w:color="008000"/>
      </w:tblBorders>
    </w:tblPr>
    <w:tblStylePr w:type="firstRow">
      <w:rPr>
        <w:rFonts w:cs="SimSun"/>
      </w:rPr>
      <w:tblPr/>
      <w:tcPr>
        <w:tcBorders>
          <w:bottom w:val="single" w:sz="6" w:space="0" w:color="008000"/>
          <w:tl2br w:val="none" w:sz="0" w:space="0" w:color="auto"/>
          <w:tr2bl w:val="none" w:sz="0" w:space="0" w:color="auto"/>
        </w:tcBorders>
      </w:tcPr>
    </w:tblStylePr>
    <w:tblStylePr w:type="lastRow">
      <w:rPr>
        <w:rFonts w:cs="SimSun"/>
      </w:rPr>
      <w:tblPr/>
      <w:tcPr>
        <w:tcBorders>
          <w:top w:val="single" w:sz="6" w:space="0" w:color="008000"/>
          <w:tl2br w:val="none" w:sz="0" w:space="0" w:color="auto"/>
          <w:tr2bl w:val="none" w:sz="0" w:space="0" w:color="auto"/>
        </w:tcBorders>
      </w:tcPr>
    </w:tblStylePr>
  </w:style>
  <w:style w:type="table" w:customStyle="1" w:styleId="Classique11">
    <w:name w:val="Classique 11"/>
    <w:basedOn w:val="TableauNormal"/>
    <w:next w:val="Tableauclassique1"/>
    <w:rsid w:val="00767CD8"/>
    <w:pPr>
      <w:ind w:firstLine="360"/>
    </w:pPr>
    <w:rPr>
      <w:rFonts w:ascii="Calibri" w:hAnsi="Calibri" w:cs="Calibri"/>
    </w:rPr>
    <w:tblPr>
      <w:tblBorders>
        <w:top w:val="single" w:sz="12" w:space="0" w:color="000000"/>
        <w:bottom w:val="single" w:sz="12" w:space="0" w:color="000000"/>
      </w:tblBorders>
    </w:tblPr>
    <w:tblStylePr w:type="firstRow">
      <w:rPr>
        <w:rFonts w:cs="SimSun"/>
        <w:i/>
        <w:iCs/>
      </w:rPr>
      <w:tblPr/>
      <w:tcPr>
        <w:tcBorders>
          <w:bottom w:val="single" w:sz="6" w:space="0" w:color="000000"/>
          <w:tl2br w:val="none" w:sz="0" w:space="0" w:color="auto"/>
          <w:tr2bl w:val="none" w:sz="0" w:space="0" w:color="auto"/>
        </w:tcBorders>
      </w:tcPr>
    </w:tblStylePr>
    <w:tblStylePr w:type="lastRow">
      <w:rPr>
        <w:rFonts w:cs="SimSun"/>
        <w:color w:val="auto"/>
      </w:rPr>
      <w:tblPr/>
      <w:tcPr>
        <w:tcBorders>
          <w:top w:val="single" w:sz="6" w:space="0" w:color="000000"/>
          <w:tl2br w:val="none" w:sz="0" w:space="0" w:color="auto"/>
          <w:tr2bl w:val="none" w:sz="0" w:space="0" w:color="auto"/>
        </w:tcBorders>
      </w:tcPr>
    </w:tblStylePr>
    <w:tblStylePr w:type="firstCol">
      <w:rPr>
        <w:rFonts w:cs="SimSun"/>
      </w:rPr>
      <w:tblPr/>
      <w:tcPr>
        <w:tcBorders>
          <w:right w:val="single" w:sz="6" w:space="0" w:color="000000"/>
          <w:tl2br w:val="none" w:sz="0" w:space="0" w:color="auto"/>
          <w:tr2bl w:val="none" w:sz="0" w:space="0" w:color="auto"/>
        </w:tcBorders>
      </w:tcPr>
    </w:tblStylePr>
    <w:tblStylePr w:type="neCell">
      <w:rPr>
        <w:rFonts w:cs="SimSun"/>
        <w:b/>
        <w:bCs/>
        <w:i w:val="0"/>
        <w:iCs w:val="0"/>
      </w:rPr>
      <w:tblPr/>
      <w:tcPr>
        <w:tcBorders>
          <w:tl2br w:val="none" w:sz="0" w:space="0" w:color="auto"/>
          <w:tr2bl w:val="none" w:sz="0" w:space="0" w:color="auto"/>
        </w:tcBorders>
      </w:tcPr>
    </w:tblStylePr>
    <w:tblStylePr w:type="swCell">
      <w:rPr>
        <w:rFonts w:cs="SimSun"/>
        <w:b/>
        <w:bCs/>
      </w:rPr>
      <w:tblPr/>
      <w:tcPr>
        <w:tcBorders>
          <w:tl2br w:val="none" w:sz="0" w:space="0" w:color="auto"/>
          <w:tr2bl w:val="none" w:sz="0" w:space="0" w:color="auto"/>
        </w:tcBorders>
      </w:tcPr>
    </w:tblStylePr>
  </w:style>
  <w:style w:type="character" w:customStyle="1" w:styleId="FootnoteTextChar2">
    <w:name w:val="Footnote Text Char2"/>
    <w:aliases w:val="fn Char2,footnote text Char,Footnotes Char2,Footnote ak Char2,single space Char2"/>
    <w:semiHidden/>
    <w:locked/>
    <w:rsid w:val="00767CD8"/>
    <w:rPr>
      <w:rFonts w:ascii="Calibri" w:hAnsi="Calibri"/>
      <w:sz w:val="22"/>
      <w:lang w:val="en-US" w:eastAsia="en-US"/>
    </w:rPr>
  </w:style>
  <w:style w:type="table" w:customStyle="1" w:styleId="Grilledutableau11">
    <w:name w:val="Grille du tableau11"/>
    <w:basedOn w:val="TableauNormal"/>
    <w:next w:val="Grilledutableau"/>
    <w:uiPriority w:val="59"/>
    <w:rsid w:val="00767C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Paragraphe  revu Car,References Car"/>
    <w:basedOn w:val="Policepardfaut"/>
    <w:link w:val="Paragraphedeliste"/>
    <w:uiPriority w:val="34"/>
    <w:rsid w:val="00EC01AA"/>
    <w:rPr>
      <w:sz w:val="22"/>
      <w:szCs w:val="22"/>
    </w:rPr>
  </w:style>
  <w:style w:type="paragraph" w:customStyle="1" w:styleId="TitreNiveau1">
    <w:name w:val="Titre Niveau 1"/>
    <w:basedOn w:val="cocozof1"/>
    <w:link w:val="TitreNiveau1Car"/>
    <w:qFormat/>
    <w:rsid w:val="009040A0"/>
    <w:pPr>
      <w:numPr>
        <w:numId w:val="9"/>
      </w:numPr>
      <w:spacing w:before="120" w:line="240" w:lineRule="auto"/>
      <w:ind w:left="567" w:hanging="567"/>
      <w:jc w:val="both"/>
    </w:pPr>
    <w:rPr>
      <w:sz w:val="28"/>
      <w:szCs w:val="28"/>
    </w:rPr>
  </w:style>
  <w:style w:type="paragraph" w:customStyle="1" w:styleId="NormalJR">
    <w:name w:val="Normal JR"/>
    <w:basedOn w:val="Textebrut"/>
    <w:link w:val="NormalJRCar"/>
    <w:autoRedefine/>
    <w:uiPriority w:val="99"/>
    <w:qFormat/>
    <w:rsid w:val="00C16187"/>
    <w:pPr>
      <w:widowControl/>
      <w:spacing w:before="120" w:after="120"/>
      <w:jc w:val="both"/>
    </w:pPr>
    <w:rPr>
      <w:rFonts w:eastAsia="SimSun"/>
      <w:snapToGrid/>
      <w:color w:val="000000" w:themeColor="text1"/>
      <w:sz w:val="22"/>
      <w:szCs w:val="22"/>
    </w:rPr>
  </w:style>
  <w:style w:type="character" w:customStyle="1" w:styleId="cocozof1Car">
    <w:name w:val="cocozof 1 Car"/>
    <w:basedOn w:val="Titre1Car"/>
    <w:link w:val="cocozof1"/>
    <w:rsid w:val="009040A0"/>
    <w:rPr>
      <w:rFonts w:ascii="Calibri" w:hAnsi="Calibri"/>
      <w:b/>
      <w:bCs/>
      <w:sz w:val="36"/>
      <w:szCs w:val="22"/>
    </w:rPr>
  </w:style>
  <w:style w:type="character" w:customStyle="1" w:styleId="TitreNiveau1Car">
    <w:name w:val="Titre Niveau 1 Car"/>
    <w:basedOn w:val="cocozof1Car"/>
    <w:link w:val="TitreNiveau1"/>
    <w:rsid w:val="009040A0"/>
    <w:rPr>
      <w:rFonts w:ascii="Calibri" w:hAnsi="Calibri"/>
      <w:b/>
      <w:bCs/>
      <w:sz w:val="28"/>
      <w:szCs w:val="28"/>
    </w:rPr>
  </w:style>
  <w:style w:type="character" w:customStyle="1" w:styleId="NormalJRCar">
    <w:name w:val="Normal JR Car"/>
    <w:basedOn w:val="TextebrutCar"/>
    <w:link w:val="NormalJR"/>
    <w:uiPriority w:val="99"/>
    <w:locked/>
    <w:rsid w:val="00C16187"/>
    <w:rPr>
      <w:rFonts w:ascii="Courier New" w:eastAsia="SimSun" w:hAnsi="Courier New" w:cs="Courier New"/>
      <w:snapToGrid/>
      <w:color w:val="000000" w:themeColor="text1"/>
      <w:sz w:val="22"/>
      <w:szCs w:val="22"/>
    </w:rPr>
  </w:style>
  <w:style w:type="table" w:styleId="Listeclaire-Accent3">
    <w:name w:val="Light List Accent 3"/>
    <w:basedOn w:val="TableauNormal"/>
    <w:uiPriority w:val="61"/>
    <w:rsid w:val="0054732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5">
    <w:name w:val="Light List Accent 5"/>
    <w:basedOn w:val="TableauNormal"/>
    <w:uiPriority w:val="61"/>
    <w:rsid w:val="0054732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steclaire-Accent11">
    <w:name w:val="Liste claire - Accent 11"/>
    <w:basedOn w:val="TableauNormal"/>
    <w:uiPriority w:val="61"/>
    <w:rsid w:val="0054732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numbering" w:customStyle="1" w:styleId="Aucuneliste2">
    <w:name w:val="Aucune liste2"/>
    <w:next w:val="Aucuneliste"/>
    <w:uiPriority w:val="99"/>
    <w:semiHidden/>
    <w:unhideWhenUsed/>
    <w:rsid w:val="00313A19"/>
  </w:style>
  <w:style w:type="table" w:customStyle="1" w:styleId="Grilledutableau2">
    <w:name w:val="Grille du tableau2"/>
    <w:basedOn w:val="TableauNormal"/>
    <w:next w:val="Grilledutableau"/>
    <w:uiPriority w:val="59"/>
    <w:rsid w:val="00313A19"/>
    <w:rPr>
      <w:rFonts w:ascii="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simple11">
    <w:name w:val="Tableau simple 11"/>
    <w:basedOn w:val="TableauNormal"/>
    <w:next w:val="Tableausimple1"/>
    <w:rsid w:val="00313A19"/>
    <w:pPr>
      <w:ind w:firstLine="360"/>
    </w:pPr>
    <w:rPr>
      <w:rFonts w:ascii="Calibri" w:hAnsi="Calibri" w:cs="Calibri"/>
    </w:rPr>
    <w:tblPr>
      <w:tblBorders>
        <w:top w:val="single" w:sz="12" w:space="0" w:color="008000"/>
        <w:bottom w:val="single" w:sz="12" w:space="0" w:color="008000"/>
      </w:tblBorders>
    </w:tblPr>
    <w:tblStylePr w:type="firstRow">
      <w:rPr>
        <w:rFonts w:cs="SimSun"/>
      </w:rPr>
      <w:tblPr/>
      <w:tcPr>
        <w:tcBorders>
          <w:bottom w:val="single" w:sz="6" w:space="0" w:color="008000"/>
          <w:tl2br w:val="none" w:sz="0" w:space="0" w:color="auto"/>
          <w:tr2bl w:val="none" w:sz="0" w:space="0" w:color="auto"/>
        </w:tcBorders>
      </w:tcPr>
    </w:tblStylePr>
    <w:tblStylePr w:type="lastRow">
      <w:rPr>
        <w:rFonts w:cs="SimSun"/>
      </w:rPr>
      <w:tblPr/>
      <w:tcPr>
        <w:tcBorders>
          <w:top w:val="single" w:sz="6" w:space="0" w:color="008000"/>
          <w:tl2br w:val="none" w:sz="0" w:space="0" w:color="auto"/>
          <w:tr2bl w:val="none" w:sz="0" w:space="0" w:color="auto"/>
        </w:tcBorders>
      </w:tcPr>
    </w:tblStylePr>
  </w:style>
  <w:style w:type="table" w:customStyle="1" w:styleId="Tableauclassique11">
    <w:name w:val="Tableau classique 11"/>
    <w:basedOn w:val="TableauNormal"/>
    <w:next w:val="Tableauclassique1"/>
    <w:rsid w:val="00313A19"/>
    <w:pPr>
      <w:ind w:firstLine="360"/>
    </w:pPr>
    <w:rPr>
      <w:rFonts w:ascii="Calibri" w:hAnsi="Calibri" w:cs="Calibri"/>
    </w:rPr>
    <w:tblPr>
      <w:tblBorders>
        <w:top w:val="single" w:sz="12" w:space="0" w:color="000000"/>
        <w:bottom w:val="single" w:sz="12" w:space="0" w:color="000000"/>
      </w:tblBorders>
    </w:tblPr>
    <w:tblStylePr w:type="firstRow">
      <w:rPr>
        <w:rFonts w:cs="SimSun"/>
        <w:i/>
        <w:iCs/>
      </w:rPr>
      <w:tblPr/>
      <w:tcPr>
        <w:tcBorders>
          <w:bottom w:val="single" w:sz="6" w:space="0" w:color="000000"/>
          <w:tl2br w:val="none" w:sz="0" w:space="0" w:color="auto"/>
          <w:tr2bl w:val="none" w:sz="0" w:space="0" w:color="auto"/>
        </w:tcBorders>
      </w:tcPr>
    </w:tblStylePr>
    <w:tblStylePr w:type="lastRow">
      <w:rPr>
        <w:rFonts w:cs="SimSun"/>
        <w:color w:val="auto"/>
      </w:rPr>
      <w:tblPr/>
      <w:tcPr>
        <w:tcBorders>
          <w:top w:val="single" w:sz="6" w:space="0" w:color="000000"/>
          <w:tl2br w:val="none" w:sz="0" w:space="0" w:color="auto"/>
          <w:tr2bl w:val="none" w:sz="0" w:space="0" w:color="auto"/>
        </w:tcBorders>
      </w:tcPr>
    </w:tblStylePr>
    <w:tblStylePr w:type="firstCol">
      <w:rPr>
        <w:rFonts w:cs="SimSun"/>
      </w:rPr>
      <w:tblPr/>
      <w:tcPr>
        <w:tcBorders>
          <w:right w:val="single" w:sz="6" w:space="0" w:color="000000"/>
          <w:tl2br w:val="none" w:sz="0" w:space="0" w:color="auto"/>
          <w:tr2bl w:val="none" w:sz="0" w:space="0" w:color="auto"/>
        </w:tcBorders>
      </w:tcPr>
    </w:tblStylePr>
    <w:tblStylePr w:type="neCell">
      <w:rPr>
        <w:rFonts w:cs="SimSun"/>
        <w:b/>
        <w:bCs/>
        <w:i w:val="0"/>
        <w:iCs w:val="0"/>
      </w:rPr>
      <w:tblPr/>
      <w:tcPr>
        <w:tcBorders>
          <w:tl2br w:val="none" w:sz="0" w:space="0" w:color="auto"/>
          <w:tr2bl w:val="none" w:sz="0" w:space="0" w:color="auto"/>
        </w:tcBorders>
      </w:tcPr>
    </w:tblStylePr>
    <w:tblStylePr w:type="swCell">
      <w:rPr>
        <w:rFonts w:cs="SimSun"/>
        <w:b/>
        <w:bCs/>
      </w:rPr>
      <w:tblPr/>
      <w:tcPr>
        <w:tcBorders>
          <w:tl2br w:val="none" w:sz="0" w:space="0" w:color="auto"/>
          <w:tr2bl w:val="none" w:sz="0" w:space="0" w:color="auto"/>
        </w:tcBorders>
      </w:tcPr>
    </w:tblStylePr>
  </w:style>
  <w:style w:type="table" w:customStyle="1" w:styleId="Grilledutableau12">
    <w:name w:val="Grille du tableau12"/>
    <w:basedOn w:val="TableauNormal"/>
    <w:next w:val="Grilledutableau"/>
    <w:uiPriority w:val="59"/>
    <w:rsid w:val="00313A1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PPORTCONVNOMT1">
    <w:name w:val="RAPPORT CONV NOM T1"/>
    <w:basedOn w:val="TitreNiveau1"/>
    <w:qFormat/>
    <w:rsid w:val="00635191"/>
  </w:style>
  <w:style w:type="paragraph" w:customStyle="1" w:styleId="RAPPORTCONVNOMT2">
    <w:name w:val="RAPPORT CONV NOM T2"/>
    <w:basedOn w:val="Titre2"/>
    <w:qFormat/>
    <w:rsid w:val="00635191"/>
    <w:pPr>
      <w:spacing w:before="120"/>
      <w:jc w:val="both"/>
    </w:pPr>
    <w:rPr>
      <w:sz w:val="26"/>
      <w:szCs w:val="26"/>
    </w:rPr>
  </w:style>
  <w:style w:type="paragraph" w:customStyle="1" w:styleId="RAPPORTCONVNOMT">
    <w:name w:val="RAPPORT CONV NOM Té"/>
    <w:basedOn w:val="cocozof2"/>
    <w:qFormat/>
    <w:rsid w:val="00635191"/>
    <w:pPr>
      <w:spacing w:before="120" w:after="120" w:line="240" w:lineRule="auto"/>
      <w:jc w:val="both"/>
    </w:pPr>
    <w:rPr>
      <w:sz w:val="26"/>
      <w:szCs w:val="26"/>
    </w:rPr>
  </w:style>
  <w:style w:type="character" w:customStyle="1" w:styleId="hps">
    <w:name w:val="hps"/>
    <w:basedOn w:val="Policepardfaut"/>
    <w:rsid w:val="005F248B"/>
  </w:style>
  <w:style w:type="paragraph" w:customStyle="1" w:styleId="msonormal0">
    <w:name w:val="msonormal"/>
    <w:basedOn w:val="Normal"/>
    <w:rsid w:val="002F4B3C"/>
    <w:pPr>
      <w:spacing w:before="100" w:beforeAutospacing="1" w:after="100" w:afterAutospacing="1"/>
    </w:pPr>
    <w:rPr>
      <w:sz w:val="24"/>
      <w:szCs w:val="24"/>
    </w:rPr>
  </w:style>
  <w:style w:type="paragraph" w:customStyle="1" w:styleId="xl168">
    <w:name w:val="xl168"/>
    <w:basedOn w:val="Normal"/>
    <w:rsid w:val="002F4B3C"/>
    <w:pPr>
      <w:spacing w:before="100" w:beforeAutospacing="1" w:after="100" w:afterAutospacing="1"/>
    </w:pPr>
    <w:rPr>
      <w:sz w:val="20"/>
      <w:szCs w:val="20"/>
    </w:rPr>
  </w:style>
  <w:style w:type="paragraph" w:customStyle="1" w:styleId="xl169">
    <w:name w:val="xl169"/>
    <w:basedOn w:val="Normal"/>
    <w:rsid w:val="002F4B3C"/>
    <w:pPr>
      <w:spacing w:before="100" w:beforeAutospacing="1" w:after="100" w:afterAutospacing="1"/>
    </w:pPr>
    <w:rPr>
      <w:sz w:val="20"/>
      <w:szCs w:val="20"/>
    </w:rPr>
  </w:style>
  <w:style w:type="paragraph" w:customStyle="1" w:styleId="xl170">
    <w:name w:val="xl170"/>
    <w:basedOn w:val="Normal"/>
    <w:rsid w:val="002F4B3C"/>
    <w:pPr>
      <w:spacing w:before="100" w:beforeAutospacing="1" w:after="100" w:afterAutospacing="1"/>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0701">
      <w:bodyDiv w:val="1"/>
      <w:marLeft w:val="0"/>
      <w:marRight w:val="0"/>
      <w:marTop w:val="0"/>
      <w:marBottom w:val="0"/>
      <w:divBdr>
        <w:top w:val="none" w:sz="0" w:space="0" w:color="auto"/>
        <w:left w:val="none" w:sz="0" w:space="0" w:color="auto"/>
        <w:bottom w:val="none" w:sz="0" w:space="0" w:color="auto"/>
        <w:right w:val="none" w:sz="0" w:space="0" w:color="auto"/>
      </w:divBdr>
    </w:div>
    <w:div w:id="10037099">
      <w:bodyDiv w:val="1"/>
      <w:marLeft w:val="0"/>
      <w:marRight w:val="0"/>
      <w:marTop w:val="0"/>
      <w:marBottom w:val="0"/>
      <w:divBdr>
        <w:top w:val="none" w:sz="0" w:space="0" w:color="auto"/>
        <w:left w:val="none" w:sz="0" w:space="0" w:color="auto"/>
        <w:bottom w:val="none" w:sz="0" w:space="0" w:color="auto"/>
        <w:right w:val="none" w:sz="0" w:space="0" w:color="auto"/>
      </w:divBdr>
      <w:divsChild>
        <w:div w:id="1044673949">
          <w:marLeft w:val="0"/>
          <w:marRight w:val="0"/>
          <w:marTop w:val="0"/>
          <w:marBottom w:val="0"/>
          <w:divBdr>
            <w:top w:val="none" w:sz="0" w:space="0" w:color="auto"/>
            <w:left w:val="none" w:sz="0" w:space="0" w:color="auto"/>
            <w:bottom w:val="none" w:sz="0" w:space="0" w:color="auto"/>
            <w:right w:val="none" w:sz="0" w:space="0" w:color="auto"/>
          </w:divBdr>
        </w:div>
        <w:div w:id="1164585138">
          <w:marLeft w:val="0"/>
          <w:marRight w:val="0"/>
          <w:marTop w:val="0"/>
          <w:marBottom w:val="0"/>
          <w:divBdr>
            <w:top w:val="none" w:sz="0" w:space="0" w:color="auto"/>
            <w:left w:val="none" w:sz="0" w:space="0" w:color="auto"/>
            <w:bottom w:val="none" w:sz="0" w:space="0" w:color="auto"/>
            <w:right w:val="none" w:sz="0" w:space="0" w:color="auto"/>
          </w:divBdr>
        </w:div>
        <w:div w:id="1507942944">
          <w:marLeft w:val="0"/>
          <w:marRight w:val="0"/>
          <w:marTop w:val="0"/>
          <w:marBottom w:val="0"/>
          <w:divBdr>
            <w:top w:val="none" w:sz="0" w:space="0" w:color="auto"/>
            <w:left w:val="none" w:sz="0" w:space="0" w:color="auto"/>
            <w:bottom w:val="none" w:sz="0" w:space="0" w:color="auto"/>
            <w:right w:val="none" w:sz="0" w:space="0" w:color="auto"/>
          </w:divBdr>
        </w:div>
        <w:div w:id="380398928">
          <w:marLeft w:val="0"/>
          <w:marRight w:val="0"/>
          <w:marTop w:val="0"/>
          <w:marBottom w:val="0"/>
          <w:divBdr>
            <w:top w:val="none" w:sz="0" w:space="0" w:color="auto"/>
            <w:left w:val="none" w:sz="0" w:space="0" w:color="auto"/>
            <w:bottom w:val="none" w:sz="0" w:space="0" w:color="auto"/>
            <w:right w:val="none" w:sz="0" w:space="0" w:color="auto"/>
          </w:divBdr>
        </w:div>
        <w:div w:id="1009526410">
          <w:marLeft w:val="0"/>
          <w:marRight w:val="0"/>
          <w:marTop w:val="0"/>
          <w:marBottom w:val="0"/>
          <w:divBdr>
            <w:top w:val="none" w:sz="0" w:space="0" w:color="auto"/>
            <w:left w:val="none" w:sz="0" w:space="0" w:color="auto"/>
            <w:bottom w:val="none" w:sz="0" w:space="0" w:color="auto"/>
            <w:right w:val="none" w:sz="0" w:space="0" w:color="auto"/>
          </w:divBdr>
        </w:div>
        <w:div w:id="175193393">
          <w:marLeft w:val="0"/>
          <w:marRight w:val="0"/>
          <w:marTop w:val="0"/>
          <w:marBottom w:val="0"/>
          <w:divBdr>
            <w:top w:val="none" w:sz="0" w:space="0" w:color="auto"/>
            <w:left w:val="none" w:sz="0" w:space="0" w:color="auto"/>
            <w:bottom w:val="none" w:sz="0" w:space="0" w:color="auto"/>
            <w:right w:val="none" w:sz="0" w:space="0" w:color="auto"/>
          </w:divBdr>
        </w:div>
        <w:div w:id="413013181">
          <w:marLeft w:val="0"/>
          <w:marRight w:val="0"/>
          <w:marTop w:val="0"/>
          <w:marBottom w:val="0"/>
          <w:divBdr>
            <w:top w:val="none" w:sz="0" w:space="0" w:color="auto"/>
            <w:left w:val="none" w:sz="0" w:space="0" w:color="auto"/>
            <w:bottom w:val="none" w:sz="0" w:space="0" w:color="auto"/>
            <w:right w:val="none" w:sz="0" w:space="0" w:color="auto"/>
          </w:divBdr>
        </w:div>
        <w:div w:id="479538719">
          <w:marLeft w:val="0"/>
          <w:marRight w:val="0"/>
          <w:marTop w:val="0"/>
          <w:marBottom w:val="0"/>
          <w:divBdr>
            <w:top w:val="none" w:sz="0" w:space="0" w:color="auto"/>
            <w:left w:val="none" w:sz="0" w:space="0" w:color="auto"/>
            <w:bottom w:val="none" w:sz="0" w:space="0" w:color="auto"/>
            <w:right w:val="none" w:sz="0" w:space="0" w:color="auto"/>
          </w:divBdr>
        </w:div>
        <w:div w:id="2013413484">
          <w:marLeft w:val="0"/>
          <w:marRight w:val="0"/>
          <w:marTop w:val="0"/>
          <w:marBottom w:val="0"/>
          <w:divBdr>
            <w:top w:val="none" w:sz="0" w:space="0" w:color="auto"/>
            <w:left w:val="none" w:sz="0" w:space="0" w:color="auto"/>
            <w:bottom w:val="none" w:sz="0" w:space="0" w:color="auto"/>
            <w:right w:val="none" w:sz="0" w:space="0" w:color="auto"/>
          </w:divBdr>
        </w:div>
      </w:divsChild>
    </w:div>
    <w:div w:id="39792494">
      <w:bodyDiv w:val="1"/>
      <w:marLeft w:val="0"/>
      <w:marRight w:val="0"/>
      <w:marTop w:val="0"/>
      <w:marBottom w:val="0"/>
      <w:divBdr>
        <w:top w:val="none" w:sz="0" w:space="0" w:color="auto"/>
        <w:left w:val="none" w:sz="0" w:space="0" w:color="auto"/>
        <w:bottom w:val="none" w:sz="0" w:space="0" w:color="auto"/>
        <w:right w:val="none" w:sz="0" w:space="0" w:color="auto"/>
      </w:divBdr>
    </w:div>
    <w:div w:id="44065093">
      <w:bodyDiv w:val="1"/>
      <w:marLeft w:val="0"/>
      <w:marRight w:val="0"/>
      <w:marTop w:val="0"/>
      <w:marBottom w:val="0"/>
      <w:divBdr>
        <w:top w:val="none" w:sz="0" w:space="0" w:color="auto"/>
        <w:left w:val="none" w:sz="0" w:space="0" w:color="auto"/>
        <w:bottom w:val="none" w:sz="0" w:space="0" w:color="auto"/>
        <w:right w:val="none" w:sz="0" w:space="0" w:color="auto"/>
      </w:divBdr>
    </w:div>
    <w:div w:id="65346805">
      <w:bodyDiv w:val="1"/>
      <w:marLeft w:val="0"/>
      <w:marRight w:val="0"/>
      <w:marTop w:val="0"/>
      <w:marBottom w:val="0"/>
      <w:divBdr>
        <w:top w:val="none" w:sz="0" w:space="0" w:color="auto"/>
        <w:left w:val="none" w:sz="0" w:space="0" w:color="auto"/>
        <w:bottom w:val="none" w:sz="0" w:space="0" w:color="auto"/>
        <w:right w:val="none" w:sz="0" w:space="0" w:color="auto"/>
      </w:divBdr>
    </w:div>
    <w:div w:id="133570377">
      <w:bodyDiv w:val="1"/>
      <w:marLeft w:val="0"/>
      <w:marRight w:val="0"/>
      <w:marTop w:val="0"/>
      <w:marBottom w:val="0"/>
      <w:divBdr>
        <w:top w:val="none" w:sz="0" w:space="0" w:color="auto"/>
        <w:left w:val="none" w:sz="0" w:space="0" w:color="auto"/>
        <w:bottom w:val="none" w:sz="0" w:space="0" w:color="auto"/>
        <w:right w:val="none" w:sz="0" w:space="0" w:color="auto"/>
      </w:divBdr>
    </w:div>
    <w:div w:id="137115241">
      <w:bodyDiv w:val="1"/>
      <w:marLeft w:val="0"/>
      <w:marRight w:val="0"/>
      <w:marTop w:val="0"/>
      <w:marBottom w:val="0"/>
      <w:divBdr>
        <w:top w:val="none" w:sz="0" w:space="0" w:color="auto"/>
        <w:left w:val="none" w:sz="0" w:space="0" w:color="auto"/>
        <w:bottom w:val="none" w:sz="0" w:space="0" w:color="auto"/>
        <w:right w:val="none" w:sz="0" w:space="0" w:color="auto"/>
      </w:divBdr>
    </w:div>
    <w:div w:id="139152942">
      <w:bodyDiv w:val="1"/>
      <w:marLeft w:val="0"/>
      <w:marRight w:val="0"/>
      <w:marTop w:val="0"/>
      <w:marBottom w:val="0"/>
      <w:divBdr>
        <w:top w:val="none" w:sz="0" w:space="0" w:color="auto"/>
        <w:left w:val="none" w:sz="0" w:space="0" w:color="auto"/>
        <w:bottom w:val="none" w:sz="0" w:space="0" w:color="auto"/>
        <w:right w:val="none" w:sz="0" w:space="0" w:color="auto"/>
      </w:divBdr>
      <w:divsChild>
        <w:div w:id="1990014300">
          <w:marLeft w:val="0"/>
          <w:marRight w:val="0"/>
          <w:marTop w:val="0"/>
          <w:marBottom w:val="0"/>
          <w:divBdr>
            <w:top w:val="none" w:sz="0" w:space="0" w:color="auto"/>
            <w:left w:val="none" w:sz="0" w:space="0" w:color="auto"/>
            <w:bottom w:val="none" w:sz="0" w:space="0" w:color="auto"/>
            <w:right w:val="none" w:sz="0" w:space="0" w:color="auto"/>
          </w:divBdr>
        </w:div>
        <w:div w:id="778767665">
          <w:marLeft w:val="0"/>
          <w:marRight w:val="0"/>
          <w:marTop w:val="0"/>
          <w:marBottom w:val="0"/>
          <w:divBdr>
            <w:top w:val="none" w:sz="0" w:space="0" w:color="auto"/>
            <w:left w:val="none" w:sz="0" w:space="0" w:color="auto"/>
            <w:bottom w:val="none" w:sz="0" w:space="0" w:color="auto"/>
            <w:right w:val="none" w:sz="0" w:space="0" w:color="auto"/>
          </w:divBdr>
        </w:div>
        <w:div w:id="431248446">
          <w:marLeft w:val="0"/>
          <w:marRight w:val="0"/>
          <w:marTop w:val="0"/>
          <w:marBottom w:val="0"/>
          <w:divBdr>
            <w:top w:val="none" w:sz="0" w:space="0" w:color="auto"/>
            <w:left w:val="none" w:sz="0" w:space="0" w:color="auto"/>
            <w:bottom w:val="none" w:sz="0" w:space="0" w:color="auto"/>
            <w:right w:val="none" w:sz="0" w:space="0" w:color="auto"/>
          </w:divBdr>
        </w:div>
        <w:div w:id="1875077428">
          <w:marLeft w:val="0"/>
          <w:marRight w:val="0"/>
          <w:marTop w:val="0"/>
          <w:marBottom w:val="0"/>
          <w:divBdr>
            <w:top w:val="none" w:sz="0" w:space="0" w:color="auto"/>
            <w:left w:val="none" w:sz="0" w:space="0" w:color="auto"/>
            <w:bottom w:val="none" w:sz="0" w:space="0" w:color="auto"/>
            <w:right w:val="none" w:sz="0" w:space="0" w:color="auto"/>
          </w:divBdr>
        </w:div>
        <w:div w:id="121072162">
          <w:marLeft w:val="0"/>
          <w:marRight w:val="0"/>
          <w:marTop w:val="0"/>
          <w:marBottom w:val="0"/>
          <w:divBdr>
            <w:top w:val="none" w:sz="0" w:space="0" w:color="auto"/>
            <w:left w:val="none" w:sz="0" w:space="0" w:color="auto"/>
            <w:bottom w:val="none" w:sz="0" w:space="0" w:color="auto"/>
            <w:right w:val="none" w:sz="0" w:space="0" w:color="auto"/>
          </w:divBdr>
        </w:div>
        <w:div w:id="855928556">
          <w:marLeft w:val="0"/>
          <w:marRight w:val="0"/>
          <w:marTop w:val="0"/>
          <w:marBottom w:val="0"/>
          <w:divBdr>
            <w:top w:val="none" w:sz="0" w:space="0" w:color="auto"/>
            <w:left w:val="none" w:sz="0" w:space="0" w:color="auto"/>
            <w:bottom w:val="none" w:sz="0" w:space="0" w:color="auto"/>
            <w:right w:val="none" w:sz="0" w:space="0" w:color="auto"/>
          </w:divBdr>
        </w:div>
        <w:div w:id="118304908">
          <w:marLeft w:val="0"/>
          <w:marRight w:val="0"/>
          <w:marTop w:val="0"/>
          <w:marBottom w:val="0"/>
          <w:divBdr>
            <w:top w:val="none" w:sz="0" w:space="0" w:color="auto"/>
            <w:left w:val="none" w:sz="0" w:space="0" w:color="auto"/>
            <w:bottom w:val="none" w:sz="0" w:space="0" w:color="auto"/>
            <w:right w:val="none" w:sz="0" w:space="0" w:color="auto"/>
          </w:divBdr>
        </w:div>
        <w:div w:id="202526002">
          <w:marLeft w:val="0"/>
          <w:marRight w:val="0"/>
          <w:marTop w:val="0"/>
          <w:marBottom w:val="0"/>
          <w:divBdr>
            <w:top w:val="none" w:sz="0" w:space="0" w:color="auto"/>
            <w:left w:val="none" w:sz="0" w:space="0" w:color="auto"/>
            <w:bottom w:val="none" w:sz="0" w:space="0" w:color="auto"/>
            <w:right w:val="none" w:sz="0" w:space="0" w:color="auto"/>
          </w:divBdr>
        </w:div>
      </w:divsChild>
    </w:div>
    <w:div w:id="180046297">
      <w:bodyDiv w:val="1"/>
      <w:marLeft w:val="0"/>
      <w:marRight w:val="0"/>
      <w:marTop w:val="0"/>
      <w:marBottom w:val="0"/>
      <w:divBdr>
        <w:top w:val="none" w:sz="0" w:space="0" w:color="auto"/>
        <w:left w:val="none" w:sz="0" w:space="0" w:color="auto"/>
        <w:bottom w:val="none" w:sz="0" w:space="0" w:color="auto"/>
        <w:right w:val="none" w:sz="0" w:space="0" w:color="auto"/>
      </w:divBdr>
    </w:div>
    <w:div w:id="187106365">
      <w:bodyDiv w:val="1"/>
      <w:marLeft w:val="0"/>
      <w:marRight w:val="0"/>
      <w:marTop w:val="0"/>
      <w:marBottom w:val="0"/>
      <w:divBdr>
        <w:top w:val="none" w:sz="0" w:space="0" w:color="auto"/>
        <w:left w:val="none" w:sz="0" w:space="0" w:color="auto"/>
        <w:bottom w:val="none" w:sz="0" w:space="0" w:color="auto"/>
        <w:right w:val="none" w:sz="0" w:space="0" w:color="auto"/>
      </w:divBdr>
    </w:div>
    <w:div w:id="215512905">
      <w:bodyDiv w:val="1"/>
      <w:marLeft w:val="0"/>
      <w:marRight w:val="0"/>
      <w:marTop w:val="0"/>
      <w:marBottom w:val="0"/>
      <w:divBdr>
        <w:top w:val="none" w:sz="0" w:space="0" w:color="auto"/>
        <w:left w:val="none" w:sz="0" w:space="0" w:color="auto"/>
        <w:bottom w:val="none" w:sz="0" w:space="0" w:color="auto"/>
        <w:right w:val="none" w:sz="0" w:space="0" w:color="auto"/>
      </w:divBdr>
    </w:div>
    <w:div w:id="284583403">
      <w:bodyDiv w:val="1"/>
      <w:marLeft w:val="0"/>
      <w:marRight w:val="0"/>
      <w:marTop w:val="0"/>
      <w:marBottom w:val="0"/>
      <w:divBdr>
        <w:top w:val="none" w:sz="0" w:space="0" w:color="auto"/>
        <w:left w:val="none" w:sz="0" w:space="0" w:color="auto"/>
        <w:bottom w:val="none" w:sz="0" w:space="0" w:color="auto"/>
        <w:right w:val="none" w:sz="0" w:space="0" w:color="auto"/>
      </w:divBdr>
      <w:divsChild>
        <w:div w:id="901599200">
          <w:marLeft w:val="0"/>
          <w:marRight w:val="0"/>
          <w:marTop w:val="0"/>
          <w:marBottom w:val="0"/>
          <w:divBdr>
            <w:top w:val="none" w:sz="0" w:space="0" w:color="auto"/>
            <w:left w:val="none" w:sz="0" w:space="0" w:color="auto"/>
            <w:bottom w:val="none" w:sz="0" w:space="0" w:color="auto"/>
            <w:right w:val="none" w:sz="0" w:space="0" w:color="auto"/>
          </w:divBdr>
        </w:div>
        <w:div w:id="1567112126">
          <w:marLeft w:val="0"/>
          <w:marRight w:val="0"/>
          <w:marTop w:val="0"/>
          <w:marBottom w:val="0"/>
          <w:divBdr>
            <w:top w:val="none" w:sz="0" w:space="0" w:color="auto"/>
            <w:left w:val="none" w:sz="0" w:space="0" w:color="auto"/>
            <w:bottom w:val="none" w:sz="0" w:space="0" w:color="auto"/>
            <w:right w:val="none" w:sz="0" w:space="0" w:color="auto"/>
          </w:divBdr>
        </w:div>
      </w:divsChild>
    </w:div>
    <w:div w:id="398065947">
      <w:bodyDiv w:val="1"/>
      <w:marLeft w:val="0"/>
      <w:marRight w:val="0"/>
      <w:marTop w:val="0"/>
      <w:marBottom w:val="0"/>
      <w:divBdr>
        <w:top w:val="none" w:sz="0" w:space="0" w:color="auto"/>
        <w:left w:val="none" w:sz="0" w:space="0" w:color="auto"/>
        <w:bottom w:val="none" w:sz="0" w:space="0" w:color="auto"/>
        <w:right w:val="none" w:sz="0" w:space="0" w:color="auto"/>
      </w:divBdr>
    </w:div>
    <w:div w:id="405880972">
      <w:bodyDiv w:val="1"/>
      <w:marLeft w:val="0"/>
      <w:marRight w:val="0"/>
      <w:marTop w:val="0"/>
      <w:marBottom w:val="0"/>
      <w:divBdr>
        <w:top w:val="none" w:sz="0" w:space="0" w:color="auto"/>
        <w:left w:val="none" w:sz="0" w:space="0" w:color="auto"/>
        <w:bottom w:val="none" w:sz="0" w:space="0" w:color="auto"/>
        <w:right w:val="none" w:sz="0" w:space="0" w:color="auto"/>
      </w:divBdr>
    </w:div>
    <w:div w:id="422066299">
      <w:bodyDiv w:val="1"/>
      <w:marLeft w:val="0"/>
      <w:marRight w:val="0"/>
      <w:marTop w:val="0"/>
      <w:marBottom w:val="0"/>
      <w:divBdr>
        <w:top w:val="none" w:sz="0" w:space="0" w:color="auto"/>
        <w:left w:val="none" w:sz="0" w:space="0" w:color="auto"/>
        <w:bottom w:val="none" w:sz="0" w:space="0" w:color="auto"/>
        <w:right w:val="none" w:sz="0" w:space="0" w:color="auto"/>
      </w:divBdr>
    </w:div>
    <w:div w:id="433520975">
      <w:bodyDiv w:val="1"/>
      <w:marLeft w:val="0"/>
      <w:marRight w:val="0"/>
      <w:marTop w:val="0"/>
      <w:marBottom w:val="0"/>
      <w:divBdr>
        <w:top w:val="none" w:sz="0" w:space="0" w:color="auto"/>
        <w:left w:val="none" w:sz="0" w:space="0" w:color="auto"/>
        <w:bottom w:val="none" w:sz="0" w:space="0" w:color="auto"/>
        <w:right w:val="none" w:sz="0" w:space="0" w:color="auto"/>
      </w:divBdr>
    </w:div>
    <w:div w:id="434910697">
      <w:bodyDiv w:val="1"/>
      <w:marLeft w:val="0"/>
      <w:marRight w:val="0"/>
      <w:marTop w:val="0"/>
      <w:marBottom w:val="0"/>
      <w:divBdr>
        <w:top w:val="none" w:sz="0" w:space="0" w:color="auto"/>
        <w:left w:val="none" w:sz="0" w:space="0" w:color="auto"/>
        <w:bottom w:val="none" w:sz="0" w:space="0" w:color="auto"/>
        <w:right w:val="none" w:sz="0" w:space="0" w:color="auto"/>
      </w:divBdr>
    </w:div>
    <w:div w:id="443840422">
      <w:bodyDiv w:val="1"/>
      <w:marLeft w:val="0"/>
      <w:marRight w:val="0"/>
      <w:marTop w:val="0"/>
      <w:marBottom w:val="0"/>
      <w:divBdr>
        <w:top w:val="none" w:sz="0" w:space="0" w:color="auto"/>
        <w:left w:val="none" w:sz="0" w:space="0" w:color="auto"/>
        <w:bottom w:val="none" w:sz="0" w:space="0" w:color="auto"/>
        <w:right w:val="none" w:sz="0" w:space="0" w:color="auto"/>
      </w:divBdr>
      <w:divsChild>
        <w:div w:id="852765781">
          <w:marLeft w:val="0"/>
          <w:marRight w:val="0"/>
          <w:marTop w:val="0"/>
          <w:marBottom w:val="0"/>
          <w:divBdr>
            <w:top w:val="none" w:sz="0" w:space="0" w:color="auto"/>
            <w:left w:val="none" w:sz="0" w:space="0" w:color="auto"/>
            <w:bottom w:val="none" w:sz="0" w:space="0" w:color="auto"/>
            <w:right w:val="none" w:sz="0" w:space="0" w:color="auto"/>
          </w:divBdr>
        </w:div>
        <w:div w:id="1057359283">
          <w:marLeft w:val="0"/>
          <w:marRight w:val="0"/>
          <w:marTop w:val="0"/>
          <w:marBottom w:val="0"/>
          <w:divBdr>
            <w:top w:val="none" w:sz="0" w:space="0" w:color="auto"/>
            <w:left w:val="none" w:sz="0" w:space="0" w:color="auto"/>
            <w:bottom w:val="none" w:sz="0" w:space="0" w:color="auto"/>
            <w:right w:val="none" w:sz="0" w:space="0" w:color="auto"/>
          </w:divBdr>
        </w:div>
        <w:div w:id="1064061645">
          <w:marLeft w:val="0"/>
          <w:marRight w:val="0"/>
          <w:marTop w:val="0"/>
          <w:marBottom w:val="0"/>
          <w:divBdr>
            <w:top w:val="none" w:sz="0" w:space="0" w:color="auto"/>
            <w:left w:val="none" w:sz="0" w:space="0" w:color="auto"/>
            <w:bottom w:val="none" w:sz="0" w:space="0" w:color="auto"/>
            <w:right w:val="none" w:sz="0" w:space="0" w:color="auto"/>
          </w:divBdr>
        </w:div>
        <w:div w:id="1234049812">
          <w:marLeft w:val="0"/>
          <w:marRight w:val="0"/>
          <w:marTop w:val="0"/>
          <w:marBottom w:val="0"/>
          <w:divBdr>
            <w:top w:val="none" w:sz="0" w:space="0" w:color="auto"/>
            <w:left w:val="none" w:sz="0" w:space="0" w:color="auto"/>
            <w:bottom w:val="none" w:sz="0" w:space="0" w:color="auto"/>
            <w:right w:val="none" w:sz="0" w:space="0" w:color="auto"/>
          </w:divBdr>
        </w:div>
        <w:div w:id="1296761066">
          <w:marLeft w:val="0"/>
          <w:marRight w:val="0"/>
          <w:marTop w:val="0"/>
          <w:marBottom w:val="0"/>
          <w:divBdr>
            <w:top w:val="none" w:sz="0" w:space="0" w:color="auto"/>
            <w:left w:val="none" w:sz="0" w:space="0" w:color="auto"/>
            <w:bottom w:val="none" w:sz="0" w:space="0" w:color="auto"/>
            <w:right w:val="none" w:sz="0" w:space="0" w:color="auto"/>
          </w:divBdr>
        </w:div>
        <w:div w:id="344017054">
          <w:marLeft w:val="0"/>
          <w:marRight w:val="0"/>
          <w:marTop w:val="0"/>
          <w:marBottom w:val="0"/>
          <w:divBdr>
            <w:top w:val="none" w:sz="0" w:space="0" w:color="auto"/>
            <w:left w:val="none" w:sz="0" w:space="0" w:color="auto"/>
            <w:bottom w:val="none" w:sz="0" w:space="0" w:color="auto"/>
            <w:right w:val="none" w:sz="0" w:space="0" w:color="auto"/>
          </w:divBdr>
        </w:div>
        <w:div w:id="1763069384">
          <w:marLeft w:val="0"/>
          <w:marRight w:val="0"/>
          <w:marTop w:val="0"/>
          <w:marBottom w:val="0"/>
          <w:divBdr>
            <w:top w:val="none" w:sz="0" w:space="0" w:color="auto"/>
            <w:left w:val="none" w:sz="0" w:space="0" w:color="auto"/>
            <w:bottom w:val="none" w:sz="0" w:space="0" w:color="auto"/>
            <w:right w:val="none" w:sz="0" w:space="0" w:color="auto"/>
          </w:divBdr>
        </w:div>
        <w:div w:id="595478887">
          <w:marLeft w:val="0"/>
          <w:marRight w:val="0"/>
          <w:marTop w:val="0"/>
          <w:marBottom w:val="0"/>
          <w:divBdr>
            <w:top w:val="none" w:sz="0" w:space="0" w:color="auto"/>
            <w:left w:val="none" w:sz="0" w:space="0" w:color="auto"/>
            <w:bottom w:val="none" w:sz="0" w:space="0" w:color="auto"/>
            <w:right w:val="none" w:sz="0" w:space="0" w:color="auto"/>
          </w:divBdr>
        </w:div>
      </w:divsChild>
    </w:div>
    <w:div w:id="446462199">
      <w:bodyDiv w:val="1"/>
      <w:marLeft w:val="0"/>
      <w:marRight w:val="0"/>
      <w:marTop w:val="0"/>
      <w:marBottom w:val="0"/>
      <w:divBdr>
        <w:top w:val="none" w:sz="0" w:space="0" w:color="auto"/>
        <w:left w:val="none" w:sz="0" w:space="0" w:color="auto"/>
        <w:bottom w:val="none" w:sz="0" w:space="0" w:color="auto"/>
        <w:right w:val="none" w:sz="0" w:space="0" w:color="auto"/>
      </w:divBdr>
      <w:divsChild>
        <w:div w:id="1714378415">
          <w:marLeft w:val="0"/>
          <w:marRight w:val="0"/>
          <w:marTop w:val="0"/>
          <w:marBottom w:val="0"/>
          <w:divBdr>
            <w:top w:val="none" w:sz="0" w:space="0" w:color="auto"/>
            <w:left w:val="none" w:sz="0" w:space="0" w:color="auto"/>
            <w:bottom w:val="none" w:sz="0" w:space="0" w:color="auto"/>
            <w:right w:val="none" w:sz="0" w:space="0" w:color="auto"/>
          </w:divBdr>
        </w:div>
        <w:div w:id="538011875">
          <w:marLeft w:val="0"/>
          <w:marRight w:val="0"/>
          <w:marTop w:val="0"/>
          <w:marBottom w:val="0"/>
          <w:divBdr>
            <w:top w:val="none" w:sz="0" w:space="0" w:color="auto"/>
            <w:left w:val="none" w:sz="0" w:space="0" w:color="auto"/>
            <w:bottom w:val="none" w:sz="0" w:space="0" w:color="auto"/>
            <w:right w:val="none" w:sz="0" w:space="0" w:color="auto"/>
          </w:divBdr>
        </w:div>
        <w:div w:id="1944878897">
          <w:marLeft w:val="0"/>
          <w:marRight w:val="0"/>
          <w:marTop w:val="0"/>
          <w:marBottom w:val="0"/>
          <w:divBdr>
            <w:top w:val="none" w:sz="0" w:space="0" w:color="auto"/>
            <w:left w:val="none" w:sz="0" w:space="0" w:color="auto"/>
            <w:bottom w:val="none" w:sz="0" w:space="0" w:color="auto"/>
            <w:right w:val="none" w:sz="0" w:space="0" w:color="auto"/>
          </w:divBdr>
        </w:div>
      </w:divsChild>
    </w:div>
    <w:div w:id="449134302">
      <w:bodyDiv w:val="1"/>
      <w:marLeft w:val="0"/>
      <w:marRight w:val="0"/>
      <w:marTop w:val="0"/>
      <w:marBottom w:val="0"/>
      <w:divBdr>
        <w:top w:val="none" w:sz="0" w:space="0" w:color="auto"/>
        <w:left w:val="none" w:sz="0" w:space="0" w:color="auto"/>
        <w:bottom w:val="none" w:sz="0" w:space="0" w:color="auto"/>
        <w:right w:val="none" w:sz="0" w:space="0" w:color="auto"/>
      </w:divBdr>
    </w:div>
    <w:div w:id="462425519">
      <w:bodyDiv w:val="1"/>
      <w:marLeft w:val="0"/>
      <w:marRight w:val="0"/>
      <w:marTop w:val="0"/>
      <w:marBottom w:val="0"/>
      <w:divBdr>
        <w:top w:val="none" w:sz="0" w:space="0" w:color="auto"/>
        <w:left w:val="none" w:sz="0" w:space="0" w:color="auto"/>
        <w:bottom w:val="none" w:sz="0" w:space="0" w:color="auto"/>
        <w:right w:val="none" w:sz="0" w:space="0" w:color="auto"/>
      </w:divBdr>
    </w:div>
    <w:div w:id="531573125">
      <w:bodyDiv w:val="1"/>
      <w:marLeft w:val="0"/>
      <w:marRight w:val="0"/>
      <w:marTop w:val="0"/>
      <w:marBottom w:val="0"/>
      <w:divBdr>
        <w:top w:val="none" w:sz="0" w:space="0" w:color="auto"/>
        <w:left w:val="none" w:sz="0" w:space="0" w:color="auto"/>
        <w:bottom w:val="none" w:sz="0" w:space="0" w:color="auto"/>
        <w:right w:val="none" w:sz="0" w:space="0" w:color="auto"/>
      </w:divBdr>
      <w:divsChild>
        <w:div w:id="790443090">
          <w:marLeft w:val="0"/>
          <w:marRight w:val="0"/>
          <w:marTop w:val="0"/>
          <w:marBottom w:val="0"/>
          <w:divBdr>
            <w:top w:val="none" w:sz="0" w:space="0" w:color="auto"/>
            <w:left w:val="none" w:sz="0" w:space="0" w:color="auto"/>
            <w:bottom w:val="none" w:sz="0" w:space="0" w:color="auto"/>
            <w:right w:val="none" w:sz="0" w:space="0" w:color="auto"/>
          </w:divBdr>
        </w:div>
        <w:div w:id="1149982578">
          <w:marLeft w:val="0"/>
          <w:marRight w:val="0"/>
          <w:marTop w:val="0"/>
          <w:marBottom w:val="0"/>
          <w:divBdr>
            <w:top w:val="none" w:sz="0" w:space="0" w:color="auto"/>
            <w:left w:val="none" w:sz="0" w:space="0" w:color="auto"/>
            <w:bottom w:val="none" w:sz="0" w:space="0" w:color="auto"/>
            <w:right w:val="none" w:sz="0" w:space="0" w:color="auto"/>
          </w:divBdr>
        </w:div>
        <w:div w:id="1264610951">
          <w:marLeft w:val="0"/>
          <w:marRight w:val="0"/>
          <w:marTop w:val="0"/>
          <w:marBottom w:val="0"/>
          <w:divBdr>
            <w:top w:val="none" w:sz="0" w:space="0" w:color="auto"/>
            <w:left w:val="none" w:sz="0" w:space="0" w:color="auto"/>
            <w:bottom w:val="none" w:sz="0" w:space="0" w:color="auto"/>
            <w:right w:val="none" w:sz="0" w:space="0" w:color="auto"/>
          </w:divBdr>
        </w:div>
        <w:div w:id="1247109229">
          <w:marLeft w:val="0"/>
          <w:marRight w:val="0"/>
          <w:marTop w:val="0"/>
          <w:marBottom w:val="0"/>
          <w:divBdr>
            <w:top w:val="none" w:sz="0" w:space="0" w:color="auto"/>
            <w:left w:val="none" w:sz="0" w:space="0" w:color="auto"/>
            <w:bottom w:val="none" w:sz="0" w:space="0" w:color="auto"/>
            <w:right w:val="none" w:sz="0" w:space="0" w:color="auto"/>
          </w:divBdr>
        </w:div>
        <w:div w:id="1307853668">
          <w:marLeft w:val="0"/>
          <w:marRight w:val="0"/>
          <w:marTop w:val="0"/>
          <w:marBottom w:val="0"/>
          <w:divBdr>
            <w:top w:val="none" w:sz="0" w:space="0" w:color="auto"/>
            <w:left w:val="none" w:sz="0" w:space="0" w:color="auto"/>
            <w:bottom w:val="none" w:sz="0" w:space="0" w:color="auto"/>
            <w:right w:val="none" w:sz="0" w:space="0" w:color="auto"/>
          </w:divBdr>
        </w:div>
        <w:div w:id="1558009688">
          <w:marLeft w:val="0"/>
          <w:marRight w:val="0"/>
          <w:marTop w:val="0"/>
          <w:marBottom w:val="0"/>
          <w:divBdr>
            <w:top w:val="none" w:sz="0" w:space="0" w:color="auto"/>
            <w:left w:val="none" w:sz="0" w:space="0" w:color="auto"/>
            <w:bottom w:val="none" w:sz="0" w:space="0" w:color="auto"/>
            <w:right w:val="none" w:sz="0" w:space="0" w:color="auto"/>
          </w:divBdr>
        </w:div>
        <w:div w:id="1615669408">
          <w:marLeft w:val="0"/>
          <w:marRight w:val="0"/>
          <w:marTop w:val="0"/>
          <w:marBottom w:val="0"/>
          <w:divBdr>
            <w:top w:val="none" w:sz="0" w:space="0" w:color="auto"/>
            <w:left w:val="none" w:sz="0" w:space="0" w:color="auto"/>
            <w:bottom w:val="none" w:sz="0" w:space="0" w:color="auto"/>
            <w:right w:val="none" w:sz="0" w:space="0" w:color="auto"/>
          </w:divBdr>
        </w:div>
        <w:div w:id="324281703">
          <w:marLeft w:val="0"/>
          <w:marRight w:val="0"/>
          <w:marTop w:val="0"/>
          <w:marBottom w:val="0"/>
          <w:divBdr>
            <w:top w:val="none" w:sz="0" w:space="0" w:color="auto"/>
            <w:left w:val="none" w:sz="0" w:space="0" w:color="auto"/>
            <w:bottom w:val="none" w:sz="0" w:space="0" w:color="auto"/>
            <w:right w:val="none" w:sz="0" w:space="0" w:color="auto"/>
          </w:divBdr>
        </w:div>
        <w:div w:id="2003511486">
          <w:marLeft w:val="0"/>
          <w:marRight w:val="0"/>
          <w:marTop w:val="0"/>
          <w:marBottom w:val="0"/>
          <w:divBdr>
            <w:top w:val="none" w:sz="0" w:space="0" w:color="auto"/>
            <w:left w:val="none" w:sz="0" w:space="0" w:color="auto"/>
            <w:bottom w:val="none" w:sz="0" w:space="0" w:color="auto"/>
            <w:right w:val="none" w:sz="0" w:space="0" w:color="auto"/>
          </w:divBdr>
        </w:div>
        <w:div w:id="164522021">
          <w:marLeft w:val="0"/>
          <w:marRight w:val="0"/>
          <w:marTop w:val="0"/>
          <w:marBottom w:val="0"/>
          <w:divBdr>
            <w:top w:val="none" w:sz="0" w:space="0" w:color="auto"/>
            <w:left w:val="none" w:sz="0" w:space="0" w:color="auto"/>
            <w:bottom w:val="none" w:sz="0" w:space="0" w:color="auto"/>
            <w:right w:val="none" w:sz="0" w:space="0" w:color="auto"/>
          </w:divBdr>
        </w:div>
        <w:div w:id="2006014039">
          <w:marLeft w:val="0"/>
          <w:marRight w:val="0"/>
          <w:marTop w:val="0"/>
          <w:marBottom w:val="0"/>
          <w:divBdr>
            <w:top w:val="none" w:sz="0" w:space="0" w:color="auto"/>
            <w:left w:val="none" w:sz="0" w:space="0" w:color="auto"/>
            <w:bottom w:val="none" w:sz="0" w:space="0" w:color="auto"/>
            <w:right w:val="none" w:sz="0" w:space="0" w:color="auto"/>
          </w:divBdr>
        </w:div>
        <w:div w:id="901451658">
          <w:marLeft w:val="0"/>
          <w:marRight w:val="0"/>
          <w:marTop w:val="0"/>
          <w:marBottom w:val="0"/>
          <w:divBdr>
            <w:top w:val="none" w:sz="0" w:space="0" w:color="auto"/>
            <w:left w:val="none" w:sz="0" w:space="0" w:color="auto"/>
            <w:bottom w:val="none" w:sz="0" w:space="0" w:color="auto"/>
            <w:right w:val="none" w:sz="0" w:space="0" w:color="auto"/>
          </w:divBdr>
        </w:div>
        <w:div w:id="944926921">
          <w:marLeft w:val="0"/>
          <w:marRight w:val="0"/>
          <w:marTop w:val="0"/>
          <w:marBottom w:val="0"/>
          <w:divBdr>
            <w:top w:val="none" w:sz="0" w:space="0" w:color="auto"/>
            <w:left w:val="none" w:sz="0" w:space="0" w:color="auto"/>
            <w:bottom w:val="none" w:sz="0" w:space="0" w:color="auto"/>
            <w:right w:val="none" w:sz="0" w:space="0" w:color="auto"/>
          </w:divBdr>
        </w:div>
        <w:div w:id="2123913554">
          <w:marLeft w:val="0"/>
          <w:marRight w:val="0"/>
          <w:marTop w:val="0"/>
          <w:marBottom w:val="0"/>
          <w:divBdr>
            <w:top w:val="none" w:sz="0" w:space="0" w:color="auto"/>
            <w:left w:val="none" w:sz="0" w:space="0" w:color="auto"/>
            <w:bottom w:val="none" w:sz="0" w:space="0" w:color="auto"/>
            <w:right w:val="none" w:sz="0" w:space="0" w:color="auto"/>
          </w:divBdr>
        </w:div>
        <w:div w:id="987706518">
          <w:marLeft w:val="0"/>
          <w:marRight w:val="0"/>
          <w:marTop w:val="0"/>
          <w:marBottom w:val="0"/>
          <w:divBdr>
            <w:top w:val="none" w:sz="0" w:space="0" w:color="auto"/>
            <w:left w:val="none" w:sz="0" w:space="0" w:color="auto"/>
            <w:bottom w:val="none" w:sz="0" w:space="0" w:color="auto"/>
            <w:right w:val="none" w:sz="0" w:space="0" w:color="auto"/>
          </w:divBdr>
        </w:div>
        <w:div w:id="1824663224">
          <w:marLeft w:val="0"/>
          <w:marRight w:val="0"/>
          <w:marTop w:val="0"/>
          <w:marBottom w:val="0"/>
          <w:divBdr>
            <w:top w:val="none" w:sz="0" w:space="0" w:color="auto"/>
            <w:left w:val="none" w:sz="0" w:space="0" w:color="auto"/>
            <w:bottom w:val="none" w:sz="0" w:space="0" w:color="auto"/>
            <w:right w:val="none" w:sz="0" w:space="0" w:color="auto"/>
          </w:divBdr>
        </w:div>
        <w:div w:id="1944996613">
          <w:marLeft w:val="0"/>
          <w:marRight w:val="0"/>
          <w:marTop w:val="0"/>
          <w:marBottom w:val="0"/>
          <w:divBdr>
            <w:top w:val="none" w:sz="0" w:space="0" w:color="auto"/>
            <w:left w:val="none" w:sz="0" w:space="0" w:color="auto"/>
            <w:bottom w:val="none" w:sz="0" w:space="0" w:color="auto"/>
            <w:right w:val="none" w:sz="0" w:space="0" w:color="auto"/>
          </w:divBdr>
        </w:div>
        <w:div w:id="179786117">
          <w:marLeft w:val="0"/>
          <w:marRight w:val="0"/>
          <w:marTop w:val="0"/>
          <w:marBottom w:val="0"/>
          <w:divBdr>
            <w:top w:val="none" w:sz="0" w:space="0" w:color="auto"/>
            <w:left w:val="none" w:sz="0" w:space="0" w:color="auto"/>
            <w:bottom w:val="none" w:sz="0" w:space="0" w:color="auto"/>
            <w:right w:val="none" w:sz="0" w:space="0" w:color="auto"/>
          </w:divBdr>
        </w:div>
        <w:div w:id="2114276401">
          <w:marLeft w:val="0"/>
          <w:marRight w:val="0"/>
          <w:marTop w:val="0"/>
          <w:marBottom w:val="0"/>
          <w:divBdr>
            <w:top w:val="none" w:sz="0" w:space="0" w:color="auto"/>
            <w:left w:val="none" w:sz="0" w:space="0" w:color="auto"/>
            <w:bottom w:val="none" w:sz="0" w:space="0" w:color="auto"/>
            <w:right w:val="none" w:sz="0" w:space="0" w:color="auto"/>
          </w:divBdr>
        </w:div>
      </w:divsChild>
    </w:div>
    <w:div w:id="533737261">
      <w:bodyDiv w:val="1"/>
      <w:marLeft w:val="0"/>
      <w:marRight w:val="0"/>
      <w:marTop w:val="0"/>
      <w:marBottom w:val="0"/>
      <w:divBdr>
        <w:top w:val="none" w:sz="0" w:space="0" w:color="auto"/>
        <w:left w:val="none" w:sz="0" w:space="0" w:color="auto"/>
        <w:bottom w:val="none" w:sz="0" w:space="0" w:color="auto"/>
        <w:right w:val="none" w:sz="0" w:space="0" w:color="auto"/>
      </w:divBdr>
      <w:divsChild>
        <w:div w:id="874347597">
          <w:marLeft w:val="0"/>
          <w:marRight w:val="0"/>
          <w:marTop w:val="0"/>
          <w:marBottom w:val="0"/>
          <w:divBdr>
            <w:top w:val="none" w:sz="0" w:space="0" w:color="auto"/>
            <w:left w:val="none" w:sz="0" w:space="0" w:color="auto"/>
            <w:bottom w:val="none" w:sz="0" w:space="0" w:color="auto"/>
            <w:right w:val="none" w:sz="0" w:space="0" w:color="auto"/>
          </w:divBdr>
        </w:div>
        <w:div w:id="1346514630">
          <w:marLeft w:val="0"/>
          <w:marRight w:val="0"/>
          <w:marTop w:val="0"/>
          <w:marBottom w:val="0"/>
          <w:divBdr>
            <w:top w:val="none" w:sz="0" w:space="0" w:color="auto"/>
            <w:left w:val="none" w:sz="0" w:space="0" w:color="auto"/>
            <w:bottom w:val="none" w:sz="0" w:space="0" w:color="auto"/>
            <w:right w:val="none" w:sz="0" w:space="0" w:color="auto"/>
          </w:divBdr>
        </w:div>
        <w:div w:id="2097435909">
          <w:marLeft w:val="0"/>
          <w:marRight w:val="0"/>
          <w:marTop w:val="0"/>
          <w:marBottom w:val="0"/>
          <w:divBdr>
            <w:top w:val="none" w:sz="0" w:space="0" w:color="auto"/>
            <w:left w:val="none" w:sz="0" w:space="0" w:color="auto"/>
            <w:bottom w:val="none" w:sz="0" w:space="0" w:color="auto"/>
            <w:right w:val="none" w:sz="0" w:space="0" w:color="auto"/>
          </w:divBdr>
        </w:div>
        <w:div w:id="1137068685">
          <w:marLeft w:val="0"/>
          <w:marRight w:val="0"/>
          <w:marTop w:val="0"/>
          <w:marBottom w:val="0"/>
          <w:divBdr>
            <w:top w:val="none" w:sz="0" w:space="0" w:color="auto"/>
            <w:left w:val="none" w:sz="0" w:space="0" w:color="auto"/>
            <w:bottom w:val="none" w:sz="0" w:space="0" w:color="auto"/>
            <w:right w:val="none" w:sz="0" w:space="0" w:color="auto"/>
          </w:divBdr>
        </w:div>
        <w:div w:id="792988056">
          <w:marLeft w:val="0"/>
          <w:marRight w:val="0"/>
          <w:marTop w:val="0"/>
          <w:marBottom w:val="0"/>
          <w:divBdr>
            <w:top w:val="none" w:sz="0" w:space="0" w:color="auto"/>
            <w:left w:val="none" w:sz="0" w:space="0" w:color="auto"/>
            <w:bottom w:val="none" w:sz="0" w:space="0" w:color="auto"/>
            <w:right w:val="none" w:sz="0" w:space="0" w:color="auto"/>
          </w:divBdr>
        </w:div>
        <w:div w:id="405153903">
          <w:marLeft w:val="0"/>
          <w:marRight w:val="0"/>
          <w:marTop w:val="0"/>
          <w:marBottom w:val="0"/>
          <w:divBdr>
            <w:top w:val="none" w:sz="0" w:space="0" w:color="auto"/>
            <w:left w:val="none" w:sz="0" w:space="0" w:color="auto"/>
            <w:bottom w:val="none" w:sz="0" w:space="0" w:color="auto"/>
            <w:right w:val="none" w:sz="0" w:space="0" w:color="auto"/>
          </w:divBdr>
        </w:div>
        <w:div w:id="1221794301">
          <w:marLeft w:val="0"/>
          <w:marRight w:val="0"/>
          <w:marTop w:val="0"/>
          <w:marBottom w:val="0"/>
          <w:divBdr>
            <w:top w:val="none" w:sz="0" w:space="0" w:color="auto"/>
            <w:left w:val="none" w:sz="0" w:space="0" w:color="auto"/>
            <w:bottom w:val="none" w:sz="0" w:space="0" w:color="auto"/>
            <w:right w:val="none" w:sz="0" w:space="0" w:color="auto"/>
          </w:divBdr>
        </w:div>
        <w:div w:id="130948937">
          <w:marLeft w:val="0"/>
          <w:marRight w:val="0"/>
          <w:marTop w:val="0"/>
          <w:marBottom w:val="0"/>
          <w:divBdr>
            <w:top w:val="none" w:sz="0" w:space="0" w:color="auto"/>
            <w:left w:val="none" w:sz="0" w:space="0" w:color="auto"/>
            <w:bottom w:val="none" w:sz="0" w:space="0" w:color="auto"/>
            <w:right w:val="none" w:sz="0" w:space="0" w:color="auto"/>
          </w:divBdr>
        </w:div>
        <w:div w:id="1383404882">
          <w:marLeft w:val="0"/>
          <w:marRight w:val="0"/>
          <w:marTop w:val="0"/>
          <w:marBottom w:val="0"/>
          <w:divBdr>
            <w:top w:val="none" w:sz="0" w:space="0" w:color="auto"/>
            <w:left w:val="none" w:sz="0" w:space="0" w:color="auto"/>
            <w:bottom w:val="none" w:sz="0" w:space="0" w:color="auto"/>
            <w:right w:val="none" w:sz="0" w:space="0" w:color="auto"/>
          </w:divBdr>
        </w:div>
        <w:div w:id="1896892658">
          <w:marLeft w:val="0"/>
          <w:marRight w:val="0"/>
          <w:marTop w:val="0"/>
          <w:marBottom w:val="0"/>
          <w:divBdr>
            <w:top w:val="none" w:sz="0" w:space="0" w:color="auto"/>
            <w:left w:val="none" w:sz="0" w:space="0" w:color="auto"/>
            <w:bottom w:val="none" w:sz="0" w:space="0" w:color="auto"/>
            <w:right w:val="none" w:sz="0" w:space="0" w:color="auto"/>
          </w:divBdr>
        </w:div>
        <w:div w:id="293027164">
          <w:marLeft w:val="0"/>
          <w:marRight w:val="0"/>
          <w:marTop w:val="0"/>
          <w:marBottom w:val="0"/>
          <w:divBdr>
            <w:top w:val="none" w:sz="0" w:space="0" w:color="auto"/>
            <w:left w:val="none" w:sz="0" w:space="0" w:color="auto"/>
            <w:bottom w:val="none" w:sz="0" w:space="0" w:color="auto"/>
            <w:right w:val="none" w:sz="0" w:space="0" w:color="auto"/>
          </w:divBdr>
        </w:div>
        <w:div w:id="351031573">
          <w:marLeft w:val="0"/>
          <w:marRight w:val="0"/>
          <w:marTop w:val="0"/>
          <w:marBottom w:val="0"/>
          <w:divBdr>
            <w:top w:val="none" w:sz="0" w:space="0" w:color="auto"/>
            <w:left w:val="none" w:sz="0" w:space="0" w:color="auto"/>
            <w:bottom w:val="none" w:sz="0" w:space="0" w:color="auto"/>
            <w:right w:val="none" w:sz="0" w:space="0" w:color="auto"/>
          </w:divBdr>
        </w:div>
        <w:div w:id="1073048197">
          <w:marLeft w:val="0"/>
          <w:marRight w:val="0"/>
          <w:marTop w:val="0"/>
          <w:marBottom w:val="0"/>
          <w:divBdr>
            <w:top w:val="none" w:sz="0" w:space="0" w:color="auto"/>
            <w:left w:val="none" w:sz="0" w:space="0" w:color="auto"/>
            <w:bottom w:val="none" w:sz="0" w:space="0" w:color="auto"/>
            <w:right w:val="none" w:sz="0" w:space="0" w:color="auto"/>
          </w:divBdr>
        </w:div>
        <w:div w:id="367880447">
          <w:marLeft w:val="0"/>
          <w:marRight w:val="0"/>
          <w:marTop w:val="0"/>
          <w:marBottom w:val="0"/>
          <w:divBdr>
            <w:top w:val="none" w:sz="0" w:space="0" w:color="auto"/>
            <w:left w:val="none" w:sz="0" w:space="0" w:color="auto"/>
            <w:bottom w:val="none" w:sz="0" w:space="0" w:color="auto"/>
            <w:right w:val="none" w:sz="0" w:space="0" w:color="auto"/>
          </w:divBdr>
        </w:div>
      </w:divsChild>
    </w:div>
    <w:div w:id="545260325">
      <w:bodyDiv w:val="1"/>
      <w:marLeft w:val="0"/>
      <w:marRight w:val="0"/>
      <w:marTop w:val="0"/>
      <w:marBottom w:val="0"/>
      <w:divBdr>
        <w:top w:val="none" w:sz="0" w:space="0" w:color="auto"/>
        <w:left w:val="none" w:sz="0" w:space="0" w:color="auto"/>
        <w:bottom w:val="none" w:sz="0" w:space="0" w:color="auto"/>
        <w:right w:val="none" w:sz="0" w:space="0" w:color="auto"/>
      </w:divBdr>
      <w:divsChild>
        <w:div w:id="681248483">
          <w:marLeft w:val="0"/>
          <w:marRight w:val="0"/>
          <w:marTop w:val="0"/>
          <w:marBottom w:val="0"/>
          <w:divBdr>
            <w:top w:val="none" w:sz="0" w:space="0" w:color="auto"/>
            <w:left w:val="none" w:sz="0" w:space="0" w:color="auto"/>
            <w:bottom w:val="none" w:sz="0" w:space="0" w:color="auto"/>
            <w:right w:val="none" w:sz="0" w:space="0" w:color="auto"/>
          </w:divBdr>
        </w:div>
        <w:div w:id="1266036787">
          <w:marLeft w:val="0"/>
          <w:marRight w:val="0"/>
          <w:marTop w:val="0"/>
          <w:marBottom w:val="0"/>
          <w:divBdr>
            <w:top w:val="none" w:sz="0" w:space="0" w:color="auto"/>
            <w:left w:val="none" w:sz="0" w:space="0" w:color="auto"/>
            <w:bottom w:val="none" w:sz="0" w:space="0" w:color="auto"/>
            <w:right w:val="none" w:sz="0" w:space="0" w:color="auto"/>
          </w:divBdr>
        </w:div>
        <w:div w:id="939216906">
          <w:marLeft w:val="0"/>
          <w:marRight w:val="0"/>
          <w:marTop w:val="0"/>
          <w:marBottom w:val="0"/>
          <w:divBdr>
            <w:top w:val="none" w:sz="0" w:space="0" w:color="auto"/>
            <w:left w:val="none" w:sz="0" w:space="0" w:color="auto"/>
            <w:bottom w:val="none" w:sz="0" w:space="0" w:color="auto"/>
            <w:right w:val="none" w:sz="0" w:space="0" w:color="auto"/>
          </w:divBdr>
        </w:div>
        <w:div w:id="684524818">
          <w:marLeft w:val="0"/>
          <w:marRight w:val="0"/>
          <w:marTop w:val="0"/>
          <w:marBottom w:val="0"/>
          <w:divBdr>
            <w:top w:val="none" w:sz="0" w:space="0" w:color="auto"/>
            <w:left w:val="none" w:sz="0" w:space="0" w:color="auto"/>
            <w:bottom w:val="none" w:sz="0" w:space="0" w:color="auto"/>
            <w:right w:val="none" w:sz="0" w:space="0" w:color="auto"/>
          </w:divBdr>
        </w:div>
        <w:div w:id="302976842">
          <w:marLeft w:val="0"/>
          <w:marRight w:val="0"/>
          <w:marTop w:val="0"/>
          <w:marBottom w:val="0"/>
          <w:divBdr>
            <w:top w:val="none" w:sz="0" w:space="0" w:color="auto"/>
            <w:left w:val="none" w:sz="0" w:space="0" w:color="auto"/>
            <w:bottom w:val="none" w:sz="0" w:space="0" w:color="auto"/>
            <w:right w:val="none" w:sz="0" w:space="0" w:color="auto"/>
          </w:divBdr>
        </w:div>
        <w:div w:id="253320486">
          <w:marLeft w:val="0"/>
          <w:marRight w:val="0"/>
          <w:marTop w:val="0"/>
          <w:marBottom w:val="0"/>
          <w:divBdr>
            <w:top w:val="none" w:sz="0" w:space="0" w:color="auto"/>
            <w:left w:val="none" w:sz="0" w:space="0" w:color="auto"/>
            <w:bottom w:val="none" w:sz="0" w:space="0" w:color="auto"/>
            <w:right w:val="none" w:sz="0" w:space="0" w:color="auto"/>
          </w:divBdr>
        </w:div>
        <w:div w:id="821044798">
          <w:marLeft w:val="0"/>
          <w:marRight w:val="0"/>
          <w:marTop w:val="0"/>
          <w:marBottom w:val="0"/>
          <w:divBdr>
            <w:top w:val="none" w:sz="0" w:space="0" w:color="auto"/>
            <w:left w:val="none" w:sz="0" w:space="0" w:color="auto"/>
            <w:bottom w:val="none" w:sz="0" w:space="0" w:color="auto"/>
            <w:right w:val="none" w:sz="0" w:space="0" w:color="auto"/>
          </w:divBdr>
        </w:div>
        <w:div w:id="812141628">
          <w:marLeft w:val="0"/>
          <w:marRight w:val="0"/>
          <w:marTop w:val="0"/>
          <w:marBottom w:val="0"/>
          <w:divBdr>
            <w:top w:val="none" w:sz="0" w:space="0" w:color="auto"/>
            <w:left w:val="none" w:sz="0" w:space="0" w:color="auto"/>
            <w:bottom w:val="none" w:sz="0" w:space="0" w:color="auto"/>
            <w:right w:val="none" w:sz="0" w:space="0" w:color="auto"/>
          </w:divBdr>
        </w:div>
        <w:div w:id="1171291057">
          <w:marLeft w:val="0"/>
          <w:marRight w:val="0"/>
          <w:marTop w:val="0"/>
          <w:marBottom w:val="0"/>
          <w:divBdr>
            <w:top w:val="none" w:sz="0" w:space="0" w:color="auto"/>
            <w:left w:val="none" w:sz="0" w:space="0" w:color="auto"/>
            <w:bottom w:val="none" w:sz="0" w:space="0" w:color="auto"/>
            <w:right w:val="none" w:sz="0" w:space="0" w:color="auto"/>
          </w:divBdr>
        </w:div>
        <w:div w:id="1825510021">
          <w:marLeft w:val="0"/>
          <w:marRight w:val="0"/>
          <w:marTop w:val="0"/>
          <w:marBottom w:val="0"/>
          <w:divBdr>
            <w:top w:val="none" w:sz="0" w:space="0" w:color="auto"/>
            <w:left w:val="none" w:sz="0" w:space="0" w:color="auto"/>
            <w:bottom w:val="none" w:sz="0" w:space="0" w:color="auto"/>
            <w:right w:val="none" w:sz="0" w:space="0" w:color="auto"/>
          </w:divBdr>
        </w:div>
        <w:div w:id="193425521">
          <w:marLeft w:val="0"/>
          <w:marRight w:val="0"/>
          <w:marTop w:val="0"/>
          <w:marBottom w:val="0"/>
          <w:divBdr>
            <w:top w:val="none" w:sz="0" w:space="0" w:color="auto"/>
            <w:left w:val="none" w:sz="0" w:space="0" w:color="auto"/>
            <w:bottom w:val="none" w:sz="0" w:space="0" w:color="auto"/>
            <w:right w:val="none" w:sz="0" w:space="0" w:color="auto"/>
          </w:divBdr>
        </w:div>
        <w:div w:id="945815802">
          <w:marLeft w:val="0"/>
          <w:marRight w:val="0"/>
          <w:marTop w:val="0"/>
          <w:marBottom w:val="0"/>
          <w:divBdr>
            <w:top w:val="none" w:sz="0" w:space="0" w:color="auto"/>
            <w:left w:val="none" w:sz="0" w:space="0" w:color="auto"/>
            <w:bottom w:val="none" w:sz="0" w:space="0" w:color="auto"/>
            <w:right w:val="none" w:sz="0" w:space="0" w:color="auto"/>
          </w:divBdr>
        </w:div>
        <w:div w:id="181553145">
          <w:marLeft w:val="0"/>
          <w:marRight w:val="0"/>
          <w:marTop w:val="0"/>
          <w:marBottom w:val="0"/>
          <w:divBdr>
            <w:top w:val="none" w:sz="0" w:space="0" w:color="auto"/>
            <w:left w:val="none" w:sz="0" w:space="0" w:color="auto"/>
            <w:bottom w:val="none" w:sz="0" w:space="0" w:color="auto"/>
            <w:right w:val="none" w:sz="0" w:space="0" w:color="auto"/>
          </w:divBdr>
        </w:div>
        <w:div w:id="638461101">
          <w:marLeft w:val="0"/>
          <w:marRight w:val="0"/>
          <w:marTop w:val="0"/>
          <w:marBottom w:val="0"/>
          <w:divBdr>
            <w:top w:val="none" w:sz="0" w:space="0" w:color="auto"/>
            <w:left w:val="none" w:sz="0" w:space="0" w:color="auto"/>
            <w:bottom w:val="none" w:sz="0" w:space="0" w:color="auto"/>
            <w:right w:val="none" w:sz="0" w:space="0" w:color="auto"/>
          </w:divBdr>
        </w:div>
        <w:div w:id="74784246">
          <w:marLeft w:val="0"/>
          <w:marRight w:val="0"/>
          <w:marTop w:val="0"/>
          <w:marBottom w:val="0"/>
          <w:divBdr>
            <w:top w:val="none" w:sz="0" w:space="0" w:color="auto"/>
            <w:left w:val="none" w:sz="0" w:space="0" w:color="auto"/>
            <w:bottom w:val="none" w:sz="0" w:space="0" w:color="auto"/>
            <w:right w:val="none" w:sz="0" w:space="0" w:color="auto"/>
          </w:divBdr>
        </w:div>
        <w:div w:id="1783498677">
          <w:marLeft w:val="0"/>
          <w:marRight w:val="0"/>
          <w:marTop w:val="0"/>
          <w:marBottom w:val="0"/>
          <w:divBdr>
            <w:top w:val="none" w:sz="0" w:space="0" w:color="auto"/>
            <w:left w:val="none" w:sz="0" w:space="0" w:color="auto"/>
            <w:bottom w:val="none" w:sz="0" w:space="0" w:color="auto"/>
            <w:right w:val="none" w:sz="0" w:space="0" w:color="auto"/>
          </w:divBdr>
        </w:div>
        <w:div w:id="1060594759">
          <w:marLeft w:val="0"/>
          <w:marRight w:val="0"/>
          <w:marTop w:val="0"/>
          <w:marBottom w:val="0"/>
          <w:divBdr>
            <w:top w:val="none" w:sz="0" w:space="0" w:color="auto"/>
            <w:left w:val="none" w:sz="0" w:space="0" w:color="auto"/>
            <w:bottom w:val="none" w:sz="0" w:space="0" w:color="auto"/>
            <w:right w:val="none" w:sz="0" w:space="0" w:color="auto"/>
          </w:divBdr>
        </w:div>
        <w:div w:id="593634732">
          <w:marLeft w:val="0"/>
          <w:marRight w:val="0"/>
          <w:marTop w:val="0"/>
          <w:marBottom w:val="0"/>
          <w:divBdr>
            <w:top w:val="none" w:sz="0" w:space="0" w:color="auto"/>
            <w:left w:val="none" w:sz="0" w:space="0" w:color="auto"/>
            <w:bottom w:val="none" w:sz="0" w:space="0" w:color="auto"/>
            <w:right w:val="none" w:sz="0" w:space="0" w:color="auto"/>
          </w:divBdr>
        </w:div>
        <w:div w:id="1225800457">
          <w:marLeft w:val="0"/>
          <w:marRight w:val="0"/>
          <w:marTop w:val="0"/>
          <w:marBottom w:val="0"/>
          <w:divBdr>
            <w:top w:val="none" w:sz="0" w:space="0" w:color="auto"/>
            <w:left w:val="none" w:sz="0" w:space="0" w:color="auto"/>
            <w:bottom w:val="none" w:sz="0" w:space="0" w:color="auto"/>
            <w:right w:val="none" w:sz="0" w:space="0" w:color="auto"/>
          </w:divBdr>
        </w:div>
        <w:div w:id="1752659692">
          <w:marLeft w:val="0"/>
          <w:marRight w:val="0"/>
          <w:marTop w:val="0"/>
          <w:marBottom w:val="0"/>
          <w:divBdr>
            <w:top w:val="none" w:sz="0" w:space="0" w:color="auto"/>
            <w:left w:val="none" w:sz="0" w:space="0" w:color="auto"/>
            <w:bottom w:val="none" w:sz="0" w:space="0" w:color="auto"/>
            <w:right w:val="none" w:sz="0" w:space="0" w:color="auto"/>
          </w:divBdr>
        </w:div>
        <w:div w:id="1960334623">
          <w:marLeft w:val="0"/>
          <w:marRight w:val="0"/>
          <w:marTop w:val="0"/>
          <w:marBottom w:val="0"/>
          <w:divBdr>
            <w:top w:val="none" w:sz="0" w:space="0" w:color="auto"/>
            <w:left w:val="none" w:sz="0" w:space="0" w:color="auto"/>
            <w:bottom w:val="none" w:sz="0" w:space="0" w:color="auto"/>
            <w:right w:val="none" w:sz="0" w:space="0" w:color="auto"/>
          </w:divBdr>
        </w:div>
        <w:div w:id="849952612">
          <w:marLeft w:val="0"/>
          <w:marRight w:val="0"/>
          <w:marTop w:val="0"/>
          <w:marBottom w:val="0"/>
          <w:divBdr>
            <w:top w:val="none" w:sz="0" w:space="0" w:color="auto"/>
            <w:left w:val="none" w:sz="0" w:space="0" w:color="auto"/>
            <w:bottom w:val="none" w:sz="0" w:space="0" w:color="auto"/>
            <w:right w:val="none" w:sz="0" w:space="0" w:color="auto"/>
          </w:divBdr>
        </w:div>
        <w:div w:id="44373603">
          <w:marLeft w:val="0"/>
          <w:marRight w:val="0"/>
          <w:marTop w:val="0"/>
          <w:marBottom w:val="0"/>
          <w:divBdr>
            <w:top w:val="none" w:sz="0" w:space="0" w:color="auto"/>
            <w:left w:val="none" w:sz="0" w:space="0" w:color="auto"/>
            <w:bottom w:val="none" w:sz="0" w:space="0" w:color="auto"/>
            <w:right w:val="none" w:sz="0" w:space="0" w:color="auto"/>
          </w:divBdr>
        </w:div>
        <w:div w:id="1427536805">
          <w:marLeft w:val="0"/>
          <w:marRight w:val="0"/>
          <w:marTop w:val="0"/>
          <w:marBottom w:val="0"/>
          <w:divBdr>
            <w:top w:val="none" w:sz="0" w:space="0" w:color="auto"/>
            <w:left w:val="none" w:sz="0" w:space="0" w:color="auto"/>
            <w:bottom w:val="none" w:sz="0" w:space="0" w:color="auto"/>
            <w:right w:val="none" w:sz="0" w:space="0" w:color="auto"/>
          </w:divBdr>
        </w:div>
        <w:div w:id="413206557">
          <w:marLeft w:val="0"/>
          <w:marRight w:val="0"/>
          <w:marTop w:val="0"/>
          <w:marBottom w:val="0"/>
          <w:divBdr>
            <w:top w:val="none" w:sz="0" w:space="0" w:color="auto"/>
            <w:left w:val="none" w:sz="0" w:space="0" w:color="auto"/>
            <w:bottom w:val="none" w:sz="0" w:space="0" w:color="auto"/>
            <w:right w:val="none" w:sz="0" w:space="0" w:color="auto"/>
          </w:divBdr>
        </w:div>
        <w:div w:id="975992539">
          <w:marLeft w:val="0"/>
          <w:marRight w:val="0"/>
          <w:marTop w:val="0"/>
          <w:marBottom w:val="0"/>
          <w:divBdr>
            <w:top w:val="none" w:sz="0" w:space="0" w:color="auto"/>
            <w:left w:val="none" w:sz="0" w:space="0" w:color="auto"/>
            <w:bottom w:val="none" w:sz="0" w:space="0" w:color="auto"/>
            <w:right w:val="none" w:sz="0" w:space="0" w:color="auto"/>
          </w:divBdr>
        </w:div>
        <w:div w:id="1354914301">
          <w:marLeft w:val="0"/>
          <w:marRight w:val="0"/>
          <w:marTop w:val="0"/>
          <w:marBottom w:val="0"/>
          <w:divBdr>
            <w:top w:val="none" w:sz="0" w:space="0" w:color="auto"/>
            <w:left w:val="none" w:sz="0" w:space="0" w:color="auto"/>
            <w:bottom w:val="none" w:sz="0" w:space="0" w:color="auto"/>
            <w:right w:val="none" w:sz="0" w:space="0" w:color="auto"/>
          </w:divBdr>
        </w:div>
        <w:div w:id="1503280787">
          <w:marLeft w:val="0"/>
          <w:marRight w:val="0"/>
          <w:marTop w:val="0"/>
          <w:marBottom w:val="0"/>
          <w:divBdr>
            <w:top w:val="none" w:sz="0" w:space="0" w:color="auto"/>
            <w:left w:val="none" w:sz="0" w:space="0" w:color="auto"/>
            <w:bottom w:val="none" w:sz="0" w:space="0" w:color="auto"/>
            <w:right w:val="none" w:sz="0" w:space="0" w:color="auto"/>
          </w:divBdr>
        </w:div>
        <w:div w:id="610403786">
          <w:marLeft w:val="0"/>
          <w:marRight w:val="0"/>
          <w:marTop w:val="0"/>
          <w:marBottom w:val="0"/>
          <w:divBdr>
            <w:top w:val="none" w:sz="0" w:space="0" w:color="auto"/>
            <w:left w:val="none" w:sz="0" w:space="0" w:color="auto"/>
            <w:bottom w:val="none" w:sz="0" w:space="0" w:color="auto"/>
            <w:right w:val="none" w:sz="0" w:space="0" w:color="auto"/>
          </w:divBdr>
        </w:div>
        <w:div w:id="323700687">
          <w:marLeft w:val="0"/>
          <w:marRight w:val="0"/>
          <w:marTop w:val="0"/>
          <w:marBottom w:val="0"/>
          <w:divBdr>
            <w:top w:val="none" w:sz="0" w:space="0" w:color="auto"/>
            <w:left w:val="none" w:sz="0" w:space="0" w:color="auto"/>
            <w:bottom w:val="none" w:sz="0" w:space="0" w:color="auto"/>
            <w:right w:val="none" w:sz="0" w:space="0" w:color="auto"/>
          </w:divBdr>
        </w:div>
        <w:div w:id="1564291191">
          <w:marLeft w:val="0"/>
          <w:marRight w:val="0"/>
          <w:marTop w:val="0"/>
          <w:marBottom w:val="0"/>
          <w:divBdr>
            <w:top w:val="none" w:sz="0" w:space="0" w:color="auto"/>
            <w:left w:val="none" w:sz="0" w:space="0" w:color="auto"/>
            <w:bottom w:val="none" w:sz="0" w:space="0" w:color="auto"/>
            <w:right w:val="none" w:sz="0" w:space="0" w:color="auto"/>
          </w:divBdr>
        </w:div>
        <w:div w:id="1822500002">
          <w:marLeft w:val="0"/>
          <w:marRight w:val="0"/>
          <w:marTop w:val="0"/>
          <w:marBottom w:val="0"/>
          <w:divBdr>
            <w:top w:val="none" w:sz="0" w:space="0" w:color="auto"/>
            <w:left w:val="none" w:sz="0" w:space="0" w:color="auto"/>
            <w:bottom w:val="none" w:sz="0" w:space="0" w:color="auto"/>
            <w:right w:val="none" w:sz="0" w:space="0" w:color="auto"/>
          </w:divBdr>
        </w:div>
        <w:div w:id="1873686869">
          <w:marLeft w:val="0"/>
          <w:marRight w:val="0"/>
          <w:marTop w:val="0"/>
          <w:marBottom w:val="0"/>
          <w:divBdr>
            <w:top w:val="none" w:sz="0" w:space="0" w:color="auto"/>
            <w:left w:val="none" w:sz="0" w:space="0" w:color="auto"/>
            <w:bottom w:val="none" w:sz="0" w:space="0" w:color="auto"/>
            <w:right w:val="none" w:sz="0" w:space="0" w:color="auto"/>
          </w:divBdr>
        </w:div>
        <w:div w:id="433400408">
          <w:marLeft w:val="0"/>
          <w:marRight w:val="0"/>
          <w:marTop w:val="0"/>
          <w:marBottom w:val="0"/>
          <w:divBdr>
            <w:top w:val="none" w:sz="0" w:space="0" w:color="auto"/>
            <w:left w:val="none" w:sz="0" w:space="0" w:color="auto"/>
            <w:bottom w:val="none" w:sz="0" w:space="0" w:color="auto"/>
            <w:right w:val="none" w:sz="0" w:space="0" w:color="auto"/>
          </w:divBdr>
        </w:div>
        <w:div w:id="214900395">
          <w:marLeft w:val="0"/>
          <w:marRight w:val="0"/>
          <w:marTop w:val="0"/>
          <w:marBottom w:val="0"/>
          <w:divBdr>
            <w:top w:val="none" w:sz="0" w:space="0" w:color="auto"/>
            <w:left w:val="none" w:sz="0" w:space="0" w:color="auto"/>
            <w:bottom w:val="none" w:sz="0" w:space="0" w:color="auto"/>
            <w:right w:val="none" w:sz="0" w:space="0" w:color="auto"/>
          </w:divBdr>
        </w:div>
        <w:div w:id="246425353">
          <w:marLeft w:val="0"/>
          <w:marRight w:val="0"/>
          <w:marTop w:val="0"/>
          <w:marBottom w:val="0"/>
          <w:divBdr>
            <w:top w:val="none" w:sz="0" w:space="0" w:color="auto"/>
            <w:left w:val="none" w:sz="0" w:space="0" w:color="auto"/>
            <w:bottom w:val="none" w:sz="0" w:space="0" w:color="auto"/>
            <w:right w:val="none" w:sz="0" w:space="0" w:color="auto"/>
          </w:divBdr>
        </w:div>
      </w:divsChild>
    </w:div>
    <w:div w:id="554893686">
      <w:bodyDiv w:val="1"/>
      <w:marLeft w:val="0"/>
      <w:marRight w:val="0"/>
      <w:marTop w:val="0"/>
      <w:marBottom w:val="0"/>
      <w:divBdr>
        <w:top w:val="none" w:sz="0" w:space="0" w:color="auto"/>
        <w:left w:val="none" w:sz="0" w:space="0" w:color="auto"/>
        <w:bottom w:val="none" w:sz="0" w:space="0" w:color="auto"/>
        <w:right w:val="none" w:sz="0" w:space="0" w:color="auto"/>
      </w:divBdr>
    </w:div>
    <w:div w:id="557058733">
      <w:bodyDiv w:val="1"/>
      <w:marLeft w:val="0"/>
      <w:marRight w:val="0"/>
      <w:marTop w:val="0"/>
      <w:marBottom w:val="0"/>
      <w:divBdr>
        <w:top w:val="none" w:sz="0" w:space="0" w:color="auto"/>
        <w:left w:val="none" w:sz="0" w:space="0" w:color="auto"/>
        <w:bottom w:val="none" w:sz="0" w:space="0" w:color="auto"/>
        <w:right w:val="none" w:sz="0" w:space="0" w:color="auto"/>
      </w:divBdr>
    </w:div>
    <w:div w:id="601186139">
      <w:bodyDiv w:val="1"/>
      <w:marLeft w:val="0"/>
      <w:marRight w:val="0"/>
      <w:marTop w:val="0"/>
      <w:marBottom w:val="0"/>
      <w:divBdr>
        <w:top w:val="none" w:sz="0" w:space="0" w:color="auto"/>
        <w:left w:val="none" w:sz="0" w:space="0" w:color="auto"/>
        <w:bottom w:val="none" w:sz="0" w:space="0" w:color="auto"/>
        <w:right w:val="none" w:sz="0" w:space="0" w:color="auto"/>
      </w:divBdr>
    </w:div>
    <w:div w:id="623774890">
      <w:bodyDiv w:val="1"/>
      <w:marLeft w:val="0"/>
      <w:marRight w:val="0"/>
      <w:marTop w:val="0"/>
      <w:marBottom w:val="0"/>
      <w:divBdr>
        <w:top w:val="none" w:sz="0" w:space="0" w:color="auto"/>
        <w:left w:val="none" w:sz="0" w:space="0" w:color="auto"/>
        <w:bottom w:val="none" w:sz="0" w:space="0" w:color="auto"/>
        <w:right w:val="none" w:sz="0" w:space="0" w:color="auto"/>
      </w:divBdr>
    </w:div>
    <w:div w:id="630092422">
      <w:bodyDiv w:val="1"/>
      <w:marLeft w:val="0"/>
      <w:marRight w:val="0"/>
      <w:marTop w:val="0"/>
      <w:marBottom w:val="0"/>
      <w:divBdr>
        <w:top w:val="none" w:sz="0" w:space="0" w:color="auto"/>
        <w:left w:val="none" w:sz="0" w:space="0" w:color="auto"/>
        <w:bottom w:val="none" w:sz="0" w:space="0" w:color="auto"/>
        <w:right w:val="none" w:sz="0" w:space="0" w:color="auto"/>
      </w:divBdr>
      <w:divsChild>
        <w:div w:id="1793210591">
          <w:marLeft w:val="0"/>
          <w:marRight w:val="0"/>
          <w:marTop w:val="0"/>
          <w:marBottom w:val="0"/>
          <w:divBdr>
            <w:top w:val="none" w:sz="0" w:space="0" w:color="auto"/>
            <w:left w:val="none" w:sz="0" w:space="0" w:color="auto"/>
            <w:bottom w:val="none" w:sz="0" w:space="0" w:color="auto"/>
            <w:right w:val="none" w:sz="0" w:space="0" w:color="auto"/>
          </w:divBdr>
        </w:div>
        <w:div w:id="1706909346">
          <w:marLeft w:val="0"/>
          <w:marRight w:val="0"/>
          <w:marTop w:val="0"/>
          <w:marBottom w:val="0"/>
          <w:divBdr>
            <w:top w:val="none" w:sz="0" w:space="0" w:color="auto"/>
            <w:left w:val="none" w:sz="0" w:space="0" w:color="auto"/>
            <w:bottom w:val="none" w:sz="0" w:space="0" w:color="auto"/>
            <w:right w:val="none" w:sz="0" w:space="0" w:color="auto"/>
          </w:divBdr>
        </w:div>
        <w:div w:id="393968572">
          <w:marLeft w:val="0"/>
          <w:marRight w:val="0"/>
          <w:marTop w:val="0"/>
          <w:marBottom w:val="0"/>
          <w:divBdr>
            <w:top w:val="none" w:sz="0" w:space="0" w:color="auto"/>
            <w:left w:val="none" w:sz="0" w:space="0" w:color="auto"/>
            <w:bottom w:val="none" w:sz="0" w:space="0" w:color="auto"/>
            <w:right w:val="none" w:sz="0" w:space="0" w:color="auto"/>
          </w:divBdr>
        </w:div>
        <w:div w:id="36777616">
          <w:marLeft w:val="0"/>
          <w:marRight w:val="0"/>
          <w:marTop w:val="0"/>
          <w:marBottom w:val="0"/>
          <w:divBdr>
            <w:top w:val="none" w:sz="0" w:space="0" w:color="auto"/>
            <w:left w:val="none" w:sz="0" w:space="0" w:color="auto"/>
            <w:bottom w:val="none" w:sz="0" w:space="0" w:color="auto"/>
            <w:right w:val="none" w:sz="0" w:space="0" w:color="auto"/>
          </w:divBdr>
        </w:div>
        <w:div w:id="1744529078">
          <w:marLeft w:val="0"/>
          <w:marRight w:val="0"/>
          <w:marTop w:val="0"/>
          <w:marBottom w:val="0"/>
          <w:divBdr>
            <w:top w:val="none" w:sz="0" w:space="0" w:color="auto"/>
            <w:left w:val="none" w:sz="0" w:space="0" w:color="auto"/>
            <w:bottom w:val="none" w:sz="0" w:space="0" w:color="auto"/>
            <w:right w:val="none" w:sz="0" w:space="0" w:color="auto"/>
          </w:divBdr>
        </w:div>
        <w:div w:id="1945529509">
          <w:marLeft w:val="0"/>
          <w:marRight w:val="0"/>
          <w:marTop w:val="0"/>
          <w:marBottom w:val="0"/>
          <w:divBdr>
            <w:top w:val="none" w:sz="0" w:space="0" w:color="auto"/>
            <w:left w:val="none" w:sz="0" w:space="0" w:color="auto"/>
            <w:bottom w:val="none" w:sz="0" w:space="0" w:color="auto"/>
            <w:right w:val="none" w:sz="0" w:space="0" w:color="auto"/>
          </w:divBdr>
        </w:div>
        <w:div w:id="627317611">
          <w:marLeft w:val="0"/>
          <w:marRight w:val="0"/>
          <w:marTop w:val="0"/>
          <w:marBottom w:val="0"/>
          <w:divBdr>
            <w:top w:val="none" w:sz="0" w:space="0" w:color="auto"/>
            <w:left w:val="none" w:sz="0" w:space="0" w:color="auto"/>
            <w:bottom w:val="none" w:sz="0" w:space="0" w:color="auto"/>
            <w:right w:val="none" w:sz="0" w:space="0" w:color="auto"/>
          </w:divBdr>
        </w:div>
        <w:div w:id="1998151405">
          <w:marLeft w:val="0"/>
          <w:marRight w:val="0"/>
          <w:marTop w:val="0"/>
          <w:marBottom w:val="0"/>
          <w:divBdr>
            <w:top w:val="none" w:sz="0" w:space="0" w:color="auto"/>
            <w:left w:val="none" w:sz="0" w:space="0" w:color="auto"/>
            <w:bottom w:val="none" w:sz="0" w:space="0" w:color="auto"/>
            <w:right w:val="none" w:sz="0" w:space="0" w:color="auto"/>
          </w:divBdr>
        </w:div>
        <w:div w:id="1049958138">
          <w:marLeft w:val="0"/>
          <w:marRight w:val="0"/>
          <w:marTop w:val="0"/>
          <w:marBottom w:val="0"/>
          <w:divBdr>
            <w:top w:val="none" w:sz="0" w:space="0" w:color="auto"/>
            <w:left w:val="none" w:sz="0" w:space="0" w:color="auto"/>
            <w:bottom w:val="none" w:sz="0" w:space="0" w:color="auto"/>
            <w:right w:val="none" w:sz="0" w:space="0" w:color="auto"/>
          </w:divBdr>
        </w:div>
        <w:div w:id="99226882">
          <w:marLeft w:val="0"/>
          <w:marRight w:val="0"/>
          <w:marTop w:val="0"/>
          <w:marBottom w:val="0"/>
          <w:divBdr>
            <w:top w:val="none" w:sz="0" w:space="0" w:color="auto"/>
            <w:left w:val="none" w:sz="0" w:space="0" w:color="auto"/>
            <w:bottom w:val="none" w:sz="0" w:space="0" w:color="auto"/>
            <w:right w:val="none" w:sz="0" w:space="0" w:color="auto"/>
          </w:divBdr>
        </w:div>
        <w:div w:id="209927863">
          <w:marLeft w:val="0"/>
          <w:marRight w:val="0"/>
          <w:marTop w:val="0"/>
          <w:marBottom w:val="0"/>
          <w:divBdr>
            <w:top w:val="none" w:sz="0" w:space="0" w:color="auto"/>
            <w:left w:val="none" w:sz="0" w:space="0" w:color="auto"/>
            <w:bottom w:val="none" w:sz="0" w:space="0" w:color="auto"/>
            <w:right w:val="none" w:sz="0" w:space="0" w:color="auto"/>
          </w:divBdr>
        </w:div>
        <w:div w:id="2115976243">
          <w:marLeft w:val="0"/>
          <w:marRight w:val="0"/>
          <w:marTop w:val="0"/>
          <w:marBottom w:val="0"/>
          <w:divBdr>
            <w:top w:val="none" w:sz="0" w:space="0" w:color="auto"/>
            <w:left w:val="none" w:sz="0" w:space="0" w:color="auto"/>
            <w:bottom w:val="none" w:sz="0" w:space="0" w:color="auto"/>
            <w:right w:val="none" w:sz="0" w:space="0" w:color="auto"/>
          </w:divBdr>
        </w:div>
        <w:div w:id="26948985">
          <w:marLeft w:val="0"/>
          <w:marRight w:val="0"/>
          <w:marTop w:val="0"/>
          <w:marBottom w:val="0"/>
          <w:divBdr>
            <w:top w:val="none" w:sz="0" w:space="0" w:color="auto"/>
            <w:left w:val="none" w:sz="0" w:space="0" w:color="auto"/>
            <w:bottom w:val="none" w:sz="0" w:space="0" w:color="auto"/>
            <w:right w:val="none" w:sz="0" w:space="0" w:color="auto"/>
          </w:divBdr>
        </w:div>
        <w:div w:id="88086569">
          <w:marLeft w:val="0"/>
          <w:marRight w:val="0"/>
          <w:marTop w:val="0"/>
          <w:marBottom w:val="0"/>
          <w:divBdr>
            <w:top w:val="none" w:sz="0" w:space="0" w:color="auto"/>
            <w:left w:val="none" w:sz="0" w:space="0" w:color="auto"/>
            <w:bottom w:val="none" w:sz="0" w:space="0" w:color="auto"/>
            <w:right w:val="none" w:sz="0" w:space="0" w:color="auto"/>
          </w:divBdr>
        </w:div>
        <w:div w:id="1834569332">
          <w:marLeft w:val="0"/>
          <w:marRight w:val="0"/>
          <w:marTop w:val="0"/>
          <w:marBottom w:val="0"/>
          <w:divBdr>
            <w:top w:val="none" w:sz="0" w:space="0" w:color="auto"/>
            <w:left w:val="none" w:sz="0" w:space="0" w:color="auto"/>
            <w:bottom w:val="none" w:sz="0" w:space="0" w:color="auto"/>
            <w:right w:val="none" w:sz="0" w:space="0" w:color="auto"/>
          </w:divBdr>
        </w:div>
        <w:div w:id="1589116931">
          <w:marLeft w:val="0"/>
          <w:marRight w:val="0"/>
          <w:marTop w:val="0"/>
          <w:marBottom w:val="0"/>
          <w:divBdr>
            <w:top w:val="none" w:sz="0" w:space="0" w:color="auto"/>
            <w:left w:val="none" w:sz="0" w:space="0" w:color="auto"/>
            <w:bottom w:val="none" w:sz="0" w:space="0" w:color="auto"/>
            <w:right w:val="none" w:sz="0" w:space="0" w:color="auto"/>
          </w:divBdr>
        </w:div>
        <w:div w:id="215242041">
          <w:marLeft w:val="0"/>
          <w:marRight w:val="0"/>
          <w:marTop w:val="0"/>
          <w:marBottom w:val="0"/>
          <w:divBdr>
            <w:top w:val="none" w:sz="0" w:space="0" w:color="auto"/>
            <w:left w:val="none" w:sz="0" w:space="0" w:color="auto"/>
            <w:bottom w:val="none" w:sz="0" w:space="0" w:color="auto"/>
            <w:right w:val="none" w:sz="0" w:space="0" w:color="auto"/>
          </w:divBdr>
        </w:div>
        <w:div w:id="58986050">
          <w:marLeft w:val="0"/>
          <w:marRight w:val="0"/>
          <w:marTop w:val="0"/>
          <w:marBottom w:val="0"/>
          <w:divBdr>
            <w:top w:val="none" w:sz="0" w:space="0" w:color="auto"/>
            <w:left w:val="none" w:sz="0" w:space="0" w:color="auto"/>
            <w:bottom w:val="none" w:sz="0" w:space="0" w:color="auto"/>
            <w:right w:val="none" w:sz="0" w:space="0" w:color="auto"/>
          </w:divBdr>
        </w:div>
        <w:div w:id="2065593300">
          <w:marLeft w:val="0"/>
          <w:marRight w:val="0"/>
          <w:marTop w:val="0"/>
          <w:marBottom w:val="0"/>
          <w:divBdr>
            <w:top w:val="none" w:sz="0" w:space="0" w:color="auto"/>
            <w:left w:val="none" w:sz="0" w:space="0" w:color="auto"/>
            <w:bottom w:val="none" w:sz="0" w:space="0" w:color="auto"/>
            <w:right w:val="none" w:sz="0" w:space="0" w:color="auto"/>
          </w:divBdr>
        </w:div>
      </w:divsChild>
    </w:div>
    <w:div w:id="660086884">
      <w:bodyDiv w:val="1"/>
      <w:marLeft w:val="0"/>
      <w:marRight w:val="0"/>
      <w:marTop w:val="0"/>
      <w:marBottom w:val="0"/>
      <w:divBdr>
        <w:top w:val="none" w:sz="0" w:space="0" w:color="auto"/>
        <w:left w:val="none" w:sz="0" w:space="0" w:color="auto"/>
        <w:bottom w:val="none" w:sz="0" w:space="0" w:color="auto"/>
        <w:right w:val="none" w:sz="0" w:space="0" w:color="auto"/>
      </w:divBdr>
    </w:div>
    <w:div w:id="662514234">
      <w:bodyDiv w:val="1"/>
      <w:marLeft w:val="0"/>
      <w:marRight w:val="0"/>
      <w:marTop w:val="0"/>
      <w:marBottom w:val="0"/>
      <w:divBdr>
        <w:top w:val="none" w:sz="0" w:space="0" w:color="auto"/>
        <w:left w:val="none" w:sz="0" w:space="0" w:color="auto"/>
        <w:bottom w:val="none" w:sz="0" w:space="0" w:color="auto"/>
        <w:right w:val="none" w:sz="0" w:space="0" w:color="auto"/>
      </w:divBdr>
    </w:div>
    <w:div w:id="689840546">
      <w:bodyDiv w:val="1"/>
      <w:marLeft w:val="0"/>
      <w:marRight w:val="0"/>
      <w:marTop w:val="0"/>
      <w:marBottom w:val="0"/>
      <w:divBdr>
        <w:top w:val="none" w:sz="0" w:space="0" w:color="auto"/>
        <w:left w:val="none" w:sz="0" w:space="0" w:color="auto"/>
        <w:bottom w:val="none" w:sz="0" w:space="0" w:color="auto"/>
        <w:right w:val="none" w:sz="0" w:space="0" w:color="auto"/>
      </w:divBdr>
    </w:div>
    <w:div w:id="693766579">
      <w:bodyDiv w:val="1"/>
      <w:marLeft w:val="0"/>
      <w:marRight w:val="0"/>
      <w:marTop w:val="0"/>
      <w:marBottom w:val="0"/>
      <w:divBdr>
        <w:top w:val="none" w:sz="0" w:space="0" w:color="auto"/>
        <w:left w:val="none" w:sz="0" w:space="0" w:color="auto"/>
        <w:bottom w:val="none" w:sz="0" w:space="0" w:color="auto"/>
        <w:right w:val="none" w:sz="0" w:space="0" w:color="auto"/>
      </w:divBdr>
    </w:div>
    <w:div w:id="694624420">
      <w:bodyDiv w:val="1"/>
      <w:marLeft w:val="0"/>
      <w:marRight w:val="0"/>
      <w:marTop w:val="0"/>
      <w:marBottom w:val="0"/>
      <w:divBdr>
        <w:top w:val="none" w:sz="0" w:space="0" w:color="auto"/>
        <w:left w:val="none" w:sz="0" w:space="0" w:color="auto"/>
        <w:bottom w:val="none" w:sz="0" w:space="0" w:color="auto"/>
        <w:right w:val="none" w:sz="0" w:space="0" w:color="auto"/>
      </w:divBdr>
    </w:div>
    <w:div w:id="716664732">
      <w:bodyDiv w:val="1"/>
      <w:marLeft w:val="0"/>
      <w:marRight w:val="0"/>
      <w:marTop w:val="0"/>
      <w:marBottom w:val="0"/>
      <w:divBdr>
        <w:top w:val="none" w:sz="0" w:space="0" w:color="auto"/>
        <w:left w:val="none" w:sz="0" w:space="0" w:color="auto"/>
        <w:bottom w:val="none" w:sz="0" w:space="0" w:color="auto"/>
        <w:right w:val="none" w:sz="0" w:space="0" w:color="auto"/>
      </w:divBdr>
      <w:divsChild>
        <w:div w:id="789053687">
          <w:marLeft w:val="0"/>
          <w:marRight w:val="0"/>
          <w:marTop w:val="0"/>
          <w:marBottom w:val="0"/>
          <w:divBdr>
            <w:top w:val="none" w:sz="0" w:space="0" w:color="auto"/>
            <w:left w:val="none" w:sz="0" w:space="0" w:color="auto"/>
            <w:bottom w:val="none" w:sz="0" w:space="0" w:color="auto"/>
            <w:right w:val="none" w:sz="0" w:space="0" w:color="auto"/>
          </w:divBdr>
        </w:div>
        <w:div w:id="10910927">
          <w:marLeft w:val="0"/>
          <w:marRight w:val="0"/>
          <w:marTop w:val="0"/>
          <w:marBottom w:val="0"/>
          <w:divBdr>
            <w:top w:val="none" w:sz="0" w:space="0" w:color="auto"/>
            <w:left w:val="none" w:sz="0" w:space="0" w:color="auto"/>
            <w:bottom w:val="none" w:sz="0" w:space="0" w:color="auto"/>
            <w:right w:val="none" w:sz="0" w:space="0" w:color="auto"/>
          </w:divBdr>
        </w:div>
        <w:div w:id="1305693601">
          <w:marLeft w:val="0"/>
          <w:marRight w:val="0"/>
          <w:marTop w:val="0"/>
          <w:marBottom w:val="0"/>
          <w:divBdr>
            <w:top w:val="none" w:sz="0" w:space="0" w:color="auto"/>
            <w:left w:val="none" w:sz="0" w:space="0" w:color="auto"/>
            <w:bottom w:val="none" w:sz="0" w:space="0" w:color="auto"/>
            <w:right w:val="none" w:sz="0" w:space="0" w:color="auto"/>
          </w:divBdr>
        </w:div>
        <w:div w:id="1167476127">
          <w:marLeft w:val="0"/>
          <w:marRight w:val="0"/>
          <w:marTop w:val="0"/>
          <w:marBottom w:val="0"/>
          <w:divBdr>
            <w:top w:val="none" w:sz="0" w:space="0" w:color="auto"/>
            <w:left w:val="none" w:sz="0" w:space="0" w:color="auto"/>
            <w:bottom w:val="none" w:sz="0" w:space="0" w:color="auto"/>
            <w:right w:val="none" w:sz="0" w:space="0" w:color="auto"/>
          </w:divBdr>
        </w:div>
        <w:div w:id="2045211984">
          <w:marLeft w:val="0"/>
          <w:marRight w:val="0"/>
          <w:marTop w:val="0"/>
          <w:marBottom w:val="0"/>
          <w:divBdr>
            <w:top w:val="none" w:sz="0" w:space="0" w:color="auto"/>
            <w:left w:val="none" w:sz="0" w:space="0" w:color="auto"/>
            <w:bottom w:val="none" w:sz="0" w:space="0" w:color="auto"/>
            <w:right w:val="none" w:sz="0" w:space="0" w:color="auto"/>
          </w:divBdr>
        </w:div>
      </w:divsChild>
    </w:div>
    <w:div w:id="782964321">
      <w:bodyDiv w:val="1"/>
      <w:marLeft w:val="0"/>
      <w:marRight w:val="0"/>
      <w:marTop w:val="0"/>
      <w:marBottom w:val="0"/>
      <w:divBdr>
        <w:top w:val="none" w:sz="0" w:space="0" w:color="auto"/>
        <w:left w:val="none" w:sz="0" w:space="0" w:color="auto"/>
        <w:bottom w:val="none" w:sz="0" w:space="0" w:color="auto"/>
        <w:right w:val="none" w:sz="0" w:space="0" w:color="auto"/>
      </w:divBdr>
    </w:div>
    <w:div w:id="818158219">
      <w:bodyDiv w:val="1"/>
      <w:marLeft w:val="0"/>
      <w:marRight w:val="0"/>
      <w:marTop w:val="0"/>
      <w:marBottom w:val="0"/>
      <w:divBdr>
        <w:top w:val="none" w:sz="0" w:space="0" w:color="auto"/>
        <w:left w:val="none" w:sz="0" w:space="0" w:color="auto"/>
        <w:bottom w:val="none" w:sz="0" w:space="0" w:color="auto"/>
        <w:right w:val="none" w:sz="0" w:space="0" w:color="auto"/>
      </w:divBdr>
    </w:div>
    <w:div w:id="846332070">
      <w:bodyDiv w:val="1"/>
      <w:marLeft w:val="0"/>
      <w:marRight w:val="0"/>
      <w:marTop w:val="0"/>
      <w:marBottom w:val="0"/>
      <w:divBdr>
        <w:top w:val="none" w:sz="0" w:space="0" w:color="auto"/>
        <w:left w:val="none" w:sz="0" w:space="0" w:color="auto"/>
        <w:bottom w:val="none" w:sz="0" w:space="0" w:color="auto"/>
        <w:right w:val="none" w:sz="0" w:space="0" w:color="auto"/>
      </w:divBdr>
    </w:div>
    <w:div w:id="855271348">
      <w:bodyDiv w:val="1"/>
      <w:marLeft w:val="0"/>
      <w:marRight w:val="0"/>
      <w:marTop w:val="0"/>
      <w:marBottom w:val="0"/>
      <w:divBdr>
        <w:top w:val="none" w:sz="0" w:space="0" w:color="auto"/>
        <w:left w:val="none" w:sz="0" w:space="0" w:color="auto"/>
        <w:bottom w:val="none" w:sz="0" w:space="0" w:color="auto"/>
        <w:right w:val="none" w:sz="0" w:space="0" w:color="auto"/>
      </w:divBdr>
    </w:div>
    <w:div w:id="921567261">
      <w:bodyDiv w:val="1"/>
      <w:marLeft w:val="0"/>
      <w:marRight w:val="0"/>
      <w:marTop w:val="0"/>
      <w:marBottom w:val="0"/>
      <w:divBdr>
        <w:top w:val="none" w:sz="0" w:space="0" w:color="auto"/>
        <w:left w:val="none" w:sz="0" w:space="0" w:color="auto"/>
        <w:bottom w:val="none" w:sz="0" w:space="0" w:color="auto"/>
        <w:right w:val="none" w:sz="0" w:space="0" w:color="auto"/>
      </w:divBdr>
    </w:div>
    <w:div w:id="928006838">
      <w:bodyDiv w:val="1"/>
      <w:marLeft w:val="0"/>
      <w:marRight w:val="0"/>
      <w:marTop w:val="0"/>
      <w:marBottom w:val="0"/>
      <w:divBdr>
        <w:top w:val="none" w:sz="0" w:space="0" w:color="auto"/>
        <w:left w:val="none" w:sz="0" w:space="0" w:color="auto"/>
        <w:bottom w:val="none" w:sz="0" w:space="0" w:color="auto"/>
        <w:right w:val="none" w:sz="0" w:space="0" w:color="auto"/>
      </w:divBdr>
    </w:div>
    <w:div w:id="956180343">
      <w:bodyDiv w:val="1"/>
      <w:marLeft w:val="0"/>
      <w:marRight w:val="0"/>
      <w:marTop w:val="0"/>
      <w:marBottom w:val="0"/>
      <w:divBdr>
        <w:top w:val="none" w:sz="0" w:space="0" w:color="auto"/>
        <w:left w:val="none" w:sz="0" w:space="0" w:color="auto"/>
        <w:bottom w:val="none" w:sz="0" w:space="0" w:color="auto"/>
        <w:right w:val="none" w:sz="0" w:space="0" w:color="auto"/>
      </w:divBdr>
      <w:divsChild>
        <w:div w:id="67927243">
          <w:marLeft w:val="0"/>
          <w:marRight w:val="0"/>
          <w:marTop w:val="0"/>
          <w:marBottom w:val="0"/>
          <w:divBdr>
            <w:top w:val="none" w:sz="0" w:space="0" w:color="auto"/>
            <w:left w:val="none" w:sz="0" w:space="0" w:color="auto"/>
            <w:bottom w:val="none" w:sz="0" w:space="0" w:color="auto"/>
            <w:right w:val="none" w:sz="0" w:space="0" w:color="auto"/>
          </w:divBdr>
        </w:div>
        <w:div w:id="704333568">
          <w:marLeft w:val="0"/>
          <w:marRight w:val="0"/>
          <w:marTop w:val="0"/>
          <w:marBottom w:val="0"/>
          <w:divBdr>
            <w:top w:val="none" w:sz="0" w:space="0" w:color="auto"/>
            <w:left w:val="none" w:sz="0" w:space="0" w:color="auto"/>
            <w:bottom w:val="none" w:sz="0" w:space="0" w:color="auto"/>
            <w:right w:val="none" w:sz="0" w:space="0" w:color="auto"/>
          </w:divBdr>
        </w:div>
        <w:div w:id="1681152691">
          <w:marLeft w:val="0"/>
          <w:marRight w:val="0"/>
          <w:marTop w:val="0"/>
          <w:marBottom w:val="0"/>
          <w:divBdr>
            <w:top w:val="none" w:sz="0" w:space="0" w:color="auto"/>
            <w:left w:val="none" w:sz="0" w:space="0" w:color="auto"/>
            <w:bottom w:val="none" w:sz="0" w:space="0" w:color="auto"/>
            <w:right w:val="none" w:sz="0" w:space="0" w:color="auto"/>
          </w:divBdr>
        </w:div>
        <w:div w:id="962804288">
          <w:marLeft w:val="0"/>
          <w:marRight w:val="0"/>
          <w:marTop w:val="0"/>
          <w:marBottom w:val="0"/>
          <w:divBdr>
            <w:top w:val="none" w:sz="0" w:space="0" w:color="auto"/>
            <w:left w:val="none" w:sz="0" w:space="0" w:color="auto"/>
            <w:bottom w:val="none" w:sz="0" w:space="0" w:color="auto"/>
            <w:right w:val="none" w:sz="0" w:space="0" w:color="auto"/>
          </w:divBdr>
        </w:div>
        <w:div w:id="1051809215">
          <w:marLeft w:val="0"/>
          <w:marRight w:val="0"/>
          <w:marTop w:val="0"/>
          <w:marBottom w:val="0"/>
          <w:divBdr>
            <w:top w:val="none" w:sz="0" w:space="0" w:color="auto"/>
            <w:left w:val="none" w:sz="0" w:space="0" w:color="auto"/>
            <w:bottom w:val="none" w:sz="0" w:space="0" w:color="auto"/>
            <w:right w:val="none" w:sz="0" w:space="0" w:color="auto"/>
          </w:divBdr>
        </w:div>
        <w:div w:id="254285543">
          <w:marLeft w:val="0"/>
          <w:marRight w:val="0"/>
          <w:marTop w:val="0"/>
          <w:marBottom w:val="0"/>
          <w:divBdr>
            <w:top w:val="none" w:sz="0" w:space="0" w:color="auto"/>
            <w:left w:val="none" w:sz="0" w:space="0" w:color="auto"/>
            <w:bottom w:val="none" w:sz="0" w:space="0" w:color="auto"/>
            <w:right w:val="none" w:sz="0" w:space="0" w:color="auto"/>
          </w:divBdr>
        </w:div>
      </w:divsChild>
    </w:div>
    <w:div w:id="988484628">
      <w:bodyDiv w:val="1"/>
      <w:marLeft w:val="0"/>
      <w:marRight w:val="0"/>
      <w:marTop w:val="0"/>
      <w:marBottom w:val="0"/>
      <w:divBdr>
        <w:top w:val="none" w:sz="0" w:space="0" w:color="auto"/>
        <w:left w:val="none" w:sz="0" w:space="0" w:color="auto"/>
        <w:bottom w:val="none" w:sz="0" w:space="0" w:color="auto"/>
        <w:right w:val="none" w:sz="0" w:space="0" w:color="auto"/>
      </w:divBdr>
    </w:div>
    <w:div w:id="1005130991">
      <w:bodyDiv w:val="1"/>
      <w:marLeft w:val="0"/>
      <w:marRight w:val="0"/>
      <w:marTop w:val="0"/>
      <w:marBottom w:val="0"/>
      <w:divBdr>
        <w:top w:val="none" w:sz="0" w:space="0" w:color="auto"/>
        <w:left w:val="none" w:sz="0" w:space="0" w:color="auto"/>
        <w:bottom w:val="none" w:sz="0" w:space="0" w:color="auto"/>
        <w:right w:val="none" w:sz="0" w:space="0" w:color="auto"/>
      </w:divBdr>
    </w:div>
    <w:div w:id="1016344746">
      <w:bodyDiv w:val="1"/>
      <w:marLeft w:val="0"/>
      <w:marRight w:val="0"/>
      <w:marTop w:val="0"/>
      <w:marBottom w:val="0"/>
      <w:divBdr>
        <w:top w:val="none" w:sz="0" w:space="0" w:color="auto"/>
        <w:left w:val="none" w:sz="0" w:space="0" w:color="auto"/>
        <w:bottom w:val="none" w:sz="0" w:space="0" w:color="auto"/>
        <w:right w:val="none" w:sz="0" w:space="0" w:color="auto"/>
      </w:divBdr>
    </w:div>
    <w:div w:id="1019307977">
      <w:bodyDiv w:val="1"/>
      <w:marLeft w:val="0"/>
      <w:marRight w:val="0"/>
      <w:marTop w:val="0"/>
      <w:marBottom w:val="0"/>
      <w:divBdr>
        <w:top w:val="none" w:sz="0" w:space="0" w:color="auto"/>
        <w:left w:val="none" w:sz="0" w:space="0" w:color="auto"/>
        <w:bottom w:val="none" w:sz="0" w:space="0" w:color="auto"/>
        <w:right w:val="none" w:sz="0" w:space="0" w:color="auto"/>
      </w:divBdr>
      <w:divsChild>
        <w:div w:id="1846508590">
          <w:marLeft w:val="0"/>
          <w:marRight w:val="0"/>
          <w:marTop w:val="0"/>
          <w:marBottom w:val="0"/>
          <w:divBdr>
            <w:top w:val="none" w:sz="0" w:space="0" w:color="auto"/>
            <w:left w:val="none" w:sz="0" w:space="0" w:color="auto"/>
            <w:bottom w:val="none" w:sz="0" w:space="0" w:color="auto"/>
            <w:right w:val="none" w:sz="0" w:space="0" w:color="auto"/>
          </w:divBdr>
        </w:div>
        <w:div w:id="195895372">
          <w:marLeft w:val="0"/>
          <w:marRight w:val="0"/>
          <w:marTop w:val="0"/>
          <w:marBottom w:val="0"/>
          <w:divBdr>
            <w:top w:val="none" w:sz="0" w:space="0" w:color="auto"/>
            <w:left w:val="none" w:sz="0" w:space="0" w:color="auto"/>
            <w:bottom w:val="none" w:sz="0" w:space="0" w:color="auto"/>
            <w:right w:val="none" w:sz="0" w:space="0" w:color="auto"/>
          </w:divBdr>
        </w:div>
        <w:div w:id="316419863">
          <w:marLeft w:val="0"/>
          <w:marRight w:val="0"/>
          <w:marTop w:val="0"/>
          <w:marBottom w:val="0"/>
          <w:divBdr>
            <w:top w:val="none" w:sz="0" w:space="0" w:color="auto"/>
            <w:left w:val="none" w:sz="0" w:space="0" w:color="auto"/>
            <w:bottom w:val="none" w:sz="0" w:space="0" w:color="auto"/>
            <w:right w:val="none" w:sz="0" w:space="0" w:color="auto"/>
          </w:divBdr>
        </w:div>
        <w:div w:id="160514072">
          <w:marLeft w:val="0"/>
          <w:marRight w:val="0"/>
          <w:marTop w:val="0"/>
          <w:marBottom w:val="0"/>
          <w:divBdr>
            <w:top w:val="none" w:sz="0" w:space="0" w:color="auto"/>
            <w:left w:val="none" w:sz="0" w:space="0" w:color="auto"/>
            <w:bottom w:val="none" w:sz="0" w:space="0" w:color="auto"/>
            <w:right w:val="none" w:sz="0" w:space="0" w:color="auto"/>
          </w:divBdr>
        </w:div>
        <w:div w:id="1910917343">
          <w:marLeft w:val="0"/>
          <w:marRight w:val="0"/>
          <w:marTop w:val="0"/>
          <w:marBottom w:val="0"/>
          <w:divBdr>
            <w:top w:val="none" w:sz="0" w:space="0" w:color="auto"/>
            <w:left w:val="none" w:sz="0" w:space="0" w:color="auto"/>
            <w:bottom w:val="none" w:sz="0" w:space="0" w:color="auto"/>
            <w:right w:val="none" w:sz="0" w:space="0" w:color="auto"/>
          </w:divBdr>
        </w:div>
      </w:divsChild>
    </w:div>
    <w:div w:id="1032612753">
      <w:bodyDiv w:val="1"/>
      <w:marLeft w:val="0"/>
      <w:marRight w:val="0"/>
      <w:marTop w:val="0"/>
      <w:marBottom w:val="0"/>
      <w:divBdr>
        <w:top w:val="none" w:sz="0" w:space="0" w:color="auto"/>
        <w:left w:val="none" w:sz="0" w:space="0" w:color="auto"/>
        <w:bottom w:val="none" w:sz="0" w:space="0" w:color="auto"/>
        <w:right w:val="none" w:sz="0" w:space="0" w:color="auto"/>
      </w:divBdr>
      <w:divsChild>
        <w:div w:id="679968139">
          <w:marLeft w:val="0"/>
          <w:marRight w:val="0"/>
          <w:marTop w:val="0"/>
          <w:marBottom w:val="0"/>
          <w:divBdr>
            <w:top w:val="none" w:sz="0" w:space="0" w:color="auto"/>
            <w:left w:val="none" w:sz="0" w:space="0" w:color="auto"/>
            <w:bottom w:val="none" w:sz="0" w:space="0" w:color="auto"/>
            <w:right w:val="none" w:sz="0" w:space="0" w:color="auto"/>
          </w:divBdr>
        </w:div>
        <w:div w:id="1584292554">
          <w:marLeft w:val="0"/>
          <w:marRight w:val="0"/>
          <w:marTop w:val="0"/>
          <w:marBottom w:val="0"/>
          <w:divBdr>
            <w:top w:val="none" w:sz="0" w:space="0" w:color="auto"/>
            <w:left w:val="none" w:sz="0" w:space="0" w:color="auto"/>
            <w:bottom w:val="none" w:sz="0" w:space="0" w:color="auto"/>
            <w:right w:val="none" w:sz="0" w:space="0" w:color="auto"/>
          </w:divBdr>
        </w:div>
        <w:div w:id="109084662">
          <w:marLeft w:val="0"/>
          <w:marRight w:val="0"/>
          <w:marTop w:val="0"/>
          <w:marBottom w:val="0"/>
          <w:divBdr>
            <w:top w:val="none" w:sz="0" w:space="0" w:color="auto"/>
            <w:left w:val="none" w:sz="0" w:space="0" w:color="auto"/>
            <w:bottom w:val="none" w:sz="0" w:space="0" w:color="auto"/>
            <w:right w:val="none" w:sz="0" w:space="0" w:color="auto"/>
          </w:divBdr>
        </w:div>
        <w:div w:id="788160865">
          <w:marLeft w:val="0"/>
          <w:marRight w:val="0"/>
          <w:marTop w:val="0"/>
          <w:marBottom w:val="0"/>
          <w:divBdr>
            <w:top w:val="none" w:sz="0" w:space="0" w:color="auto"/>
            <w:left w:val="none" w:sz="0" w:space="0" w:color="auto"/>
            <w:bottom w:val="none" w:sz="0" w:space="0" w:color="auto"/>
            <w:right w:val="none" w:sz="0" w:space="0" w:color="auto"/>
          </w:divBdr>
        </w:div>
        <w:div w:id="1652563801">
          <w:marLeft w:val="0"/>
          <w:marRight w:val="0"/>
          <w:marTop w:val="0"/>
          <w:marBottom w:val="0"/>
          <w:divBdr>
            <w:top w:val="none" w:sz="0" w:space="0" w:color="auto"/>
            <w:left w:val="none" w:sz="0" w:space="0" w:color="auto"/>
            <w:bottom w:val="none" w:sz="0" w:space="0" w:color="auto"/>
            <w:right w:val="none" w:sz="0" w:space="0" w:color="auto"/>
          </w:divBdr>
        </w:div>
      </w:divsChild>
    </w:div>
    <w:div w:id="1095906187">
      <w:bodyDiv w:val="1"/>
      <w:marLeft w:val="0"/>
      <w:marRight w:val="0"/>
      <w:marTop w:val="0"/>
      <w:marBottom w:val="0"/>
      <w:divBdr>
        <w:top w:val="none" w:sz="0" w:space="0" w:color="auto"/>
        <w:left w:val="none" w:sz="0" w:space="0" w:color="auto"/>
        <w:bottom w:val="none" w:sz="0" w:space="0" w:color="auto"/>
        <w:right w:val="none" w:sz="0" w:space="0" w:color="auto"/>
      </w:divBdr>
    </w:div>
    <w:div w:id="1116025283">
      <w:bodyDiv w:val="1"/>
      <w:marLeft w:val="0"/>
      <w:marRight w:val="0"/>
      <w:marTop w:val="0"/>
      <w:marBottom w:val="0"/>
      <w:divBdr>
        <w:top w:val="none" w:sz="0" w:space="0" w:color="auto"/>
        <w:left w:val="none" w:sz="0" w:space="0" w:color="auto"/>
        <w:bottom w:val="none" w:sz="0" w:space="0" w:color="auto"/>
        <w:right w:val="none" w:sz="0" w:space="0" w:color="auto"/>
      </w:divBdr>
    </w:div>
    <w:div w:id="1170172585">
      <w:bodyDiv w:val="1"/>
      <w:marLeft w:val="0"/>
      <w:marRight w:val="0"/>
      <w:marTop w:val="0"/>
      <w:marBottom w:val="0"/>
      <w:divBdr>
        <w:top w:val="none" w:sz="0" w:space="0" w:color="auto"/>
        <w:left w:val="none" w:sz="0" w:space="0" w:color="auto"/>
        <w:bottom w:val="none" w:sz="0" w:space="0" w:color="auto"/>
        <w:right w:val="none" w:sz="0" w:space="0" w:color="auto"/>
      </w:divBdr>
      <w:divsChild>
        <w:div w:id="1803189089">
          <w:marLeft w:val="0"/>
          <w:marRight w:val="0"/>
          <w:marTop w:val="0"/>
          <w:marBottom w:val="0"/>
          <w:divBdr>
            <w:top w:val="none" w:sz="0" w:space="0" w:color="auto"/>
            <w:left w:val="none" w:sz="0" w:space="0" w:color="auto"/>
            <w:bottom w:val="none" w:sz="0" w:space="0" w:color="auto"/>
            <w:right w:val="none" w:sz="0" w:space="0" w:color="auto"/>
          </w:divBdr>
        </w:div>
        <w:div w:id="1454596637">
          <w:marLeft w:val="0"/>
          <w:marRight w:val="0"/>
          <w:marTop w:val="0"/>
          <w:marBottom w:val="0"/>
          <w:divBdr>
            <w:top w:val="none" w:sz="0" w:space="0" w:color="auto"/>
            <w:left w:val="none" w:sz="0" w:space="0" w:color="auto"/>
            <w:bottom w:val="none" w:sz="0" w:space="0" w:color="auto"/>
            <w:right w:val="none" w:sz="0" w:space="0" w:color="auto"/>
          </w:divBdr>
        </w:div>
        <w:div w:id="638608555">
          <w:marLeft w:val="0"/>
          <w:marRight w:val="0"/>
          <w:marTop w:val="0"/>
          <w:marBottom w:val="0"/>
          <w:divBdr>
            <w:top w:val="none" w:sz="0" w:space="0" w:color="auto"/>
            <w:left w:val="none" w:sz="0" w:space="0" w:color="auto"/>
            <w:bottom w:val="none" w:sz="0" w:space="0" w:color="auto"/>
            <w:right w:val="none" w:sz="0" w:space="0" w:color="auto"/>
          </w:divBdr>
        </w:div>
        <w:div w:id="203179467">
          <w:marLeft w:val="0"/>
          <w:marRight w:val="0"/>
          <w:marTop w:val="0"/>
          <w:marBottom w:val="0"/>
          <w:divBdr>
            <w:top w:val="none" w:sz="0" w:space="0" w:color="auto"/>
            <w:left w:val="none" w:sz="0" w:space="0" w:color="auto"/>
            <w:bottom w:val="none" w:sz="0" w:space="0" w:color="auto"/>
            <w:right w:val="none" w:sz="0" w:space="0" w:color="auto"/>
          </w:divBdr>
        </w:div>
        <w:div w:id="162937833">
          <w:marLeft w:val="0"/>
          <w:marRight w:val="0"/>
          <w:marTop w:val="0"/>
          <w:marBottom w:val="0"/>
          <w:divBdr>
            <w:top w:val="none" w:sz="0" w:space="0" w:color="auto"/>
            <w:left w:val="none" w:sz="0" w:space="0" w:color="auto"/>
            <w:bottom w:val="none" w:sz="0" w:space="0" w:color="auto"/>
            <w:right w:val="none" w:sz="0" w:space="0" w:color="auto"/>
          </w:divBdr>
        </w:div>
        <w:div w:id="99112120">
          <w:marLeft w:val="0"/>
          <w:marRight w:val="0"/>
          <w:marTop w:val="0"/>
          <w:marBottom w:val="0"/>
          <w:divBdr>
            <w:top w:val="none" w:sz="0" w:space="0" w:color="auto"/>
            <w:left w:val="none" w:sz="0" w:space="0" w:color="auto"/>
            <w:bottom w:val="none" w:sz="0" w:space="0" w:color="auto"/>
            <w:right w:val="none" w:sz="0" w:space="0" w:color="auto"/>
          </w:divBdr>
        </w:div>
        <w:div w:id="750469473">
          <w:marLeft w:val="0"/>
          <w:marRight w:val="0"/>
          <w:marTop w:val="0"/>
          <w:marBottom w:val="0"/>
          <w:divBdr>
            <w:top w:val="none" w:sz="0" w:space="0" w:color="auto"/>
            <w:left w:val="none" w:sz="0" w:space="0" w:color="auto"/>
            <w:bottom w:val="none" w:sz="0" w:space="0" w:color="auto"/>
            <w:right w:val="none" w:sz="0" w:space="0" w:color="auto"/>
          </w:divBdr>
        </w:div>
      </w:divsChild>
    </w:div>
    <w:div w:id="1307584058">
      <w:bodyDiv w:val="1"/>
      <w:marLeft w:val="0"/>
      <w:marRight w:val="0"/>
      <w:marTop w:val="0"/>
      <w:marBottom w:val="0"/>
      <w:divBdr>
        <w:top w:val="none" w:sz="0" w:space="0" w:color="auto"/>
        <w:left w:val="none" w:sz="0" w:space="0" w:color="auto"/>
        <w:bottom w:val="none" w:sz="0" w:space="0" w:color="auto"/>
        <w:right w:val="none" w:sz="0" w:space="0" w:color="auto"/>
      </w:divBdr>
    </w:div>
    <w:div w:id="1350138382">
      <w:bodyDiv w:val="1"/>
      <w:marLeft w:val="0"/>
      <w:marRight w:val="0"/>
      <w:marTop w:val="0"/>
      <w:marBottom w:val="0"/>
      <w:divBdr>
        <w:top w:val="none" w:sz="0" w:space="0" w:color="auto"/>
        <w:left w:val="none" w:sz="0" w:space="0" w:color="auto"/>
        <w:bottom w:val="none" w:sz="0" w:space="0" w:color="auto"/>
        <w:right w:val="none" w:sz="0" w:space="0" w:color="auto"/>
      </w:divBdr>
      <w:divsChild>
        <w:div w:id="1878929075">
          <w:marLeft w:val="0"/>
          <w:marRight w:val="0"/>
          <w:marTop w:val="0"/>
          <w:marBottom w:val="0"/>
          <w:divBdr>
            <w:top w:val="none" w:sz="0" w:space="0" w:color="auto"/>
            <w:left w:val="none" w:sz="0" w:space="0" w:color="auto"/>
            <w:bottom w:val="none" w:sz="0" w:space="0" w:color="auto"/>
            <w:right w:val="none" w:sz="0" w:space="0" w:color="auto"/>
          </w:divBdr>
        </w:div>
        <w:div w:id="450176412">
          <w:marLeft w:val="0"/>
          <w:marRight w:val="0"/>
          <w:marTop w:val="0"/>
          <w:marBottom w:val="0"/>
          <w:divBdr>
            <w:top w:val="none" w:sz="0" w:space="0" w:color="auto"/>
            <w:left w:val="none" w:sz="0" w:space="0" w:color="auto"/>
            <w:bottom w:val="none" w:sz="0" w:space="0" w:color="auto"/>
            <w:right w:val="none" w:sz="0" w:space="0" w:color="auto"/>
          </w:divBdr>
        </w:div>
        <w:div w:id="1831170955">
          <w:marLeft w:val="0"/>
          <w:marRight w:val="0"/>
          <w:marTop w:val="0"/>
          <w:marBottom w:val="0"/>
          <w:divBdr>
            <w:top w:val="none" w:sz="0" w:space="0" w:color="auto"/>
            <w:left w:val="none" w:sz="0" w:space="0" w:color="auto"/>
            <w:bottom w:val="none" w:sz="0" w:space="0" w:color="auto"/>
            <w:right w:val="none" w:sz="0" w:space="0" w:color="auto"/>
          </w:divBdr>
        </w:div>
        <w:div w:id="1309939781">
          <w:marLeft w:val="0"/>
          <w:marRight w:val="0"/>
          <w:marTop w:val="0"/>
          <w:marBottom w:val="0"/>
          <w:divBdr>
            <w:top w:val="none" w:sz="0" w:space="0" w:color="auto"/>
            <w:left w:val="none" w:sz="0" w:space="0" w:color="auto"/>
            <w:bottom w:val="none" w:sz="0" w:space="0" w:color="auto"/>
            <w:right w:val="none" w:sz="0" w:space="0" w:color="auto"/>
          </w:divBdr>
        </w:div>
        <w:div w:id="654997106">
          <w:marLeft w:val="0"/>
          <w:marRight w:val="0"/>
          <w:marTop w:val="0"/>
          <w:marBottom w:val="0"/>
          <w:divBdr>
            <w:top w:val="none" w:sz="0" w:space="0" w:color="auto"/>
            <w:left w:val="none" w:sz="0" w:space="0" w:color="auto"/>
            <w:bottom w:val="none" w:sz="0" w:space="0" w:color="auto"/>
            <w:right w:val="none" w:sz="0" w:space="0" w:color="auto"/>
          </w:divBdr>
        </w:div>
        <w:div w:id="325283021">
          <w:marLeft w:val="0"/>
          <w:marRight w:val="0"/>
          <w:marTop w:val="0"/>
          <w:marBottom w:val="0"/>
          <w:divBdr>
            <w:top w:val="none" w:sz="0" w:space="0" w:color="auto"/>
            <w:left w:val="none" w:sz="0" w:space="0" w:color="auto"/>
            <w:bottom w:val="none" w:sz="0" w:space="0" w:color="auto"/>
            <w:right w:val="none" w:sz="0" w:space="0" w:color="auto"/>
          </w:divBdr>
        </w:div>
        <w:div w:id="452598268">
          <w:marLeft w:val="0"/>
          <w:marRight w:val="0"/>
          <w:marTop w:val="0"/>
          <w:marBottom w:val="0"/>
          <w:divBdr>
            <w:top w:val="none" w:sz="0" w:space="0" w:color="auto"/>
            <w:left w:val="none" w:sz="0" w:space="0" w:color="auto"/>
            <w:bottom w:val="none" w:sz="0" w:space="0" w:color="auto"/>
            <w:right w:val="none" w:sz="0" w:space="0" w:color="auto"/>
          </w:divBdr>
        </w:div>
        <w:div w:id="2019580550">
          <w:marLeft w:val="0"/>
          <w:marRight w:val="0"/>
          <w:marTop w:val="0"/>
          <w:marBottom w:val="0"/>
          <w:divBdr>
            <w:top w:val="none" w:sz="0" w:space="0" w:color="auto"/>
            <w:left w:val="none" w:sz="0" w:space="0" w:color="auto"/>
            <w:bottom w:val="none" w:sz="0" w:space="0" w:color="auto"/>
            <w:right w:val="none" w:sz="0" w:space="0" w:color="auto"/>
          </w:divBdr>
        </w:div>
        <w:div w:id="1967350042">
          <w:marLeft w:val="0"/>
          <w:marRight w:val="0"/>
          <w:marTop w:val="0"/>
          <w:marBottom w:val="0"/>
          <w:divBdr>
            <w:top w:val="none" w:sz="0" w:space="0" w:color="auto"/>
            <w:left w:val="none" w:sz="0" w:space="0" w:color="auto"/>
            <w:bottom w:val="none" w:sz="0" w:space="0" w:color="auto"/>
            <w:right w:val="none" w:sz="0" w:space="0" w:color="auto"/>
          </w:divBdr>
        </w:div>
      </w:divsChild>
    </w:div>
    <w:div w:id="1401946530">
      <w:bodyDiv w:val="1"/>
      <w:marLeft w:val="0"/>
      <w:marRight w:val="0"/>
      <w:marTop w:val="0"/>
      <w:marBottom w:val="0"/>
      <w:divBdr>
        <w:top w:val="none" w:sz="0" w:space="0" w:color="auto"/>
        <w:left w:val="none" w:sz="0" w:space="0" w:color="auto"/>
        <w:bottom w:val="none" w:sz="0" w:space="0" w:color="auto"/>
        <w:right w:val="none" w:sz="0" w:space="0" w:color="auto"/>
      </w:divBdr>
    </w:div>
    <w:div w:id="1439370810">
      <w:bodyDiv w:val="1"/>
      <w:marLeft w:val="0"/>
      <w:marRight w:val="0"/>
      <w:marTop w:val="0"/>
      <w:marBottom w:val="0"/>
      <w:divBdr>
        <w:top w:val="none" w:sz="0" w:space="0" w:color="auto"/>
        <w:left w:val="none" w:sz="0" w:space="0" w:color="auto"/>
        <w:bottom w:val="none" w:sz="0" w:space="0" w:color="auto"/>
        <w:right w:val="none" w:sz="0" w:space="0" w:color="auto"/>
      </w:divBdr>
    </w:div>
    <w:div w:id="1470516326">
      <w:bodyDiv w:val="1"/>
      <w:marLeft w:val="0"/>
      <w:marRight w:val="0"/>
      <w:marTop w:val="0"/>
      <w:marBottom w:val="0"/>
      <w:divBdr>
        <w:top w:val="none" w:sz="0" w:space="0" w:color="auto"/>
        <w:left w:val="none" w:sz="0" w:space="0" w:color="auto"/>
        <w:bottom w:val="none" w:sz="0" w:space="0" w:color="auto"/>
        <w:right w:val="none" w:sz="0" w:space="0" w:color="auto"/>
      </w:divBdr>
    </w:div>
    <w:div w:id="1493525578">
      <w:bodyDiv w:val="1"/>
      <w:marLeft w:val="0"/>
      <w:marRight w:val="0"/>
      <w:marTop w:val="0"/>
      <w:marBottom w:val="0"/>
      <w:divBdr>
        <w:top w:val="none" w:sz="0" w:space="0" w:color="auto"/>
        <w:left w:val="none" w:sz="0" w:space="0" w:color="auto"/>
        <w:bottom w:val="none" w:sz="0" w:space="0" w:color="auto"/>
        <w:right w:val="none" w:sz="0" w:space="0" w:color="auto"/>
      </w:divBdr>
    </w:div>
    <w:div w:id="1511069380">
      <w:bodyDiv w:val="1"/>
      <w:marLeft w:val="0"/>
      <w:marRight w:val="0"/>
      <w:marTop w:val="0"/>
      <w:marBottom w:val="0"/>
      <w:divBdr>
        <w:top w:val="none" w:sz="0" w:space="0" w:color="auto"/>
        <w:left w:val="none" w:sz="0" w:space="0" w:color="auto"/>
        <w:bottom w:val="none" w:sz="0" w:space="0" w:color="auto"/>
        <w:right w:val="none" w:sz="0" w:space="0" w:color="auto"/>
      </w:divBdr>
    </w:div>
    <w:div w:id="1526750701">
      <w:bodyDiv w:val="1"/>
      <w:marLeft w:val="0"/>
      <w:marRight w:val="0"/>
      <w:marTop w:val="0"/>
      <w:marBottom w:val="0"/>
      <w:divBdr>
        <w:top w:val="none" w:sz="0" w:space="0" w:color="auto"/>
        <w:left w:val="none" w:sz="0" w:space="0" w:color="auto"/>
        <w:bottom w:val="none" w:sz="0" w:space="0" w:color="auto"/>
        <w:right w:val="none" w:sz="0" w:space="0" w:color="auto"/>
      </w:divBdr>
      <w:divsChild>
        <w:div w:id="148327993">
          <w:marLeft w:val="0"/>
          <w:marRight w:val="0"/>
          <w:marTop w:val="0"/>
          <w:marBottom w:val="0"/>
          <w:divBdr>
            <w:top w:val="none" w:sz="0" w:space="0" w:color="auto"/>
            <w:left w:val="none" w:sz="0" w:space="0" w:color="auto"/>
            <w:bottom w:val="none" w:sz="0" w:space="0" w:color="auto"/>
            <w:right w:val="none" w:sz="0" w:space="0" w:color="auto"/>
          </w:divBdr>
        </w:div>
        <w:div w:id="2061785304">
          <w:marLeft w:val="0"/>
          <w:marRight w:val="0"/>
          <w:marTop w:val="0"/>
          <w:marBottom w:val="0"/>
          <w:divBdr>
            <w:top w:val="none" w:sz="0" w:space="0" w:color="auto"/>
            <w:left w:val="none" w:sz="0" w:space="0" w:color="auto"/>
            <w:bottom w:val="none" w:sz="0" w:space="0" w:color="auto"/>
            <w:right w:val="none" w:sz="0" w:space="0" w:color="auto"/>
          </w:divBdr>
        </w:div>
        <w:div w:id="150222444">
          <w:marLeft w:val="0"/>
          <w:marRight w:val="0"/>
          <w:marTop w:val="0"/>
          <w:marBottom w:val="0"/>
          <w:divBdr>
            <w:top w:val="none" w:sz="0" w:space="0" w:color="auto"/>
            <w:left w:val="none" w:sz="0" w:space="0" w:color="auto"/>
            <w:bottom w:val="none" w:sz="0" w:space="0" w:color="auto"/>
            <w:right w:val="none" w:sz="0" w:space="0" w:color="auto"/>
          </w:divBdr>
        </w:div>
        <w:div w:id="1945456207">
          <w:marLeft w:val="0"/>
          <w:marRight w:val="0"/>
          <w:marTop w:val="0"/>
          <w:marBottom w:val="0"/>
          <w:divBdr>
            <w:top w:val="none" w:sz="0" w:space="0" w:color="auto"/>
            <w:left w:val="none" w:sz="0" w:space="0" w:color="auto"/>
            <w:bottom w:val="none" w:sz="0" w:space="0" w:color="auto"/>
            <w:right w:val="none" w:sz="0" w:space="0" w:color="auto"/>
          </w:divBdr>
        </w:div>
        <w:div w:id="1327896885">
          <w:marLeft w:val="0"/>
          <w:marRight w:val="0"/>
          <w:marTop w:val="0"/>
          <w:marBottom w:val="0"/>
          <w:divBdr>
            <w:top w:val="none" w:sz="0" w:space="0" w:color="auto"/>
            <w:left w:val="none" w:sz="0" w:space="0" w:color="auto"/>
            <w:bottom w:val="none" w:sz="0" w:space="0" w:color="auto"/>
            <w:right w:val="none" w:sz="0" w:space="0" w:color="auto"/>
          </w:divBdr>
        </w:div>
        <w:div w:id="196549042">
          <w:marLeft w:val="0"/>
          <w:marRight w:val="0"/>
          <w:marTop w:val="0"/>
          <w:marBottom w:val="0"/>
          <w:divBdr>
            <w:top w:val="none" w:sz="0" w:space="0" w:color="auto"/>
            <w:left w:val="none" w:sz="0" w:space="0" w:color="auto"/>
            <w:bottom w:val="none" w:sz="0" w:space="0" w:color="auto"/>
            <w:right w:val="none" w:sz="0" w:space="0" w:color="auto"/>
          </w:divBdr>
        </w:div>
        <w:div w:id="1604875811">
          <w:marLeft w:val="0"/>
          <w:marRight w:val="0"/>
          <w:marTop w:val="0"/>
          <w:marBottom w:val="0"/>
          <w:divBdr>
            <w:top w:val="none" w:sz="0" w:space="0" w:color="auto"/>
            <w:left w:val="none" w:sz="0" w:space="0" w:color="auto"/>
            <w:bottom w:val="none" w:sz="0" w:space="0" w:color="auto"/>
            <w:right w:val="none" w:sz="0" w:space="0" w:color="auto"/>
          </w:divBdr>
        </w:div>
        <w:div w:id="1258172892">
          <w:marLeft w:val="0"/>
          <w:marRight w:val="0"/>
          <w:marTop w:val="0"/>
          <w:marBottom w:val="0"/>
          <w:divBdr>
            <w:top w:val="none" w:sz="0" w:space="0" w:color="auto"/>
            <w:left w:val="none" w:sz="0" w:space="0" w:color="auto"/>
            <w:bottom w:val="none" w:sz="0" w:space="0" w:color="auto"/>
            <w:right w:val="none" w:sz="0" w:space="0" w:color="auto"/>
          </w:divBdr>
        </w:div>
      </w:divsChild>
    </w:div>
    <w:div w:id="1529678715">
      <w:bodyDiv w:val="1"/>
      <w:marLeft w:val="0"/>
      <w:marRight w:val="0"/>
      <w:marTop w:val="0"/>
      <w:marBottom w:val="0"/>
      <w:divBdr>
        <w:top w:val="none" w:sz="0" w:space="0" w:color="auto"/>
        <w:left w:val="none" w:sz="0" w:space="0" w:color="auto"/>
        <w:bottom w:val="none" w:sz="0" w:space="0" w:color="auto"/>
        <w:right w:val="none" w:sz="0" w:space="0" w:color="auto"/>
      </w:divBdr>
      <w:divsChild>
        <w:div w:id="1325813760">
          <w:marLeft w:val="0"/>
          <w:marRight w:val="0"/>
          <w:marTop w:val="0"/>
          <w:marBottom w:val="0"/>
          <w:divBdr>
            <w:top w:val="none" w:sz="0" w:space="0" w:color="auto"/>
            <w:left w:val="none" w:sz="0" w:space="0" w:color="auto"/>
            <w:bottom w:val="none" w:sz="0" w:space="0" w:color="auto"/>
            <w:right w:val="none" w:sz="0" w:space="0" w:color="auto"/>
          </w:divBdr>
        </w:div>
        <w:div w:id="957295753">
          <w:marLeft w:val="0"/>
          <w:marRight w:val="0"/>
          <w:marTop w:val="0"/>
          <w:marBottom w:val="0"/>
          <w:divBdr>
            <w:top w:val="none" w:sz="0" w:space="0" w:color="auto"/>
            <w:left w:val="none" w:sz="0" w:space="0" w:color="auto"/>
            <w:bottom w:val="none" w:sz="0" w:space="0" w:color="auto"/>
            <w:right w:val="none" w:sz="0" w:space="0" w:color="auto"/>
          </w:divBdr>
        </w:div>
        <w:div w:id="444547004">
          <w:marLeft w:val="0"/>
          <w:marRight w:val="0"/>
          <w:marTop w:val="0"/>
          <w:marBottom w:val="0"/>
          <w:divBdr>
            <w:top w:val="none" w:sz="0" w:space="0" w:color="auto"/>
            <w:left w:val="none" w:sz="0" w:space="0" w:color="auto"/>
            <w:bottom w:val="none" w:sz="0" w:space="0" w:color="auto"/>
            <w:right w:val="none" w:sz="0" w:space="0" w:color="auto"/>
          </w:divBdr>
        </w:div>
        <w:div w:id="791174088">
          <w:marLeft w:val="0"/>
          <w:marRight w:val="0"/>
          <w:marTop w:val="0"/>
          <w:marBottom w:val="0"/>
          <w:divBdr>
            <w:top w:val="none" w:sz="0" w:space="0" w:color="auto"/>
            <w:left w:val="none" w:sz="0" w:space="0" w:color="auto"/>
            <w:bottom w:val="none" w:sz="0" w:space="0" w:color="auto"/>
            <w:right w:val="none" w:sz="0" w:space="0" w:color="auto"/>
          </w:divBdr>
        </w:div>
        <w:div w:id="768280474">
          <w:marLeft w:val="0"/>
          <w:marRight w:val="0"/>
          <w:marTop w:val="0"/>
          <w:marBottom w:val="0"/>
          <w:divBdr>
            <w:top w:val="none" w:sz="0" w:space="0" w:color="auto"/>
            <w:left w:val="none" w:sz="0" w:space="0" w:color="auto"/>
            <w:bottom w:val="none" w:sz="0" w:space="0" w:color="auto"/>
            <w:right w:val="none" w:sz="0" w:space="0" w:color="auto"/>
          </w:divBdr>
        </w:div>
        <w:div w:id="778185610">
          <w:marLeft w:val="0"/>
          <w:marRight w:val="0"/>
          <w:marTop w:val="0"/>
          <w:marBottom w:val="0"/>
          <w:divBdr>
            <w:top w:val="none" w:sz="0" w:space="0" w:color="auto"/>
            <w:left w:val="none" w:sz="0" w:space="0" w:color="auto"/>
            <w:bottom w:val="none" w:sz="0" w:space="0" w:color="auto"/>
            <w:right w:val="none" w:sz="0" w:space="0" w:color="auto"/>
          </w:divBdr>
        </w:div>
        <w:div w:id="1791242928">
          <w:marLeft w:val="0"/>
          <w:marRight w:val="0"/>
          <w:marTop w:val="0"/>
          <w:marBottom w:val="0"/>
          <w:divBdr>
            <w:top w:val="none" w:sz="0" w:space="0" w:color="auto"/>
            <w:left w:val="none" w:sz="0" w:space="0" w:color="auto"/>
            <w:bottom w:val="none" w:sz="0" w:space="0" w:color="auto"/>
            <w:right w:val="none" w:sz="0" w:space="0" w:color="auto"/>
          </w:divBdr>
        </w:div>
        <w:div w:id="640429741">
          <w:marLeft w:val="0"/>
          <w:marRight w:val="0"/>
          <w:marTop w:val="0"/>
          <w:marBottom w:val="0"/>
          <w:divBdr>
            <w:top w:val="none" w:sz="0" w:space="0" w:color="auto"/>
            <w:left w:val="none" w:sz="0" w:space="0" w:color="auto"/>
            <w:bottom w:val="none" w:sz="0" w:space="0" w:color="auto"/>
            <w:right w:val="none" w:sz="0" w:space="0" w:color="auto"/>
          </w:divBdr>
        </w:div>
        <w:div w:id="1091779029">
          <w:marLeft w:val="0"/>
          <w:marRight w:val="0"/>
          <w:marTop w:val="0"/>
          <w:marBottom w:val="0"/>
          <w:divBdr>
            <w:top w:val="none" w:sz="0" w:space="0" w:color="auto"/>
            <w:left w:val="none" w:sz="0" w:space="0" w:color="auto"/>
            <w:bottom w:val="none" w:sz="0" w:space="0" w:color="auto"/>
            <w:right w:val="none" w:sz="0" w:space="0" w:color="auto"/>
          </w:divBdr>
        </w:div>
        <w:div w:id="861556994">
          <w:marLeft w:val="0"/>
          <w:marRight w:val="0"/>
          <w:marTop w:val="0"/>
          <w:marBottom w:val="0"/>
          <w:divBdr>
            <w:top w:val="none" w:sz="0" w:space="0" w:color="auto"/>
            <w:left w:val="none" w:sz="0" w:space="0" w:color="auto"/>
            <w:bottom w:val="none" w:sz="0" w:space="0" w:color="auto"/>
            <w:right w:val="none" w:sz="0" w:space="0" w:color="auto"/>
          </w:divBdr>
        </w:div>
        <w:div w:id="1235553803">
          <w:marLeft w:val="0"/>
          <w:marRight w:val="0"/>
          <w:marTop w:val="0"/>
          <w:marBottom w:val="0"/>
          <w:divBdr>
            <w:top w:val="none" w:sz="0" w:space="0" w:color="auto"/>
            <w:left w:val="none" w:sz="0" w:space="0" w:color="auto"/>
            <w:bottom w:val="none" w:sz="0" w:space="0" w:color="auto"/>
            <w:right w:val="none" w:sz="0" w:space="0" w:color="auto"/>
          </w:divBdr>
        </w:div>
      </w:divsChild>
    </w:div>
    <w:div w:id="1550455337">
      <w:bodyDiv w:val="1"/>
      <w:marLeft w:val="0"/>
      <w:marRight w:val="0"/>
      <w:marTop w:val="0"/>
      <w:marBottom w:val="0"/>
      <w:divBdr>
        <w:top w:val="none" w:sz="0" w:space="0" w:color="auto"/>
        <w:left w:val="none" w:sz="0" w:space="0" w:color="auto"/>
        <w:bottom w:val="none" w:sz="0" w:space="0" w:color="auto"/>
        <w:right w:val="none" w:sz="0" w:space="0" w:color="auto"/>
      </w:divBdr>
    </w:div>
    <w:div w:id="1616867985">
      <w:bodyDiv w:val="1"/>
      <w:marLeft w:val="0"/>
      <w:marRight w:val="0"/>
      <w:marTop w:val="0"/>
      <w:marBottom w:val="0"/>
      <w:divBdr>
        <w:top w:val="none" w:sz="0" w:space="0" w:color="auto"/>
        <w:left w:val="none" w:sz="0" w:space="0" w:color="auto"/>
        <w:bottom w:val="none" w:sz="0" w:space="0" w:color="auto"/>
        <w:right w:val="none" w:sz="0" w:space="0" w:color="auto"/>
      </w:divBdr>
    </w:div>
    <w:div w:id="1659457258">
      <w:bodyDiv w:val="1"/>
      <w:marLeft w:val="0"/>
      <w:marRight w:val="0"/>
      <w:marTop w:val="0"/>
      <w:marBottom w:val="0"/>
      <w:divBdr>
        <w:top w:val="none" w:sz="0" w:space="0" w:color="auto"/>
        <w:left w:val="none" w:sz="0" w:space="0" w:color="auto"/>
        <w:bottom w:val="none" w:sz="0" w:space="0" w:color="auto"/>
        <w:right w:val="none" w:sz="0" w:space="0" w:color="auto"/>
      </w:divBdr>
    </w:div>
    <w:div w:id="1671104392">
      <w:bodyDiv w:val="1"/>
      <w:marLeft w:val="0"/>
      <w:marRight w:val="0"/>
      <w:marTop w:val="0"/>
      <w:marBottom w:val="0"/>
      <w:divBdr>
        <w:top w:val="none" w:sz="0" w:space="0" w:color="auto"/>
        <w:left w:val="none" w:sz="0" w:space="0" w:color="auto"/>
        <w:bottom w:val="none" w:sz="0" w:space="0" w:color="auto"/>
        <w:right w:val="none" w:sz="0" w:space="0" w:color="auto"/>
      </w:divBdr>
    </w:div>
    <w:div w:id="1703356272">
      <w:bodyDiv w:val="1"/>
      <w:marLeft w:val="0"/>
      <w:marRight w:val="0"/>
      <w:marTop w:val="0"/>
      <w:marBottom w:val="0"/>
      <w:divBdr>
        <w:top w:val="none" w:sz="0" w:space="0" w:color="auto"/>
        <w:left w:val="none" w:sz="0" w:space="0" w:color="auto"/>
        <w:bottom w:val="none" w:sz="0" w:space="0" w:color="auto"/>
        <w:right w:val="none" w:sz="0" w:space="0" w:color="auto"/>
      </w:divBdr>
    </w:div>
    <w:div w:id="1736078684">
      <w:bodyDiv w:val="1"/>
      <w:marLeft w:val="0"/>
      <w:marRight w:val="0"/>
      <w:marTop w:val="0"/>
      <w:marBottom w:val="0"/>
      <w:divBdr>
        <w:top w:val="none" w:sz="0" w:space="0" w:color="auto"/>
        <w:left w:val="none" w:sz="0" w:space="0" w:color="auto"/>
        <w:bottom w:val="none" w:sz="0" w:space="0" w:color="auto"/>
        <w:right w:val="none" w:sz="0" w:space="0" w:color="auto"/>
      </w:divBdr>
    </w:div>
    <w:div w:id="1744257629">
      <w:bodyDiv w:val="1"/>
      <w:marLeft w:val="0"/>
      <w:marRight w:val="0"/>
      <w:marTop w:val="0"/>
      <w:marBottom w:val="0"/>
      <w:divBdr>
        <w:top w:val="none" w:sz="0" w:space="0" w:color="auto"/>
        <w:left w:val="none" w:sz="0" w:space="0" w:color="auto"/>
        <w:bottom w:val="none" w:sz="0" w:space="0" w:color="auto"/>
        <w:right w:val="none" w:sz="0" w:space="0" w:color="auto"/>
      </w:divBdr>
    </w:div>
    <w:div w:id="1745297110">
      <w:bodyDiv w:val="1"/>
      <w:marLeft w:val="0"/>
      <w:marRight w:val="0"/>
      <w:marTop w:val="0"/>
      <w:marBottom w:val="0"/>
      <w:divBdr>
        <w:top w:val="none" w:sz="0" w:space="0" w:color="auto"/>
        <w:left w:val="none" w:sz="0" w:space="0" w:color="auto"/>
        <w:bottom w:val="none" w:sz="0" w:space="0" w:color="auto"/>
        <w:right w:val="none" w:sz="0" w:space="0" w:color="auto"/>
      </w:divBdr>
    </w:div>
    <w:div w:id="1748188265">
      <w:bodyDiv w:val="1"/>
      <w:marLeft w:val="0"/>
      <w:marRight w:val="0"/>
      <w:marTop w:val="0"/>
      <w:marBottom w:val="0"/>
      <w:divBdr>
        <w:top w:val="none" w:sz="0" w:space="0" w:color="auto"/>
        <w:left w:val="none" w:sz="0" w:space="0" w:color="auto"/>
        <w:bottom w:val="none" w:sz="0" w:space="0" w:color="auto"/>
        <w:right w:val="none" w:sz="0" w:space="0" w:color="auto"/>
      </w:divBdr>
    </w:div>
    <w:div w:id="1764688997">
      <w:bodyDiv w:val="1"/>
      <w:marLeft w:val="0"/>
      <w:marRight w:val="0"/>
      <w:marTop w:val="0"/>
      <w:marBottom w:val="0"/>
      <w:divBdr>
        <w:top w:val="none" w:sz="0" w:space="0" w:color="auto"/>
        <w:left w:val="none" w:sz="0" w:space="0" w:color="auto"/>
        <w:bottom w:val="none" w:sz="0" w:space="0" w:color="auto"/>
        <w:right w:val="none" w:sz="0" w:space="0" w:color="auto"/>
      </w:divBdr>
      <w:divsChild>
        <w:div w:id="251666511">
          <w:marLeft w:val="0"/>
          <w:marRight w:val="0"/>
          <w:marTop w:val="0"/>
          <w:marBottom w:val="0"/>
          <w:divBdr>
            <w:top w:val="none" w:sz="0" w:space="0" w:color="auto"/>
            <w:left w:val="none" w:sz="0" w:space="0" w:color="auto"/>
            <w:bottom w:val="none" w:sz="0" w:space="0" w:color="auto"/>
            <w:right w:val="none" w:sz="0" w:space="0" w:color="auto"/>
          </w:divBdr>
        </w:div>
        <w:div w:id="4947340">
          <w:marLeft w:val="0"/>
          <w:marRight w:val="0"/>
          <w:marTop w:val="0"/>
          <w:marBottom w:val="0"/>
          <w:divBdr>
            <w:top w:val="none" w:sz="0" w:space="0" w:color="auto"/>
            <w:left w:val="none" w:sz="0" w:space="0" w:color="auto"/>
            <w:bottom w:val="none" w:sz="0" w:space="0" w:color="auto"/>
            <w:right w:val="none" w:sz="0" w:space="0" w:color="auto"/>
          </w:divBdr>
        </w:div>
        <w:div w:id="245575451">
          <w:marLeft w:val="0"/>
          <w:marRight w:val="0"/>
          <w:marTop w:val="0"/>
          <w:marBottom w:val="0"/>
          <w:divBdr>
            <w:top w:val="none" w:sz="0" w:space="0" w:color="auto"/>
            <w:left w:val="none" w:sz="0" w:space="0" w:color="auto"/>
            <w:bottom w:val="none" w:sz="0" w:space="0" w:color="auto"/>
            <w:right w:val="none" w:sz="0" w:space="0" w:color="auto"/>
          </w:divBdr>
        </w:div>
        <w:div w:id="844589298">
          <w:marLeft w:val="0"/>
          <w:marRight w:val="0"/>
          <w:marTop w:val="0"/>
          <w:marBottom w:val="0"/>
          <w:divBdr>
            <w:top w:val="none" w:sz="0" w:space="0" w:color="auto"/>
            <w:left w:val="none" w:sz="0" w:space="0" w:color="auto"/>
            <w:bottom w:val="none" w:sz="0" w:space="0" w:color="auto"/>
            <w:right w:val="none" w:sz="0" w:space="0" w:color="auto"/>
          </w:divBdr>
        </w:div>
        <w:div w:id="715545106">
          <w:marLeft w:val="0"/>
          <w:marRight w:val="0"/>
          <w:marTop w:val="0"/>
          <w:marBottom w:val="0"/>
          <w:divBdr>
            <w:top w:val="none" w:sz="0" w:space="0" w:color="auto"/>
            <w:left w:val="none" w:sz="0" w:space="0" w:color="auto"/>
            <w:bottom w:val="none" w:sz="0" w:space="0" w:color="auto"/>
            <w:right w:val="none" w:sz="0" w:space="0" w:color="auto"/>
          </w:divBdr>
        </w:div>
        <w:div w:id="367878006">
          <w:marLeft w:val="0"/>
          <w:marRight w:val="0"/>
          <w:marTop w:val="0"/>
          <w:marBottom w:val="0"/>
          <w:divBdr>
            <w:top w:val="none" w:sz="0" w:space="0" w:color="auto"/>
            <w:left w:val="none" w:sz="0" w:space="0" w:color="auto"/>
            <w:bottom w:val="none" w:sz="0" w:space="0" w:color="auto"/>
            <w:right w:val="none" w:sz="0" w:space="0" w:color="auto"/>
          </w:divBdr>
        </w:div>
        <w:div w:id="1668678866">
          <w:marLeft w:val="0"/>
          <w:marRight w:val="0"/>
          <w:marTop w:val="0"/>
          <w:marBottom w:val="0"/>
          <w:divBdr>
            <w:top w:val="none" w:sz="0" w:space="0" w:color="auto"/>
            <w:left w:val="none" w:sz="0" w:space="0" w:color="auto"/>
            <w:bottom w:val="none" w:sz="0" w:space="0" w:color="auto"/>
            <w:right w:val="none" w:sz="0" w:space="0" w:color="auto"/>
          </w:divBdr>
        </w:div>
      </w:divsChild>
    </w:div>
    <w:div w:id="1770153873">
      <w:bodyDiv w:val="1"/>
      <w:marLeft w:val="0"/>
      <w:marRight w:val="0"/>
      <w:marTop w:val="0"/>
      <w:marBottom w:val="0"/>
      <w:divBdr>
        <w:top w:val="none" w:sz="0" w:space="0" w:color="auto"/>
        <w:left w:val="none" w:sz="0" w:space="0" w:color="auto"/>
        <w:bottom w:val="none" w:sz="0" w:space="0" w:color="auto"/>
        <w:right w:val="none" w:sz="0" w:space="0" w:color="auto"/>
      </w:divBdr>
    </w:div>
    <w:div w:id="1795128427">
      <w:bodyDiv w:val="1"/>
      <w:marLeft w:val="0"/>
      <w:marRight w:val="0"/>
      <w:marTop w:val="0"/>
      <w:marBottom w:val="0"/>
      <w:divBdr>
        <w:top w:val="none" w:sz="0" w:space="0" w:color="auto"/>
        <w:left w:val="none" w:sz="0" w:space="0" w:color="auto"/>
        <w:bottom w:val="none" w:sz="0" w:space="0" w:color="auto"/>
        <w:right w:val="none" w:sz="0" w:space="0" w:color="auto"/>
      </w:divBdr>
    </w:div>
    <w:div w:id="1822498533">
      <w:bodyDiv w:val="1"/>
      <w:marLeft w:val="0"/>
      <w:marRight w:val="0"/>
      <w:marTop w:val="0"/>
      <w:marBottom w:val="0"/>
      <w:divBdr>
        <w:top w:val="none" w:sz="0" w:space="0" w:color="auto"/>
        <w:left w:val="none" w:sz="0" w:space="0" w:color="auto"/>
        <w:bottom w:val="none" w:sz="0" w:space="0" w:color="auto"/>
        <w:right w:val="none" w:sz="0" w:space="0" w:color="auto"/>
      </w:divBdr>
    </w:div>
    <w:div w:id="1829780654">
      <w:bodyDiv w:val="1"/>
      <w:marLeft w:val="0"/>
      <w:marRight w:val="0"/>
      <w:marTop w:val="0"/>
      <w:marBottom w:val="0"/>
      <w:divBdr>
        <w:top w:val="none" w:sz="0" w:space="0" w:color="auto"/>
        <w:left w:val="none" w:sz="0" w:space="0" w:color="auto"/>
        <w:bottom w:val="none" w:sz="0" w:space="0" w:color="auto"/>
        <w:right w:val="none" w:sz="0" w:space="0" w:color="auto"/>
      </w:divBdr>
      <w:divsChild>
        <w:div w:id="1507405102">
          <w:marLeft w:val="0"/>
          <w:marRight w:val="0"/>
          <w:marTop w:val="0"/>
          <w:marBottom w:val="0"/>
          <w:divBdr>
            <w:top w:val="none" w:sz="0" w:space="0" w:color="auto"/>
            <w:left w:val="none" w:sz="0" w:space="0" w:color="auto"/>
            <w:bottom w:val="none" w:sz="0" w:space="0" w:color="auto"/>
            <w:right w:val="none" w:sz="0" w:space="0" w:color="auto"/>
          </w:divBdr>
        </w:div>
        <w:div w:id="1363553536">
          <w:marLeft w:val="0"/>
          <w:marRight w:val="0"/>
          <w:marTop w:val="0"/>
          <w:marBottom w:val="0"/>
          <w:divBdr>
            <w:top w:val="none" w:sz="0" w:space="0" w:color="auto"/>
            <w:left w:val="none" w:sz="0" w:space="0" w:color="auto"/>
            <w:bottom w:val="none" w:sz="0" w:space="0" w:color="auto"/>
            <w:right w:val="none" w:sz="0" w:space="0" w:color="auto"/>
          </w:divBdr>
        </w:div>
      </w:divsChild>
    </w:div>
    <w:div w:id="1857115979">
      <w:bodyDiv w:val="1"/>
      <w:marLeft w:val="0"/>
      <w:marRight w:val="0"/>
      <w:marTop w:val="0"/>
      <w:marBottom w:val="0"/>
      <w:divBdr>
        <w:top w:val="none" w:sz="0" w:space="0" w:color="auto"/>
        <w:left w:val="none" w:sz="0" w:space="0" w:color="auto"/>
        <w:bottom w:val="none" w:sz="0" w:space="0" w:color="auto"/>
        <w:right w:val="none" w:sz="0" w:space="0" w:color="auto"/>
      </w:divBdr>
    </w:div>
    <w:div w:id="1866481125">
      <w:bodyDiv w:val="1"/>
      <w:marLeft w:val="0"/>
      <w:marRight w:val="0"/>
      <w:marTop w:val="0"/>
      <w:marBottom w:val="0"/>
      <w:divBdr>
        <w:top w:val="none" w:sz="0" w:space="0" w:color="auto"/>
        <w:left w:val="none" w:sz="0" w:space="0" w:color="auto"/>
        <w:bottom w:val="none" w:sz="0" w:space="0" w:color="auto"/>
        <w:right w:val="none" w:sz="0" w:space="0" w:color="auto"/>
      </w:divBdr>
    </w:div>
    <w:div w:id="1889225699">
      <w:bodyDiv w:val="1"/>
      <w:marLeft w:val="0"/>
      <w:marRight w:val="0"/>
      <w:marTop w:val="0"/>
      <w:marBottom w:val="0"/>
      <w:divBdr>
        <w:top w:val="none" w:sz="0" w:space="0" w:color="auto"/>
        <w:left w:val="none" w:sz="0" w:space="0" w:color="auto"/>
        <w:bottom w:val="none" w:sz="0" w:space="0" w:color="auto"/>
        <w:right w:val="none" w:sz="0" w:space="0" w:color="auto"/>
      </w:divBdr>
      <w:divsChild>
        <w:div w:id="826898507">
          <w:marLeft w:val="0"/>
          <w:marRight w:val="0"/>
          <w:marTop w:val="0"/>
          <w:marBottom w:val="0"/>
          <w:divBdr>
            <w:top w:val="none" w:sz="0" w:space="0" w:color="auto"/>
            <w:left w:val="none" w:sz="0" w:space="0" w:color="auto"/>
            <w:bottom w:val="none" w:sz="0" w:space="0" w:color="auto"/>
            <w:right w:val="none" w:sz="0" w:space="0" w:color="auto"/>
          </w:divBdr>
        </w:div>
        <w:div w:id="1909996211">
          <w:marLeft w:val="0"/>
          <w:marRight w:val="0"/>
          <w:marTop w:val="0"/>
          <w:marBottom w:val="0"/>
          <w:divBdr>
            <w:top w:val="none" w:sz="0" w:space="0" w:color="auto"/>
            <w:left w:val="none" w:sz="0" w:space="0" w:color="auto"/>
            <w:bottom w:val="none" w:sz="0" w:space="0" w:color="auto"/>
            <w:right w:val="none" w:sz="0" w:space="0" w:color="auto"/>
          </w:divBdr>
        </w:div>
        <w:div w:id="1840736066">
          <w:marLeft w:val="0"/>
          <w:marRight w:val="0"/>
          <w:marTop w:val="0"/>
          <w:marBottom w:val="0"/>
          <w:divBdr>
            <w:top w:val="none" w:sz="0" w:space="0" w:color="auto"/>
            <w:left w:val="none" w:sz="0" w:space="0" w:color="auto"/>
            <w:bottom w:val="none" w:sz="0" w:space="0" w:color="auto"/>
            <w:right w:val="none" w:sz="0" w:space="0" w:color="auto"/>
          </w:divBdr>
        </w:div>
        <w:div w:id="1833401617">
          <w:marLeft w:val="0"/>
          <w:marRight w:val="0"/>
          <w:marTop w:val="0"/>
          <w:marBottom w:val="0"/>
          <w:divBdr>
            <w:top w:val="none" w:sz="0" w:space="0" w:color="auto"/>
            <w:left w:val="none" w:sz="0" w:space="0" w:color="auto"/>
            <w:bottom w:val="none" w:sz="0" w:space="0" w:color="auto"/>
            <w:right w:val="none" w:sz="0" w:space="0" w:color="auto"/>
          </w:divBdr>
        </w:div>
        <w:div w:id="536090075">
          <w:marLeft w:val="0"/>
          <w:marRight w:val="0"/>
          <w:marTop w:val="0"/>
          <w:marBottom w:val="0"/>
          <w:divBdr>
            <w:top w:val="none" w:sz="0" w:space="0" w:color="auto"/>
            <w:left w:val="none" w:sz="0" w:space="0" w:color="auto"/>
            <w:bottom w:val="none" w:sz="0" w:space="0" w:color="auto"/>
            <w:right w:val="none" w:sz="0" w:space="0" w:color="auto"/>
          </w:divBdr>
        </w:div>
      </w:divsChild>
    </w:div>
    <w:div w:id="1920557399">
      <w:bodyDiv w:val="1"/>
      <w:marLeft w:val="0"/>
      <w:marRight w:val="0"/>
      <w:marTop w:val="0"/>
      <w:marBottom w:val="0"/>
      <w:divBdr>
        <w:top w:val="none" w:sz="0" w:space="0" w:color="auto"/>
        <w:left w:val="none" w:sz="0" w:space="0" w:color="auto"/>
        <w:bottom w:val="none" w:sz="0" w:space="0" w:color="auto"/>
        <w:right w:val="none" w:sz="0" w:space="0" w:color="auto"/>
      </w:divBdr>
    </w:div>
    <w:div w:id="1963610734">
      <w:bodyDiv w:val="1"/>
      <w:marLeft w:val="0"/>
      <w:marRight w:val="0"/>
      <w:marTop w:val="0"/>
      <w:marBottom w:val="0"/>
      <w:divBdr>
        <w:top w:val="none" w:sz="0" w:space="0" w:color="auto"/>
        <w:left w:val="none" w:sz="0" w:space="0" w:color="auto"/>
        <w:bottom w:val="none" w:sz="0" w:space="0" w:color="auto"/>
        <w:right w:val="none" w:sz="0" w:space="0" w:color="auto"/>
      </w:divBdr>
    </w:div>
    <w:div w:id="1990281018">
      <w:bodyDiv w:val="1"/>
      <w:marLeft w:val="0"/>
      <w:marRight w:val="0"/>
      <w:marTop w:val="0"/>
      <w:marBottom w:val="0"/>
      <w:divBdr>
        <w:top w:val="none" w:sz="0" w:space="0" w:color="auto"/>
        <w:left w:val="none" w:sz="0" w:space="0" w:color="auto"/>
        <w:bottom w:val="none" w:sz="0" w:space="0" w:color="auto"/>
        <w:right w:val="none" w:sz="0" w:space="0" w:color="auto"/>
      </w:divBdr>
    </w:div>
    <w:div w:id="2003653415">
      <w:bodyDiv w:val="1"/>
      <w:marLeft w:val="0"/>
      <w:marRight w:val="0"/>
      <w:marTop w:val="0"/>
      <w:marBottom w:val="0"/>
      <w:divBdr>
        <w:top w:val="none" w:sz="0" w:space="0" w:color="auto"/>
        <w:left w:val="none" w:sz="0" w:space="0" w:color="auto"/>
        <w:bottom w:val="none" w:sz="0" w:space="0" w:color="auto"/>
        <w:right w:val="none" w:sz="0" w:space="0" w:color="auto"/>
      </w:divBdr>
    </w:div>
    <w:div w:id="2007780628">
      <w:bodyDiv w:val="1"/>
      <w:marLeft w:val="0"/>
      <w:marRight w:val="0"/>
      <w:marTop w:val="0"/>
      <w:marBottom w:val="0"/>
      <w:divBdr>
        <w:top w:val="none" w:sz="0" w:space="0" w:color="auto"/>
        <w:left w:val="none" w:sz="0" w:space="0" w:color="auto"/>
        <w:bottom w:val="none" w:sz="0" w:space="0" w:color="auto"/>
        <w:right w:val="none" w:sz="0" w:space="0" w:color="auto"/>
      </w:divBdr>
      <w:divsChild>
        <w:div w:id="483594625">
          <w:marLeft w:val="0"/>
          <w:marRight w:val="0"/>
          <w:marTop w:val="0"/>
          <w:marBottom w:val="0"/>
          <w:divBdr>
            <w:top w:val="none" w:sz="0" w:space="0" w:color="auto"/>
            <w:left w:val="none" w:sz="0" w:space="0" w:color="auto"/>
            <w:bottom w:val="none" w:sz="0" w:space="0" w:color="auto"/>
            <w:right w:val="none" w:sz="0" w:space="0" w:color="auto"/>
          </w:divBdr>
        </w:div>
        <w:div w:id="217715716">
          <w:marLeft w:val="0"/>
          <w:marRight w:val="0"/>
          <w:marTop w:val="0"/>
          <w:marBottom w:val="0"/>
          <w:divBdr>
            <w:top w:val="none" w:sz="0" w:space="0" w:color="auto"/>
            <w:left w:val="none" w:sz="0" w:space="0" w:color="auto"/>
            <w:bottom w:val="none" w:sz="0" w:space="0" w:color="auto"/>
            <w:right w:val="none" w:sz="0" w:space="0" w:color="auto"/>
          </w:divBdr>
        </w:div>
        <w:div w:id="1913929745">
          <w:marLeft w:val="0"/>
          <w:marRight w:val="0"/>
          <w:marTop w:val="0"/>
          <w:marBottom w:val="0"/>
          <w:divBdr>
            <w:top w:val="none" w:sz="0" w:space="0" w:color="auto"/>
            <w:left w:val="none" w:sz="0" w:space="0" w:color="auto"/>
            <w:bottom w:val="none" w:sz="0" w:space="0" w:color="auto"/>
            <w:right w:val="none" w:sz="0" w:space="0" w:color="auto"/>
          </w:divBdr>
        </w:div>
        <w:div w:id="1610813251">
          <w:marLeft w:val="0"/>
          <w:marRight w:val="0"/>
          <w:marTop w:val="0"/>
          <w:marBottom w:val="0"/>
          <w:divBdr>
            <w:top w:val="none" w:sz="0" w:space="0" w:color="auto"/>
            <w:left w:val="none" w:sz="0" w:space="0" w:color="auto"/>
            <w:bottom w:val="none" w:sz="0" w:space="0" w:color="auto"/>
            <w:right w:val="none" w:sz="0" w:space="0" w:color="auto"/>
          </w:divBdr>
        </w:div>
        <w:div w:id="2097238270">
          <w:marLeft w:val="0"/>
          <w:marRight w:val="0"/>
          <w:marTop w:val="0"/>
          <w:marBottom w:val="0"/>
          <w:divBdr>
            <w:top w:val="none" w:sz="0" w:space="0" w:color="auto"/>
            <w:left w:val="none" w:sz="0" w:space="0" w:color="auto"/>
            <w:bottom w:val="none" w:sz="0" w:space="0" w:color="auto"/>
            <w:right w:val="none" w:sz="0" w:space="0" w:color="auto"/>
          </w:divBdr>
        </w:div>
        <w:div w:id="886138887">
          <w:marLeft w:val="0"/>
          <w:marRight w:val="0"/>
          <w:marTop w:val="0"/>
          <w:marBottom w:val="0"/>
          <w:divBdr>
            <w:top w:val="none" w:sz="0" w:space="0" w:color="auto"/>
            <w:left w:val="none" w:sz="0" w:space="0" w:color="auto"/>
            <w:bottom w:val="none" w:sz="0" w:space="0" w:color="auto"/>
            <w:right w:val="none" w:sz="0" w:space="0" w:color="auto"/>
          </w:divBdr>
        </w:div>
        <w:div w:id="1765373919">
          <w:marLeft w:val="0"/>
          <w:marRight w:val="0"/>
          <w:marTop w:val="0"/>
          <w:marBottom w:val="0"/>
          <w:divBdr>
            <w:top w:val="none" w:sz="0" w:space="0" w:color="auto"/>
            <w:left w:val="none" w:sz="0" w:space="0" w:color="auto"/>
            <w:bottom w:val="none" w:sz="0" w:space="0" w:color="auto"/>
            <w:right w:val="none" w:sz="0" w:space="0" w:color="auto"/>
          </w:divBdr>
        </w:div>
        <w:div w:id="1208372207">
          <w:marLeft w:val="0"/>
          <w:marRight w:val="0"/>
          <w:marTop w:val="0"/>
          <w:marBottom w:val="0"/>
          <w:divBdr>
            <w:top w:val="none" w:sz="0" w:space="0" w:color="auto"/>
            <w:left w:val="none" w:sz="0" w:space="0" w:color="auto"/>
            <w:bottom w:val="none" w:sz="0" w:space="0" w:color="auto"/>
            <w:right w:val="none" w:sz="0" w:space="0" w:color="auto"/>
          </w:divBdr>
        </w:div>
        <w:div w:id="1091388073">
          <w:marLeft w:val="0"/>
          <w:marRight w:val="0"/>
          <w:marTop w:val="0"/>
          <w:marBottom w:val="0"/>
          <w:divBdr>
            <w:top w:val="none" w:sz="0" w:space="0" w:color="auto"/>
            <w:left w:val="none" w:sz="0" w:space="0" w:color="auto"/>
            <w:bottom w:val="none" w:sz="0" w:space="0" w:color="auto"/>
            <w:right w:val="none" w:sz="0" w:space="0" w:color="auto"/>
          </w:divBdr>
        </w:div>
        <w:div w:id="2033922105">
          <w:marLeft w:val="0"/>
          <w:marRight w:val="0"/>
          <w:marTop w:val="0"/>
          <w:marBottom w:val="0"/>
          <w:divBdr>
            <w:top w:val="none" w:sz="0" w:space="0" w:color="auto"/>
            <w:left w:val="none" w:sz="0" w:space="0" w:color="auto"/>
            <w:bottom w:val="none" w:sz="0" w:space="0" w:color="auto"/>
            <w:right w:val="none" w:sz="0" w:space="0" w:color="auto"/>
          </w:divBdr>
        </w:div>
        <w:div w:id="277177961">
          <w:marLeft w:val="0"/>
          <w:marRight w:val="0"/>
          <w:marTop w:val="0"/>
          <w:marBottom w:val="0"/>
          <w:divBdr>
            <w:top w:val="none" w:sz="0" w:space="0" w:color="auto"/>
            <w:left w:val="none" w:sz="0" w:space="0" w:color="auto"/>
            <w:bottom w:val="none" w:sz="0" w:space="0" w:color="auto"/>
            <w:right w:val="none" w:sz="0" w:space="0" w:color="auto"/>
          </w:divBdr>
        </w:div>
        <w:div w:id="1913809369">
          <w:marLeft w:val="0"/>
          <w:marRight w:val="0"/>
          <w:marTop w:val="0"/>
          <w:marBottom w:val="0"/>
          <w:divBdr>
            <w:top w:val="none" w:sz="0" w:space="0" w:color="auto"/>
            <w:left w:val="none" w:sz="0" w:space="0" w:color="auto"/>
            <w:bottom w:val="none" w:sz="0" w:space="0" w:color="auto"/>
            <w:right w:val="none" w:sz="0" w:space="0" w:color="auto"/>
          </w:divBdr>
        </w:div>
        <w:div w:id="1137068391">
          <w:marLeft w:val="0"/>
          <w:marRight w:val="0"/>
          <w:marTop w:val="0"/>
          <w:marBottom w:val="0"/>
          <w:divBdr>
            <w:top w:val="none" w:sz="0" w:space="0" w:color="auto"/>
            <w:left w:val="none" w:sz="0" w:space="0" w:color="auto"/>
            <w:bottom w:val="none" w:sz="0" w:space="0" w:color="auto"/>
            <w:right w:val="none" w:sz="0" w:space="0" w:color="auto"/>
          </w:divBdr>
        </w:div>
        <w:div w:id="318726662">
          <w:marLeft w:val="0"/>
          <w:marRight w:val="0"/>
          <w:marTop w:val="0"/>
          <w:marBottom w:val="0"/>
          <w:divBdr>
            <w:top w:val="none" w:sz="0" w:space="0" w:color="auto"/>
            <w:left w:val="none" w:sz="0" w:space="0" w:color="auto"/>
            <w:bottom w:val="none" w:sz="0" w:space="0" w:color="auto"/>
            <w:right w:val="none" w:sz="0" w:space="0" w:color="auto"/>
          </w:divBdr>
        </w:div>
        <w:div w:id="942037375">
          <w:marLeft w:val="0"/>
          <w:marRight w:val="0"/>
          <w:marTop w:val="0"/>
          <w:marBottom w:val="0"/>
          <w:divBdr>
            <w:top w:val="none" w:sz="0" w:space="0" w:color="auto"/>
            <w:left w:val="none" w:sz="0" w:space="0" w:color="auto"/>
            <w:bottom w:val="none" w:sz="0" w:space="0" w:color="auto"/>
            <w:right w:val="none" w:sz="0" w:space="0" w:color="auto"/>
          </w:divBdr>
        </w:div>
        <w:div w:id="159276170">
          <w:marLeft w:val="0"/>
          <w:marRight w:val="0"/>
          <w:marTop w:val="0"/>
          <w:marBottom w:val="0"/>
          <w:divBdr>
            <w:top w:val="none" w:sz="0" w:space="0" w:color="auto"/>
            <w:left w:val="none" w:sz="0" w:space="0" w:color="auto"/>
            <w:bottom w:val="none" w:sz="0" w:space="0" w:color="auto"/>
            <w:right w:val="none" w:sz="0" w:space="0" w:color="auto"/>
          </w:divBdr>
        </w:div>
        <w:div w:id="732434607">
          <w:marLeft w:val="0"/>
          <w:marRight w:val="0"/>
          <w:marTop w:val="0"/>
          <w:marBottom w:val="0"/>
          <w:divBdr>
            <w:top w:val="none" w:sz="0" w:space="0" w:color="auto"/>
            <w:left w:val="none" w:sz="0" w:space="0" w:color="auto"/>
            <w:bottom w:val="none" w:sz="0" w:space="0" w:color="auto"/>
            <w:right w:val="none" w:sz="0" w:space="0" w:color="auto"/>
          </w:divBdr>
        </w:div>
        <w:div w:id="417337643">
          <w:marLeft w:val="0"/>
          <w:marRight w:val="0"/>
          <w:marTop w:val="0"/>
          <w:marBottom w:val="0"/>
          <w:divBdr>
            <w:top w:val="none" w:sz="0" w:space="0" w:color="auto"/>
            <w:left w:val="none" w:sz="0" w:space="0" w:color="auto"/>
            <w:bottom w:val="none" w:sz="0" w:space="0" w:color="auto"/>
            <w:right w:val="none" w:sz="0" w:space="0" w:color="auto"/>
          </w:divBdr>
        </w:div>
        <w:div w:id="577444369">
          <w:marLeft w:val="0"/>
          <w:marRight w:val="0"/>
          <w:marTop w:val="0"/>
          <w:marBottom w:val="0"/>
          <w:divBdr>
            <w:top w:val="none" w:sz="0" w:space="0" w:color="auto"/>
            <w:left w:val="none" w:sz="0" w:space="0" w:color="auto"/>
            <w:bottom w:val="none" w:sz="0" w:space="0" w:color="auto"/>
            <w:right w:val="none" w:sz="0" w:space="0" w:color="auto"/>
          </w:divBdr>
        </w:div>
        <w:div w:id="388959233">
          <w:marLeft w:val="0"/>
          <w:marRight w:val="0"/>
          <w:marTop w:val="0"/>
          <w:marBottom w:val="0"/>
          <w:divBdr>
            <w:top w:val="none" w:sz="0" w:space="0" w:color="auto"/>
            <w:left w:val="none" w:sz="0" w:space="0" w:color="auto"/>
            <w:bottom w:val="none" w:sz="0" w:space="0" w:color="auto"/>
            <w:right w:val="none" w:sz="0" w:space="0" w:color="auto"/>
          </w:divBdr>
        </w:div>
        <w:div w:id="55209962">
          <w:marLeft w:val="0"/>
          <w:marRight w:val="0"/>
          <w:marTop w:val="0"/>
          <w:marBottom w:val="0"/>
          <w:divBdr>
            <w:top w:val="none" w:sz="0" w:space="0" w:color="auto"/>
            <w:left w:val="none" w:sz="0" w:space="0" w:color="auto"/>
            <w:bottom w:val="none" w:sz="0" w:space="0" w:color="auto"/>
            <w:right w:val="none" w:sz="0" w:space="0" w:color="auto"/>
          </w:divBdr>
        </w:div>
        <w:div w:id="348262498">
          <w:marLeft w:val="0"/>
          <w:marRight w:val="0"/>
          <w:marTop w:val="0"/>
          <w:marBottom w:val="0"/>
          <w:divBdr>
            <w:top w:val="none" w:sz="0" w:space="0" w:color="auto"/>
            <w:left w:val="none" w:sz="0" w:space="0" w:color="auto"/>
            <w:bottom w:val="none" w:sz="0" w:space="0" w:color="auto"/>
            <w:right w:val="none" w:sz="0" w:space="0" w:color="auto"/>
          </w:divBdr>
        </w:div>
        <w:div w:id="67845727">
          <w:marLeft w:val="0"/>
          <w:marRight w:val="0"/>
          <w:marTop w:val="0"/>
          <w:marBottom w:val="0"/>
          <w:divBdr>
            <w:top w:val="none" w:sz="0" w:space="0" w:color="auto"/>
            <w:left w:val="none" w:sz="0" w:space="0" w:color="auto"/>
            <w:bottom w:val="none" w:sz="0" w:space="0" w:color="auto"/>
            <w:right w:val="none" w:sz="0" w:space="0" w:color="auto"/>
          </w:divBdr>
        </w:div>
        <w:div w:id="1652831285">
          <w:marLeft w:val="0"/>
          <w:marRight w:val="0"/>
          <w:marTop w:val="0"/>
          <w:marBottom w:val="0"/>
          <w:divBdr>
            <w:top w:val="none" w:sz="0" w:space="0" w:color="auto"/>
            <w:left w:val="none" w:sz="0" w:space="0" w:color="auto"/>
            <w:bottom w:val="none" w:sz="0" w:space="0" w:color="auto"/>
            <w:right w:val="none" w:sz="0" w:space="0" w:color="auto"/>
          </w:divBdr>
        </w:div>
      </w:divsChild>
    </w:div>
    <w:div w:id="2044400463">
      <w:bodyDiv w:val="1"/>
      <w:marLeft w:val="0"/>
      <w:marRight w:val="0"/>
      <w:marTop w:val="0"/>
      <w:marBottom w:val="0"/>
      <w:divBdr>
        <w:top w:val="none" w:sz="0" w:space="0" w:color="auto"/>
        <w:left w:val="none" w:sz="0" w:space="0" w:color="auto"/>
        <w:bottom w:val="none" w:sz="0" w:space="0" w:color="auto"/>
        <w:right w:val="none" w:sz="0" w:space="0" w:color="auto"/>
      </w:divBdr>
    </w:div>
    <w:div w:id="2049406854">
      <w:bodyDiv w:val="1"/>
      <w:marLeft w:val="0"/>
      <w:marRight w:val="0"/>
      <w:marTop w:val="0"/>
      <w:marBottom w:val="0"/>
      <w:divBdr>
        <w:top w:val="none" w:sz="0" w:space="0" w:color="auto"/>
        <w:left w:val="none" w:sz="0" w:space="0" w:color="auto"/>
        <w:bottom w:val="none" w:sz="0" w:space="0" w:color="auto"/>
        <w:right w:val="none" w:sz="0" w:space="0" w:color="auto"/>
      </w:divBdr>
    </w:div>
    <w:div w:id="2060932575">
      <w:bodyDiv w:val="1"/>
      <w:marLeft w:val="0"/>
      <w:marRight w:val="0"/>
      <w:marTop w:val="0"/>
      <w:marBottom w:val="0"/>
      <w:divBdr>
        <w:top w:val="none" w:sz="0" w:space="0" w:color="auto"/>
        <w:left w:val="none" w:sz="0" w:space="0" w:color="auto"/>
        <w:bottom w:val="none" w:sz="0" w:space="0" w:color="auto"/>
        <w:right w:val="none" w:sz="0" w:space="0" w:color="auto"/>
      </w:divBdr>
    </w:div>
    <w:div w:id="2102677596">
      <w:bodyDiv w:val="1"/>
      <w:marLeft w:val="0"/>
      <w:marRight w:val="0"/>
      <w:marTop w:val="0"/>
      <w:marBottom w:val="0"/>
      <w:divBdr>
        <w:top w:val="none" w:sz="0" w:space="0" w:color="auto"/>
        <w:left w:val="none" w:sz="0" w:space="0" w:color="auto"/>
        <w:bottom w:val="none" w:sz="0" w:space="0" w:color="auto"/>
        <w:right w:val="none" w:sz="0" w:space="0" w:color="auto"/>
      </w:divBdr>
      <w:divsChild>
        <w:div w:id="1108307499">
          <w:marLeft w:val="0"/>
          <w:marRight w:val="0"/>
          <w:marTop w:val="0"/>
          <w:marBottom w:val="0"/>
          <w:divBdr>
            <w:top w:val="none" w:sz="0" w:space="0" w:color="auto"/>
            <w:left w:val="none" w:sz="0" w:space="0" w:color="auto"/>
            <w:bottom w:val="none" w:sz="0" w:space="0" w:color="auto"/>
            <w:right w:val="none" w:sz="0" w:space="0" w:color="auto"/>
          </w:divBdr>
        </w:div>
        <w:div w:id="76022829">
          <w:marLeft w:val="0"/>
          <w:marRight w:val="0"/>
          <w:marTop w:val="0"/>
          <w:marBottom w:val="0"/>
          <w:divBdr>
            <w:top w:val="none" w:sz="0" w:space="0" w:color="auto"/>
            <w:left w:val="none" w:sz="0" w:space="0" w:color="auto"/>
            <w:bottom w:val="none" w:sz="0" w:space="0" w:color="auto"/>
            <w:right w:val="none" w:sz="0" w:space="0" w:color="auto"/>
          </w:divBdr>
        </w:div>
        <w:div w:id="833187018">
          <w:marLeft w:val="0"/>
          <w:marRight w:val="0"/>
          <w:marTop w:val="0"/>
          <w:marBottom w:val="0"/>
          <w:divBdr>
            <w:top w:val="none" w:sz="0" w:space="0" w:color="auto"/>
            <w:left w:val="none" w:sz="0" w:space="0" w:color="auto"/>
            <w:bottom w:val="none" w:sz="0" w:space="0" w:color="auto"/>
            <w:right w:val="none" w:sz="0" w:space="0" w:color="auto"/>
          </w:divBdr>
        </w:div>
        <w:div w:id="837769818">
          <w:marLeft w:val="0"/>
          <w:marRight w:val="0"/>
          <w:marTop w:val="0"/>
          <w:marBottom w:val="0"/>
          <w:divBdr>
            <w:top w:val="none" w:sz="0" w:space="0" w:color="auto"/>
            <w:left w:val="none" w:sz="0" w:space="0" w:color="auto"/>
            <w:bottom w:val="none" w:sz="0" w:space="0" w:color="auto"/>
            <w:right w:val="none" w:sz="0" w:space="0" w:color="auto"/>
          </w:divBdr>
        </w:div>
        <w:div w:id="1142962877">
          <w:marLeft w:val="0"/>
          <w:marRight w:val="0"/>
          <w:marTop w:val="0"/>
          <w:marBottom w:val="0"/>
          <w:divBdr>
            <w:top w:val="none" w:sz="0" w:space="0" w:color="auto"/>
            <w:left w:val="none" w:sz="0" w:space="0" w:color="auto"/>
            <w:bottom w:val="none" w:sz="0" w:space="0" w:color="auto"/>
            <w:right w:val="none" w:sz="0" w:space="0" w:color="auto"/>
          </w:divBdr>
        </w:div>
        <w:div w:id="157697086">
          <w:marLeft w:val="0"/>
          <w:marRight w:val="0"/>
          <w:marTop w:val="0"/>
          <w:marBottom w:val="0"/>
          <w:divBdr>
            <w:top w:val="none" w:sz="0" w:space="0" w:color="auto"/>
            <w:left w:val="none" w:sz="0" w:space="0" w:color="auto"/>
            <w:bottom w:val="none" w:sz="0" w:space="0" w:color="auto"/>
            <w:right w:val="none" w:sz="0" w:space="0" w:color="auto"/>
          </w:divBdr>
        </w:div>
        <w:div w:id="460340697">
          <w:marLeft w:val="0"/>
          <w:marRight w:val="0"/>
          <w:marTop w:val="0"/>
          <w:marBottom w:val="0"/>
          <w:divBdr>
            <w:top w:val="none" w:sz="0" w:space="0" w:color="auto"/>
            <w:left w:val="none" w:sz="0" w:space="0" w:color="auto"/>
            <w:bottom w:val="none" w:sz="0" w:space="0" w:color="auto"/>
            <w:right w:val="none" w:sz="0" w:space="0" w:color="auto"/>
          </w:divBdr>
        </w:div>
        <w:div w:id="1022131011">
          <w:marLeft w:val="0"/>
          <w:marRight w:val="0"/>
          <w:marTop w:val="0"/>
          <w:marBottom w:val="0"/>
          <w:divBdr>
            <w:top w:val="none" w:sz="0" w:space="0" w:color="auto"/>
            <w:left w:val="none" w:sz="0" w:space="0" w:color="auto"/>
            <w:bottom w:val="none" w:sz="0" w:space="0" w:color="auto"/>
            <w:right w:val="none" w:sz="0" w:space="0" w:color="auto"/>
          </w:divBdr>
        </w:div>
        <w:div w:id="1920672966">
          <w:marLeft w:val="0"/>
          <w:marRight w:val="0"/>
          <w:marTop w:val="0"/>
          <w:marBottom w:val="0"/>
          <w:divBdr>
            <w:top w:val="none" w:sz="0" w:space="0" w:color="auto"/>
            <w:left w:val="none" w:sz="0" w:space="0" w:color="auto"/>
            <w:bottom w:val="none" w:sz="0" w:space="0" w:color="auto"/>
            <w:right w:val="none" w:sz="0" w:space="0" w:color="auto"/>
          </w:divBdr>
        </w:div>
        <w:div w:id="1165780215">
          <w:marLeft w:val="0"/>
          <w:marRight w:val="0"/>
          <w:marTop w:val="0"/>
          <w:marBottom w:val="0"/>
          <w:divBdr>
            <w:top w:val="none" w:sz="0" w:space="0" w:color="auto"/>
            <w:left w:val="none" w:sz="0" w:space="0" w:color="auto"/>
            <w:bottom w:val="none" w:sz="0" w:space="0" w:color="auto"/>
            <w:right w:val="none" w:sz="0" w:space="0" w:color="auto"/>
          </w:divBdr>
        </w:div>
        <w:div w:id="2023051160">
          <w:marLeft w:val="0"/>
          <w:marRight w:val="0"/>
          <w:marTop w:val="0"/>
          <w:marBottom w:val="0"/>
          <w:divBdr>
            <w:top w:val="none" w:sz="0" w:space="0" w:color="auto"/>
            <w:left w:val="none" w:sz="0" w:space="0" w:color="auto"/>
            <w:bottom w:val="none" w:sz="0" w:space="0" w:color="auto"/>
            <w:right w:val="none" w:sz="0" w:space="0" w:color="auto"/>
          </w:divBdr>
        </w:div>
        <w:div w:id="358045748">
          <w:marLeft w:val="0"/>
          <w:marRight w:val="0"/>
          <w:marTop w:val="0"/>
          <w:marBottom w:val="0"/>
          <w:divBdr>
            <w:top w:val="none" w:sz="0" w:space="0" w:color="auto"/>
            <w:left w:val="none" w:sz="0" w:space="0" w:color="auto"/>
            <w:bottom w:val="none" w:sz="0" w:space="0" w:color="auto"/>
            <w:right w:val="none" w:sz="0" w:space="0" w:color="auto"/>
          </w:divBdr>
        </w:div>
        <w:div w:id="1711493091">
          <w:marLeft w:val="0"/>
          <w:marRight w:val="0"/>
          <w:marTop w:val="0"/>
          <w:marBottom w:val="0"/>
          <w:divBdr>
            <w:top w:val="none" w:sz="0" w:space="0" w:color="auto"/>
            <w:left w:val="none" w:sz="0" w:space="0" w:color="auto"/>
            <w:bottom w:val="none" w:sz="0" w:space="0" w:color="auto"/>
            <w:right w:val="none" w:sz="0" w:space="0" w:color="auto"/>
          </w:divBdr>
        </w:div>
        <w:div w:id="1145273019">
          <w:marLeft w:val="0"/>
          <w:marRight w:val="0"/>
          <w:marTop w:val="0"/>
          <w:marBottom w:val="0"/>
          <w:divBdr>
            <w:top w:val="none" w:sz="0" w:space="0" w:color="auto"/>
            <w:left w:val="none" w:sz="0" w:space="0" w:color="auto"/>
            <w:bottom w:val="none" w:sz="0" w:space="0" w:color="auto"/>
            <w:right w:val="none" w:sz="0" w:space="0" w:color="auto"/>
          </w:divBdr>
        </w:div>
      </w:divsChild>
    </w:div>
    <w:div w:id="2103447995">
      <w:bodyDiv w:val="1"/>
      <w:marLeft w:val="0"/>
      <w:marRight w:val="0"/>
      <w:marTop w:val="0"/>
      <w:marBottom w:val="0"/>
      <w:divBdr>
        <w:top w:val="none" w:sz="0" w:space="0" w:color="auto"/>
        <w:left w:val="none" w:sz="0" w:space="0" w:color="auto"/>
        <w:bottom w:val="none" w:sz="0" w:space="0" w:color="auto"/>
        <w:right w:val="none" w:sz="0" w:space="0" w:color="auto"/>
      </w:divBdr>
      <w:divsChild>
        <w:div w:id="1867913070">
          <w:marLeft w:val="0"/>
          <w:marRight w:val="0"/>
          <w:marTop w:val="0"/>
          <w:marBottom w:val="0"/>
          <w:divBdr>
            <w:top w:val="none" w:sz="0" w:space="0" w:color="auto"/>
            <w:left w:val="none" w:sz="0" w:space="0" w:color="auto"/>
            <w:bottom w:val="none" w:sz="0" w:space="0" w:color="auto"/>
            <w:right w:val="none" w:sz="0" w:space="0" w:color="auto"/>
          </w:divBdr>
        </w:div>
        <w:div w:id="1576934239">
          <w:marLeft w:val="0"/>
          <w:marRight w:val="0"/>
          <w:marTop w:val="0"/>
          <w:marBottom w:val="0"/>
          <w:divBdr>
            <w:top w:val="none" w:sz="0" w:space="0" w:color="auto"/>
            <w:left w:val="none" w:sz="0" w:space="0" w:color="auto"/>
            <w:bottom w:val="none" w:sz="0" w:space="0" w:color="auto"/>
            <w:right w:val="none" w:sz="0" w:space="0" w:color="auto"/>
          </w:divBdr>
        </w:div>
        <w:div w:id="538934337">
          <w:marLeft w:val="0"/>
          <w:marRight w:val="0"/>
          <w:marTop w:val="0"/>
          <w:marBottom w:val="0"/>
          <w:divBdr>
            <w:top w:val="none" w:sz="0" w:space="0" w:color="auto"/>
            <w:left w:val="none" w:sz="0" w:space="0" w:color="auto"/>
            <w:bottom w:val="none" w:sz="0" w:space="0" w:color="auto"/>
            <w:right w:val="none" w:sz="0" w:space="0" w:color="auto"/>
          </w:divBdr>
        </w:div>
        <w:div w:id="2024742454">
          <w:marLeft w:val="0"/>
          <w:marRight w:val="0"/>
          <w:marTop w:val="0"/>
          <w:marBottom w:val="0"/>
          <w:divBdr>
            <w:top w:val="none" w:sz="0" w:space="0" w:color="auto"/>
            <w:left w:val="none" w:sz="0" w:space="0" w:color="auto"/>
            <w:bottom w:val="none" w:sz="0" w:space="0" w:color="auto"/>
            <w:right w:val="none" w:sz="0" w:space="0" w:color="auto"/>
          </w:divBdr>
        </w:div>
        <w:div w:id="31804724">
          <w:marLeft w:val="0"/>
          <w:marRight w:val="0"/>
          <w:marTop w:val="0"/>
          <w:marBottom w:val="0"/>
          <w:divBdr>
            <w:top w:val="none" w:sz="0" w:space="0" w:color="auto"/>
            <w:left w:val="none" w:sz="0" w:space="0" w:color="auto"/>
            <w:bottom w:val="none" w:sz="0" w:space="0" w:color="auto"/>
            <w:right w:val="none" w:sz="0" w:space="0" w:color="auto"/>
          </w:divBdr>
        </w:div>
        <w:div w:id="1423797891">
          <w:marLeft w:val="0"/>
          <w:marRight w:val="0"/>
          <w:marTop w:val="0"/>
          <w:marBottom w:val="0"/>
          <w:divBdr>
            <w:top w:val="none" w:sz="0" w:space="0" w:color="auto"/>
            <w:left w:val="none" w:sz="0" w:space="0" w:color="auto"/>
            <w:bottom w:val="none" w:sz="0" w:space="0" w:color="auto"/>
            <w:right w:val="none" w:sz="0" w:space="0" w:color="auto"/>
          </w:divBdr>
        </w:div>
        <w:div w:id="887031092">
          <w:marLeft w:val="0"/>
          <w:marRight w:val="0"/>
          <w:marTop w:val="0"/>
          <w:marBottom w:val="0"/>
          <w:divBdr>
            <w:top w:val="none" w:sz="0" w:space="0" w:color="auto"/>
            <w:left w:val="none" w:sz="0" w:space="0" w:color="auto"/>
            <w:bottom w:val="none" w:sz="0" w:space="0" w:color="auto"/>
            <w:right w:val="none" w:sz="0" w:space="0" w:color="auto"/>
          </w:divBdr>
        </w:div>
        <w:div w:id="422066097">
          <w:marLeft w:val="0"/>
          <w:marRight w:val="0"/>
          <w:marTop w:val="0"/>
          <w:marBottom w:val="0"/>
          <w:divBdr>
            <w:top w:val="none" w:sz="0" w:space="0" w:color="auto"/>
            <w:left w:val="none" w:sz="0" w:space="0" w:color="auto"/>
            <w:bottom w:val="none" w:sz="0" w:space="0" w:color="auto"/>
            <w:right w:val="none" w:sz="0" w:space="0" w:color="auto"/>
          </w:divBdr>
        </w:div>
        <w:div w:id="502862336">
          <w:marLeft w:val="0"/>
          <w:marRight w:val="0"/>
          <w:marTop w:val="0"/>
          <w:marBottom w:val="0"/>
          <w:divBdr>
            <w:top w:val="none" w:sz="0" w:space="0" w:color="auto"/>
            <w:left w:val="none" w:sz="0" w:space="0" w:color="auto"/>
            <w:bottom w:val="none" w:sz="0" w:space="0" w:color="auto"/>
            <w:right w:val="none" w:sz="0" w:space="0" w:color="auto"/>
          </w:divBdr>
        </w:div>
        <w:div w:id="539823916">
          <w:marLeft w:val="0"/>
          <w:marRight w:val="0"/>
          <w:marTop w:val="0"/>
          <w:marBottom w:val="0"/>
          <w:divBdr>
            <w:top w:val="none" w:sz="0" w:space="0" w:color="auto"/>
            <w:left w:val="none" w:sz="0" w:space="0" w:color="auto"/>
            <w:bottom w:val="none" w:sz="0" w:space="0" w:color="auto"/>
            <w:right w:val="none" w:sz="0" w:space="0" w:color="auto"/>
          </w:divBdr>
        </w:div>
        <w:div w:id="187916298">
          <w:marLeft w:val="0"/>
          <w:marRight w:val="0"/>
          <w:marTop w:val="0"/>
          <w:marBottom w:val="0"/>
          <w:divBdr>
            <w:top w:val="none" w:sz="0" w:space="0" w:color="auto"/>
            <w:left w:val="none" w:sz="0" w:space="0" w:color="auto"/>
            <w:bottom w:val="none" w:sz="0" w:space="0" w:color="auto"/>
            <w:right w:val="none" w:sz="0" w:space="0" w:color="auto"/>
          </w:divBdr>
        </w:div>
      </w:divsChild>
    </w:div>
    <w:div w:id="2120837325">
      <w:bodyDiv w:val="1"/>
      <w:marLeft w:val="0"/>
      <w:marRight w:val="0"/>
      <w:marTop w:val="0"/>
      <w:marBottom w:val="0"/>
      <w:divBdr>
        <w:top w:val="none" w:sz="0" w:space="0" w:color="auto"/>
        <w:left w:val="none" w:sz="0" w:space="0" w:color="auto"/>
        <w:bottom w:val="none" w:sz="0" w:space="0" w:color="auto"/>
        <w:right w:val="none" w:sz="0" w:space="0" w:color="auto"/>
      </w:divBdr>
    </w:div>
    <w:div w:id="2123105271">
      <w:bodyDiv w:val="1"/>
      <w:marLeft w:val="0"/>
      <w:marRight w:val="0"/>
      <w:marTop w:val="0"/>
      <w:marBottom w:val="0"/>
      <w:divBdr>
        <w:top w:val="none" w:sz="0" w:space="0" w:color="auto"/>
        <w:left w:val="none" w:sz="0" w:space="0" w:color="auto"/>
        <w:bottom w:val="none" w:sz="0" w:space="0" w:color="auto"/>
        <w:right w:val="none" w:sz="0" w:space="0" w:color="auto"/>
      </w:divBdr>
    </w:div>
    <w:div w:id="2131588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footer" Target="footer1.xml"/><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chart" Target="charts/chart11.xml"/><Relationship Id="rId34" Type="http://schemas.openxmlformats.org/officeDocument/2006/relationships/image" Target="media/image9.emf"/><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header" Target="header1.xml"/><Relationship Id="rId33" Type="http://schemas.openxmlformats.org/officeDocument/2006/relationships/image" Target="media/image8.emf"/><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image" Target="media/image4.emf"/><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chart" Target="charts/chart14.xml"/><Relationship Id="rId32" Type="http://schemas.openxmlformats.org/officeDocument/2006/relationships/image" Target="media/image7.emf"/><Relationship Id="rId37" Type="http://schemas.openxmlformats.org/officeDocument/2006/relationships/header" Target="header2.xml"/><Relationship Id="rId40"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image" Target="media/image3.emf"/><Relationship Id="rId36" Type="http://schemas.openxmlformats.org/officeDocument/2006/relationships/image" Target="media/image11.emf"/><Relationship Id="rId10" Type="http://schemas.openxmlformats.org/officeDocument/2006/relationships/chart" Target="charts/chart1.xml"/><Relationship Id="rId19" Type="http://schemas.openxmlformats.org/officeDocument/2006/relationships/chart" Target="charts/chart9.xml"/><Relationship Id="rId31" Type="http://schemas.openxmlformats.org/officeDocument/2006/relationships/image" Target="media/image6.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footer" Target="footer2.xml"/><Relationship Id="rId30" Type="http://schemas.openxmlformats.org/officeDocument/2006/relationships/image" Target="media/image5.emf"/><Relationship Id="rId35" Type="http://schemas.openxmlformats.org/officeDocument/2006/relationships/image" Target="media/image10.emf"/><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intra\partages\ua1466_data\NOTES%20ET%20ETUDES\PUBLICATIONS\Newsletter%20de%20la%20ZF\N&#176;6\WEO%20Main%20d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Mac\Home\Documents\CEMAC\2016\SM%20Janvier%202016\Conseil%20des%20Ministres%20mars%202016\PM%20Zone%20BEAC.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Mac\Home\Documents\CEMAC\2016\SM%20Janvier%202016\Conseil%20des%20Ministres%20mars%202016\PM%20Zone%20BEAC.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Mac\Home\Documents\CEMAC\2016\SM%20Janvier%202016\Conseil%20des%20Ministres%20mars%202016\PM%20Zone%20BEAC.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Mac\Home\Documents\CEMAC\2016\SM%20Janvier%202016\Conseil%20des%20Ministres%20mars%202016\PM%20Zone%20BEAC.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Mac\Home\Documents\CEMAC\2016\SM%20Janvier%202016\Conseil%20des%20Ministres%20mars%202016\PM%20Zone%20BEAC.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Mac\Home\Documents\CEMAC\2016\SM%20Janvier%202016\Conseil%20des%20Ministres%20mars%202016\PM%20Zone%20BEAC.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Mac\Home\Documents\CEMAC\2016\SM%20Janvier%202016\Conseil%20des%20Ministres%20mars%202016\PM%20Zone%20BEAC.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Mac\Home\Documents\CEMAC\2016\SM%20Janvier%202016\Conseil%20des%20Ministres%20mars%202016\PM%20Zone%20BEAC.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Mac\Home\Documents\CEMAC\2016\SM%20Janvier%202016\Conseil%20des%20Ministres%20mars%202016\PM%20Zone%20BEAC.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Mac\Home\Documents\CEMAC\2016\SM%20Janvier%202016\Conseil%20des%20Ministres%20mars%202016\PM%20Zone%20BEAC.xlsx"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1.xlsx"/></Relationships>
</file>

<file path=word/charts/_rels/chart13.xml.rels><?xml version="1.0" encoding="UTF-8" standalone="yes"?>
<Relationships xmlns="http://schemas.openxmlformats.org/package/2006/relationships"><Relationship Id="rId1" Type="http://schemas.openxmlformats.org/officeDocument/2006/relationships/oleObject" Target="file:///\\Mac\Home\Documents\CEMAC\2016\SM%20Janvier%202016\Conseil%20des%20Ministres%20mars%202016\PM%20Zone%20BEAC.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Mac\Home\Documents\CEMAC\2016\SM%20Janvier%202016\Conseil%20des%20Ministres%20mars%202016\PM%20Zone%20BEAC.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3218421226758404E-2"/>
          <c:y val="0.27659108514014502"/>
          <c:w val="0.87569847886661323"/>
          <c:h val="0.62058795659138621"/>
        </c:manualLayout>
      </c:layout>
      <c:lineChart>
        <c:grouping val="standard"/>
        <c:varyColors val="0"/>
        <c:ser>
          <c:idx val="0"/>
          <c:order val="0"/>
          <c:tx>
            <c:v>Economie mondiale</c:v>
          </c:tx>
          <c:spPr>
            <a:ln>
              <a:solidFill>
                <a:schemeClr val="bg2">
                  <a:lumMod val="10000"/>
                </a:schemeClr>
              </a:solidFill>
            </a:ln>
          </c:spPr>
          <c:marker>
            <c:symbol val="none"/>
          </c:marker>
          <c:dPt>
            <c:idx val="5"/>
            <c:bubble3D val="0"/>
            <c:spPr>
              <a:ln>
                <a:solidFill>
                  <a:schemeClr val="bg2">
                    <a:lumMod val="10000"/>
                  </a:schemeClr>
                </a:solidFill>
                <a:prstDash val="sysDot"/>
              </a:ln>
            </c:spPr>
          </c:dPt>
          <c:dPt>
            <c:idx val="6"/>
            <c:bubble3D val="0"/>
            <c:spPr>
              <a:ln>
                <a:solidFill>
                  <a:schemeClr val="bg2">
                    <a:lumMod val="10000"/>
                  </a:schemeClr>
                </a:solidFill>
                <a:prstDash val="sysDot"/>
              </a:ln>
            </c:spPr>
          </c:dPt>
          <c:cat>
            <c:numRef>
              <c:f>'weoreptc.aspx-5'!$P$1:$V$1</c:f>
              <c:numCache>
                <c:formatCode>General</c:formatCode>
                <c:ptCount val="7"/>
                <c:pt idx="0">
                  <c:v>2010</c:v>
                </c:pt>
                <c:pt idx="1">
                  <c:v>2011</c:v>
                </c:pt>
                <c:pt idx="2">
                  <c:v>2012</c:v>
                </c:pt>
                <c:pt idx="3">
                  <c:v>2013</c:v>
                </c:pt>
                <c:pt idx="4">
                  <c:v>2014</c:v>
                </c:pt>
                <c:pt idx="5">
                  <c:v>2015</c:v>
                </c:pt>
                <c:pt idx="6">
                  <c:v>2016</c:v>
                </c:pt>
              </c:numCache>
            </c:numRef>
          </c:cat>
          <c:val>
            <c:numRef>
              <c:f>'weoreptc.aspx-5'!$P$9:$V$9</c:f>
              <c:numCache>
                <c:formatCode>_-* #,##0.0\ _€_-;\-* #,##0.0\ _€_-;_-* "-"??\ _€_-;_-@_-</c:formatCode>
                <c:ptCount val="7"/>
                <c:pt idx="0">
                  <c:v>5.4310000000000036</c:v>
                </c:pt>
                <c:pt idx="1">
                  <c:v>4.2249999999999917</c:v>
                </c:pt>
                <c:pt idx="2">
                  <c:v>3.4259999999999997</c:v>
                </c:pt>
                <c:pt idx="3">
                  <c:v>3.3079999999999998</c:v>
                </c:pt>
                <c:pt idx="4">
                  <c:v>3.4279999999999999</c:v>
                </c:pt>
                <c:pt idx="5">
                  <c:v>3.1230000000000002</c:v>
                </c:pt>
                <c:pt idx="6">
                  <c:v>3.56</c:v>
                </c:pt>
              </c:numCache>
            </c:numRef>
          </c:val>
          <c:smooth val="0"/>
        </c:ser>
        <c:ser>
          <c:idx val="1"/>
          <c:order val="1"/>
          <c:tx>
            <c:v>Pays avancés</c:v>
          </c:tx>
          <c:spPr>
            <a:ln>
              <a:solidFill>
                <a:schemeClr val="accent1">
                  <a:lumMod val="75000"/>
                </a:schemeClr>
              </a:solidFill>
            </a:ln>
          </c:spPr>
          <c:marker>
            <c:symbol val="none"/>
          </c:marker>
          <c:dPt>
            <c:idx val="5"/>
            <c:bubble3D val="0"/>
            <c:spPr>
              <a:ln>
                <a:solidFill>
                  <a:schemeClr val="accent1">
                    <a:lumMod val="75000"/>
                  </a:schemeClr>
                </a:solidFill>
                <a:prstDash val="sysDot"/>
              </a:ln>
            </c:spPr>
          </c:dPt>
          <c:dPt>
            <c:idx val="6"/>
            <c:bubble3D val="0"/>
            <c:spPr>
              <a:ln>
                <a:solidFill>
                  <a:schemeClr val="accent1">
                    <a:lumMod val="75000"/>
                  </a:schemeClr>
                </a:solidFill>
                <a:prstDash val="sysDot"/>
              </a:ln>
            </c:spPr>
          </c:dPt>
          <c:cat>
            <c:numRef>
              <c:f>'weoreptc.aspx-5'!$P$1:$V$1</c:f>
              <c:numCache>
                <c:formatCode>General</c:formatCode>
                <c:ptCount val="7"/>
                <c:pt idx="0">
                  <c:v>2010</c:v>
                </c:pt>
                <c:pt idx="1">
                  <c:v>2011</c:v>
                </c:pt>
                <c:pt idx="2">
                  <c:v>2012</c:v>
                </c:pt>
                <c:pt idx="3">
                  <c:v>2013</c:v>
                </c:pt>
                <c:pt idx="4">
                  <c:v>2014</c:v>
                </c:pt>
                <c:pt idx="5">
                  <c:v>2015</c:v>
                </c:pt>
                <c:pt idx="6">
                  <c:v>2016</c:v>
                </c:pt>
              </c:numCache>
            </c:numRef>
          </c:cat>
          <c:val>
            <c:numRef>
              <c:f>'weoreptc.aspx-5'!$P$10:$V$10</c:f>
              <c:numCache>
                <c:formatCode>_-* #,##0.0\ _€_-;\-* #,##0.0\ _€_-;_-* "-"??\ _€_-;_-@_-</c:formatCode>
                <c:ptCount val="7"/>
                <c:pt idx="0">
                  <c:v>3.089</c:v>
                </c:pt>
                <c:pt idx="1">
                  <c:v>1.6960000000000015</c:v>
                </c:pt>
                <c:pt idx="2">
                  <c:v>1.1910000000000001</c:v>
                </c:pt>
                <c:pt idx="3">
                  <c:v>1.141</c:v>
                </c:pt>
                <c:pt idx="4">
                  <c:v>1.8320000000000001</c:v>
                </c:pt>
                <c:pt idx="5">
                  <c:v>1.9800000000000002</c:v>
                </c:pt>
                <c:pt idx="6">
                  <c:v>2.2280000000000002</c:v>
                </c:pt>
              </c:numCache>
            </c:numRef>
          </c:val>
          <c:smooth val="0"/>
        </c:ser>
        <c:ser>
          <c:idx val="2"/>
          <c:order val="2"/>
          <c:tx>
            <c:v>Pays émergents et en développement</c:v>
          </c:tx>
          <c:spPr>
            <a:ln>
              <a:solidFill>
                <a:schemeClr val="accent2">
                  <a:lumMod val="75000"/>
                </a:schemeClr>
              </a:solidFill>
            </a:ln>
          </c:spPr>
          <c:marker>
            <c:symbol val="none"/>
          </c:marker>
          <c:dPt>
            <c:idx val="5"/>
            <c:bubble3D val="0"/>
            <c:spPr>
              <a:ln>
                <a:solidFill>
                  <a:schemeClr val="accent2">
                    <a:lumMod val="75000"/>
                  </a:schemeClr>
                </a:solidFill>
                <a:prstDash val="sysDot"/>
              </a:ln>
            </c:spPr>
          </c:dPt>
          <c:dPt>
            <c:idx val="6"/>
            <c:bubble3D val="0"/>
            <c:spPr>
              <a:ln>
                <a:solidFill>
                  <a:schemeClr val="accent2">
                    <a:lumMod val="75000"/>
                  </a:schemeClr>
                </a:solidFill>
                <a:prstDash val="sysDot"/>
              </a:ln>
            </c:spPr>
          </c:dPt>
          <c:cat>
            <c:numRef>
              <c:f>'weoreptc.aspx-5'!$P$1:$V$1</c:f>
              <c:numCache>
                <c:formatCode>General</c:formatCode>
                <c:ptCount val="7"/>
                <c:pt idx="0">
                  <c:v>2010</c:v>
                </c:pt>
                <c:pt idx="1">
                  <c:v>2011</c:v>
                </c:pt>
                <c:pt idx="2">
                  <c:v>2012</c:v>
                </c:pt>
                <c:pt idx="3">
                  <c:v>2013</c:v>
                </c:pt>
                <c:pt idx="4">
                  <c:v>2014</c:v>
                </c:pt>
                <c:pt idx="5">
                  <c:v>2015</c:v>
                </c:pt>
                <c:pt idx="6">
                  <c:v>2016</c:v>
                </c:pt>
              </c:numCache>
            </c:numRef>
          </c:cat>
          <c:val>
            <c:numRef>
              <c:f>'weoreptc.aspx-5'!$P$15:$V$15</c:f>
              <c:numCache>
                <c:formatCode>_-* #,##0.0\ _€_-;\-* #,##0.0\ _€_-;_-* "-"??\ _€_-;_-@_-</c:formatCode>
                <c:ptCount val="7"/>
                <c:pt idx="0">
                  <c:v>7.4509999999999996</c:v>
                </c:pt>
                <c:pt idx="1">
                  <c:v>6.3229999999999933</c:v>
                </c:pt>
                <c:pt idx="2">
                  <c:v>5.2110000000000003</c:v>
                </c:pt>
                <c:pt idx="3">
                  <c:v>4.9760000000000035</c:v>
                </c:pt>
                <c:pt idx="4">
                  <c:v>4.6259999999999915</c:v>
                </c:pt>
                <c:pt idx="5">
                  <c:v>3.9649999999999999</c:v>
                </c:pt>
                <c:pt idx="6">
                  <c:v>4.5199999999999996</c:v>
                </c:pt>
              </c:numCache>
            </c:numRef>
          </c:val>
          <c:smooth val="0"/>
        </c:ser>
        <c:ser>
          <c:idx val="3"/>
          <c:order val="3"/>
          <c:tx>
            <c:v>Afrique sub-saharienne</c:v>
          </c:tx>
          <c:spPr>
            <a:ln>
              <a:solidFill>
                <a:schemeClr val="accent6">
                  <a:lumMod val="75000"/>
                </a:schemeClr>
              </a:solidFill>
            </a:ln>
          </c:spPr>
          <c:marker>
            <c:symbol val="none"/>
          </c:marker>
          <c:dPt>
            <c:idx val="5"/>
            <c:bubble3D val="0"/>
            <c:spPr>
              <a:ln>
                <a:solidFill>
                  <a:schemeClr val="accent6">
                    <a:lumMod val="75000"/>
                  </a:schemeClr>
                </a:solidFill>
                <a:prstDash val="sysDot"/>
              </a:ln>
            </c:spPr>
          </c:dPt>
          <c:dPt>
            <c:idx val="6"/>
            <c:bubble3D val="0"/>
            <c:spPr>
              <a:ln>
                <a:solidFill>
                  <a:schemeClr val="accent6">
                    <a:lumMod val="75000"/>
                  </a:schemeClr>
                </a:solidFill>
                <a:prstDash val="sysDot"/>
              </a:ln>
            </c:spPr>
          </c:dPt>
          <c:val>
            <c:numRef>
              <c:f>'weoreptc.aspx-5'!$P$23:$V$23</c:f>
              <c:numCache>
                <c:formatCode>_-* #,##0.0\ _€_-;\-* #,##0.0\ _€_-;_-* "-"??\ _€_-;_-@_-</c:formatCode>
                <c:ptCount val="7"/>
                <c:pt idx="0">
                  <c:v>6.6419999999999977</c:v>
                </c:pt>
                <c:pt idx="1">
                  <c:v>4.9809999999999999</c:v>
                </c:pt>
                <c:pt idx="2">
                  <c:v>4.2690000000000001</c:v>
                </c:pt>
                <c:pt idx="3">
                  <c:v>5.202</c:v>
                </c:pt>
                <c:pt idx="4">
                  <c:v>5.03</c:v>
                </c:pt>
                <c:pt idx="5">
                  <c:v>3.8039999999999998</c:v>
                </c:pt>
                <c:pt idx="6">
                  <c:v>4.3099999999999996</c:v>
                </c:pt>
              </c:numCache>
            </c:numRef>
          </c:val>
          <c:smooth val="0"/>
        </c:ser>
        <c:dLbls>
          <c:showLegendKey val="0"/>
          <c:showVal val="0"/>
          <c:showCatName val="0"/>
          <c:showSerName val="0"/>
          <c:showPercent val="0"/>
          <c:showBubbleSize val="0"/>
        </c:dLbls>
        <c:marker val="1"/>
        <c:smooth val="0"/>
        <c:axId val="233996288"/>
        <c:axId val="221200384"/>
      </c:lineChart>
      <c:catAx>
        <c:axId val="233996288"/>
        <c:scaling>
          <c:orientation val="minMax"/>
        </c:scaling>
        <c:delete val="0"/>
        <c:axPos val="b"/>
        <c:majorGridlines>
          <c:spPr>
            <a:ln>
              <a:solidFill>
                <a:schemeClr val="bg1">
                  <a:lumMod val="75000"/>
                </a:schemeClr>
              </a:solidFill>
              <a:prstDash val="sysDash"/>
            </a:ln>
          </c:spPr>
        </c:majorGridlines>
        <c:numFmt formatCode="General" sourceLinked="1"/>
        <c:majorTickMark val="out"/>
        <c:minorTickMark val="none"/>
        <c:tickLblPos val="nextTo"/>
        <c:spPr>
          <a:ln>
            <a:solidFill>
              <a:schemeClr val="bg1">
                <a:lumMod val="75000"/>
              </a:schemeClr>
            </a:solidFill>
          </a:ln>
        </c:spPr>
        <c:crossAx val="221200384"/>
        <c:crosses val="autoZero"/>
        <c:auto val="1"/>
        <c:lblAlgn val="ctr"/>
        <c:lblOffset val="100"/>
        <c:noMultiLvlLbl val="0"/>
      </c:catAx>
      <c:valAx>
        <c:axId val="221200384"/>
        <c:scaling>
          <c:orientation val="minMax"/>
        </c:scaling>
        <c:delete val="0"/>
        <c:axPos val="l"/>
        <c:majorGridlines>
          <c:spPr>
            <a:ln>
              <a:solidFill>
                <a:schemeClr val="bg1">
                  <a:lumMod val="75000"/>
                </a:schemeClr>
              </a:solidFill>
              <a:prstDash val="sysDash"/>
            </a:ln>
          </c:spPr>
        </c:majorGridlines>
        <c:numFmt formatCode="#,##0" sourceLinked="0"/>
        <c:majorTickMark val="out"/>
        <c:minorTickMark val="none"/>
        <c:tickLblPos val="nextTo"/>
        <c:crossAx val="233996288"/>
        <c:crosses val="autoZero"/>
        <c:crossBetween val="between"/>
      </c:valAx>
    </c:plotArea>
    <c:legend>
      <c:legendPos val="t"/>
      <c:layout>
        <c:manualLayout>
          <c:xMode val="edge"/>
          <c:yMode val="edge"/>
          <c:x val="3.7850076432753614E-2"/>
          <c:y val="2.2922576318338689E-2"/>
          <c:w val="0.65305903394832643"/>
          <c:h val="0.23947536643879405"/>
        </c:manualLayout>
      </c:layout>
      <c:overlay val="0"/>
    </c:legend>
    <c:plotVisOnly val="1"/>
    <c:dispBlanksAs val="gap"/>
    <c:showDLblsOverMax val="0"/>
  </c:chart>
  <c:spPr>
    <a:ln>
      <a:noFill/>
    </a:ln>
  </c:spPr>
  <c:txPr>
    <a:bodyPr/>
    <a:lstStyle/>
    <a:p>
      <a:pPr>
        <a:defRPr sz="1100"/>
      </a:pPr>
      <a:endParaRPr lang="de-DE"/>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8.1321741032370901E-2"/>
          <c:y val="2.3575638506876211E-2"/>
          <c:w val="0.86867825896762918"/>
          <c:h val="0.89783889980353604"/>
        </c:manualLayout>
      </c:layout>
      <c:barChart>
        <c:barDir val="col"/>
        <c:grouping val="clustered"/>
        <c:varyColors val="0"/>
        <c:ser>
          <c:idx val="0"/>
          <c:order val="0"/>
          <c:tx>
            <c:strRef>
              <c:f>'Graph SM'!$A$3</c:f>
              <c:strCache>
                <c:ptCount val="1"/>
                <c:pt idx="0">
                  <c:v>PIB aux prix constants</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SM'!$K$3:$Q$3</c:f>
              <c:numCache>
                <c:formatCode>0.0</c:formatCode>
                <c:ptCount val="7"/>
                <c:pt idx="0">
                  <c:v>4.9800796812077639</c:v>
                </c:pt>
                <c:pt idx="1">
                  <c:v>3.9465989325302191</c:v>
                </c:pt>
                <c:pt idx="2">
                  <c:v>5.7588383852882803</c:v>
                </c:pt>
                <c:pt idx="3">
                  <c:v>1.3417051773943318</c:v>
                </c:pt>
                <c:pt idx="4">
                  <c:v>4.8368922513267556</c:v>
                </c:pt>
                <c:pt idx="5">
                  <c:v>1.6737641480940346</c:v>
                </c:pt>
                <c:pt idx="6">
                  <c:v>2.5508597129498578</c:v>
                </c:pt>
              </c:numCache>
            </c:numRef>
          </c:val>
          <c:extLst xmlns:c16r2="http://schemas.microsoft.com/office/drawing/2015/06/chart">
            <c:ext xmlns:c16="http://schemas.microsoft.com/office/drawing/2014/chart" uri="{C3380CC4-5D6E-409C-BE32-E72D297353CC}">
              <c16:uniqueId val="{00000000-FA97-416F-8F8C-EBED1CD96340}"/>
            </c:ext>
          </c:extLst>
        </c:ser>
        <c:ser>
          <c:idx val="1"/>
          <c:order val="1"/>
          <c:tx>
            <c:strRef>
              <c:f>'Graph SM'!$A$4</c:f>
              <c:strCache>
                <c:ptCount val="1"/>
                <c:pt idx="0">
                  <c:v>PIB du secteur pétrolier</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SM'!$K$4:$Q$4</c:f>
              <c:numCache>
                <c:formatCode>0.0</c:formatCode>
                <c:ptCount val="7"/>
                <c:pt idx="0">
                  <c:v>-2.8963994054345177</c:v>
                </c:pt>
                <c:pt idx="1">
                  <c:v>-1.745705774913052</c:v>
                </c:pt>
                <c:pt idx="2">
                  <c:v>-1.1561569974716521</c:v>
                </c:pt>
                <c:pt idx="3">
                  <c:v>-7.2648512712086255</c:v>
                </c:pt>
                <c:pt idx="4">
                  <c:v>2.6985842735391401</c:v>
                </c:pt>
                <c:pt idx="5">
                  <c:v>-1.4296098176794929</c:v>
                </c:pt>
                <c:pt idx="6">
                  <c:v>-5.1826654791982278</c:v>
                </c:pt>
              </c:numCache>
            </c:numRef>
          </c:val>
          <c:extLst xmlns:c16r2="http://schemas.microsoft.com/office/drawing/2015/06/chart">
            <c:ext xmlns:c16="http://schemas.microsoft.com/office/drawing/2014/chart" uri="{C3380CC4-5D6E-409C-BE32-E72D297353CC}">
              <c16:uniqueId val="{00000001-FA97-416F-8F8C-EBED1CD96340}"/>
            </c:ext>
          </c:extLst>
        </c:ser>
        <c:ser>
          <c:idx val="2"/>
          <c:order val="2"/>
          <c:tx>
            <c:strRef>
              <c:f>'Graph SM'!$A$5</c:f>
              <c:strCache>
                <c:ptCount val="1"/>
                <c:pt idx="0">
                  <c:v>PIB du secteur non pétrolier</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SM'!$K$5:$Q$5</c:f>
              <c:numCache>
                <c:formatCode>0.0</c:formatCode>
                <c:ptCount val="7"/>
                <c:pt idx="0">
                  <c:v>9.4987267271760949</c:v>
                </c:pt>
                <c:pt idx="1">
                  <c:v>6.8425465355600252</c:v>
                </c:pt>
                <c:pt idx="2">
                  <c:v>8.9940430814784982</c:v>
                </c:pt>
                <c:pt idx="3">
                  <c:v>4.9933300016684301</c:v>
                </c:pt>
                <c:pt idx="4">
                  <c:v>5.6382190152254283</c:v>
                </c:pt>
                <c:pt idx="5">
                  <c:v>2.8043847388301071</c:v>
                </c:pt>
                <c:pt idx="6">
                  <c:v>5.2522984307315914</c:v>
                </c:pt>
              </c:numCache>
            </c:numRef>
          </c:val>
          <c:extLst xmlns:c16r2="http://schemas.microsoft.com/office/drawing/2015/06/chart">
            <c:ext xmlns:c16="http://schemas.microsoft.com/office/drawing/2014/chart" uri="{C3380CC4-5D6E-409C-BE32-E72D297353CC}">
              <c16:uniqueId val="{00000002-FA97-416F-8F8C-EBED1CD96340}"/>
            </c:ext>
          </c:extLst>
        </c:ser>
        <c:dLbls>
          <c:showLegendKey val="0"/>
          <c:showVal val="0"/>
          <c:showCatName val="0"/>
          <c:showSerName val="0"/>
          <c:showPercent val="0"/>
          <c:showBubbleSize val="0"/>
        </c:dLbls>
        <c:gapWidth val="150"/>
        <c:axId val="221248128"/>
        <c:axId val="234004864"/>
      </c:barChart>
      <c:catAx>
        <c:axId val="221248128"/>
        <c:scaling>
          <c:orientation val="minMax"/>
        </c:scaling>
        <c:delete val="0"/>
        <c:axPos val="b"/>
        <c:numFmt formatCode="0" sourceLinked="1"/>
        <c:majorTickMark val="out"/>
        <c:minorTickMark val="none"/>
        <c:tickLblPos val="nextTo"/>
        <c:txPr>
          <a:bodyPr/>
          <a:lstStyle/>
          <a:p>
            <a:pPr>
              <a:defRPr sz="800"/>
            </a:pPr>
            <a:endParaRPr lang="de-DE"/>
          </a:p>
        </c:txPr>
        <c:crossAx val="234004864"/>
        <c:crosses val="autoZero"/>
        <c:auto val="1"/>
        <c:lblAlgn val="ctr"/>
        <c:lblOffset val="100"/>
        <c:noMultiLvlLbl val="0"/>
      </c:catAx>
      <c:valAx>
        <c:axId val="234004864"/>
        <c:scaling>
          <c:orientation val="minMax"/>
        </c:scaling>
        <c:delete val="0"/>
        <c:axPos val="l"/>
        <c:numFmt formatCode="0.0" sourceLinked="1"/>
        <c:majorTickMark val="out"/>
        <c:minorTickMark val="none"/>
        <c:tickLblPos val="nextTo"/>
        <c:txPr>
          <a:bodyPr/>
          <a:lstStyle/>
          <a:p>
            <a:pPr>
              <a:defRPr sz="800"/>
            </a:pPr>
            <a:endParaRPr lang="de-DE"/>
          </a:p>
        </c:txPr>
        <c:crossAx val="221248128"/>
        <c:crosses val="autoZero"/>
        <c:crossBetween val="between"/>
      </c:valAx>
    </c:plotArea>
    <c:legend>
      <c:legendPos val="r"/>
      <c:layout>
        <c:manualLayout>
          <c:xMode val="edge"/>
          <c:yMode val="edge"/>
          <c:x val="0.46420486095307512"/>
          <c:y val="3.7698571899044901E-2"/>
          <c:w val="0.44424081744117189"/>
          <c:h val="0.19211796442111401"/>
        </c:manualLayout>
      </c:layout>
      <c:overlay val="1"/>
      <c:txPr>
        <a:bodyPr/>
        <a:lstStyle/>
        <a:p>
          <a:pPr>
            <a:defRPr sz="700"/>
          </a:pPr>
          <a:endParaRPr lang="de-DE"/>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'Graph SM'!$A$27</c:f>
              <c:strCache>
                <c:ptCount val="1"/>
                <c:pt idx="0">
                  <c:v>Secteur primaire</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SM'!$K$27:$Q$27</c:f>
              <c:numCache>
                <c:formatCode>0.0</c:formatCode>
                <c:ptCount val="7"/>
                <c:pt idx="0">
                  <c:v>1.899108493932171</c:v>
                </c:pt>
                <c:pt idx="1">
                  <c:v>-1.4832163020019618</c:v>
                </c:pt>
                <c:pt idx="2">
                  <c:v>0.92531993298521698</c:v>
                </c:pt>
                <c:pt idx="3">
                  <c:v>-2.3919752257210387</c:v>
                </c:pt>
                <c:pt idx="4">
                  <c:v>1.5330424393525244</c:v>
                </c:pt>
                <c:pt idx="5">
                  <c:v>0.84962652425208218</c:v>
                </c:pt>
                <c:pt idx="6">
                  <c:v>-1.1768325177316761</c:v>
                </c:pt>
              </c:numCache>
            </c:numRef>
          </c:val>
          <c:extLst xmlns:c16r2="http://schemas.microsoft.com/office/drawing/2015/06/chart">
            <c:ext xmlns:c16="http://schemas.microsoft.com/office/drawing/2014/chart" uri="{C3380CC4-5D6E-409C-BE32-E72D297353CC}">
              <c16:uniqueId val="{00000000-2ECE-4DBD-A9B2-F9A19021B035}"/>
            </c:ext>
          </c:extLst>
        </c:ser>
        <c:ser>
          <c:idx val="1"/>
          <c:order val="1"/>
          <c:tx>
            <c:strRef>
              <c:f>'Graph SM'!$A$28</c:f>
              <c:strCache>
                <c:ptCount val="1"/>
                <c:pt idx="0">
                  <c:v>Secteur secondaire</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SM'!$K$28:$Q$28</c:f>
              <c:numCache>
                <c:formatCode>0.0</c:formatCode>
                <c:ptCount val="7"/>
                <c:pt idx="0">
                  <c:v>0.6978380711228902</c:v>
                </c:pt>
                <c:pt idx="1">
                  <c:v>1.8274495035281499</c:v>
                </c:pt>
                <c:pt idx="2">
                  <c:v>1.1407117445603969</c:v>
                </c:pt>
                <c:pt idx="3">
                  <c:v>0.82314930348741522</c:v>
                </c:pt>
                <c:pt idx="4">
                  <c:v>0.68798379745946403</c:v>
                </c:pt>
                <c:pt idx="5">
                  <c:v>-0.16441125967278905</c:v>
                </c:pt>
                <c:pt idx="6">
                  <c:v>0.9803519538722586</c:v>
                </c:pt>
              </c:numCache>
            </c:numRef>
          </c:val>
          <c:extLst xmlns:c16r2="http://schemas.microsoft.com/office/drawing/2015/06/chart">
            <c:ext xmlns:c16="http://schemas.microsoft.com/office/drawing/2014/chart" uri="{C3380CC4-5D6E-409C-BE32-E72D297353CC}">
              <c16:uniqueId val="{00000001-2ECE-4DBD-A9B2-F9A19021B035}"/>
            </c:ext>
          </c:extLst>
        </c:ser>
        <c:ser>
          <c:idx val="2"/>
          <c:order val="2"/>
          <c:tx>
            <c:strRef>
              <c:f>'Graph SM'!$A$29</c:f>
              <c:strCache>
                <c:ptCount val="1"/>
                <c:pt idx="0">
                  <c:v>Secteur tertiaire</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SM'!$K$29:$Q$29</c:f>
              <c:numCache>
                <c:formatCode>0.0</c:formatCode>
                <c:ptCount val="7"/>
                <c:pt idx="0">
                  <c:v>1.8223512023604118</c:v>
                </c:pt>
                <c:pt idx="1">
                  <c:v>2.5389133636057268</c:v>
                </c:pt>
                <c:pt idx="2">
                  <c:v>2.1001369391990488</c:v>
                </c:pt>
                <c:pt idx="3">
                  <c:v>2.1354337868768458</c:v>
                </c:pt>
                <c:pt idx="4">
                  <c:v>2.0884279694105747</c:v>
                </c:pt>
                <c:pt idx="5">
                  <c:v>1.4720265127601395</c:v>
                </c:pt>
                <c:pt idx="6">
                  <c:v>1.2260497038585421</c:v>
                </c:pt>
              </c:numCache>
            </c:numRef>
          </c:val>
          <c:extLst xmlns:c16r2="http://schemas.microsoft.com/office/drawing/2015/06/chart">
            <c:ext xmlns:c16="http://schemas.microsoft.com/office/drawing/2014/chart" uri="{C3380CC4-5D6E-409C-BE32-E72D297353CC}">
              <c16:uniqueId val="{00000002-2ECE-4DBD-A9B2-F9A19021B035}"/>
            </c:ext>
          </c:extLst>
        </c:ser>
        <c:dLbls>
          <c:showLegendKey val="0"/>
          <c:showVal val="0"/>
          <c:showCatName val="0"/>
          <c:showSerName val="0"/>
          <c:showPercent val="0"/>
          <c:showBubbleSize val="0"/>
        </c:dLbls>
        <c:gapWidth val="150"/>
        <c:axId val="248085120"/>
        <c:axId val="236978560"/>
      </c:barChart>
      <c:catAx>
        <c:axId val="248085120"/>
        <c:scaling>
          <c:orientation val="minMax"/>
        </c:scaling>
        <c:delete val="0"/>
        <c:axPos val="b"/>
        <c:numFmt formatCode="0" sourceLinked="1"/>
        <c:majorTickMark val="out"/>
        <c:minorTickMark val="none"/>
        <c:tickLblPos val="nextTo"/>
        <c:txPr>
          <a:bodyPr/>
          <a:lstStyle/>
          <a:p>
            <a:pPr>
              <a:defRPr sz="800"/>
            </a:pPr>
            <a:endParaRPr lang="de-DE"/>
          </a:p>
        </c:txPr>
        <c:crossAx val="236978560"/>
        <c:crosses val="autoZero"/>
        <c:auto val="1"/>
        <c:lblAlgn val="ctr"/>
        <c:lblOffset val="100"/>
        <c:noMultiLvlLbl val="0"/>
      </c:catAx>
      <c:valAx>
        <c:axId val="236978560"/>
        <c:scaling>
          <c:orientation val="minMax"/>
        </c:scaling>
        <c:delete val="0"/>
        <c:axPos val="l"/>
        <c:numFmt formatCode="0.0" sourceLinked="1"/>
        <c:majorTickMark val="out"/>
        <c:minorTickMark val="none"/>
        <c:tickLblPos val="nextTo"/>
        <c:txPr>
          <a:bodyPr/>
          <a:lstStyle/>
          <a:p>
            <a:pPr>
              <a:defRPr sz="800"/>
            </a:pPr>
            <a:endParaRPr lang="de-DE"/>
          </a:p>
        </c:txPr>
        <c:crossAx val="248085120"/>
        <c:crosses val="autoZero"/>
        <c:crossBetween val="between"/>
      </c:valAx>
    </c:plotArea>
    <c:legend>
      <c:legendPos val="r"/>
      <c:layout>
        <c:manualLayout>
          <c:xMode val="edge"/>
          <c:yMode val="edge"/>
          <c:x val="0.47468288365971623"/>
          <c:y val="1.488488368611721E-2"/>
          <c:w val="0.50291883183189989"/>
          <c:h val="0.16550193107990799"/>
        </c:manualLayout>
      </c:layout>
      <c:overlay val="1"/>
      <c:txPr>
        <a:bodyPr/>
        <a:lstStyle/>
        <a:p>
          <a:pPr>
            <a:defRPr sz="700"/>
          </a:pPr>
          <a:endParaRPr lang="de-DE"/>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tx>
            <c:strRef>
              <c:f>'Graph SM'!$A$50</c:f>
              <c:strCache>
                <c:ptCount val="1"/>
                <c:pt idx="0">
                  <c:v>PRODUIT INTERIEUR BRUT</c:v>
                </c:pt>
              </c:strCache>
            </c:strRef>
          </c:tx>
          <c:spPr>
            <a:ln w="19050" cmpd="sng"/>
          </c:spPr>
          <c:marker>
            <c:symbol val="none"/>
          </c:marker>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SM'!$K$50:$Q$50</c:f>
              <c:numCache>
                <c:formatCode>0.0</c:formatCode>
                <c:ptCount val="7"/>
                <c:pt idx="0">
                  <c:v>4.9800796812077648</c:v>
                </c:pt>
                <c:pt idx="1">
                  <c:v>3.9465989325302337</c:v>
                </c:pt>
                <c:pt idx="2">
                  <c:v>5.7588383852882714</c:v>
                </c:pt>
                <c:pt idx="3">
                  <c:v>1.3417051773943318</c:v>
                </c:pt>
                <c:pt idx="4">
                  <c:v>4.8368922513267556</c:v>
                </c:pt>
                <c:pt idx="5">
                  <c:v>2.7906735942152388</c:v>
                </c:pt>
                <c:pt idx="6">
                  <c:v>1.4365560517693539</c:v>
                </c:pt>
              </c:numCache>
            </c:numRef>
          </c:val>
          <c:smooth val="0"/>
          <c:extLst xmlns:c16r2="http://schemas.microsoft.com/office/drawing/2015/06/chart">
            <c:ext xmlns:c16="http://schemas.microsoft.com/office/drawing/2014/chart" uri="{C3380CC4-5D6E-409C-BE32-E72D297353CC}">
              <c16:uniqueId val="{00000000-5DC9-4991-B87E-F0AF237D9618}"/>
            </c:ext>
          </c:extLst>
        </c:ser>
        <c:ser>
          <c:idx val="1"/>
          <c:order val="1"/>
          <c:tx>
            <c:strRef>
              <c:f>'Graph SM'!$A$51</c:f>
              <c:strCache>
                <c:ptCount val="1"/>
                <c:pt idx="0">
                  <c:v>Consommation</c:v>
                </c:pt>
              </c:strCache>
            </c:strRef>
          </c:tx>
          <c:spPr>
            <a:ln w="19050" cmpd="sng"/>
          </c:spPr>
          <c:marker>
            <c:symbol val="none"/>
          </c:marker>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SM'!$K$51:$Q$51</c:f>
              <c:numCache>
                <c:formatCode>0.0</c:formatCode>
                <c:ptCount val="7"/>
                <c:pt idx="0">
                  <c:v>12.499171773668778</c:v>
                </c:pt>
                <c:pt idx="1">
                  <c:v>4.5494982503463799</c:v>
                </c:pt>
                <c:pt idx="2">
                  <c:v>7.9314052974268039</c:v>
                </c:pt>
                <c:pt idx="3">
                  <c:v>3.7780992233297628</c:v>
                </c:pt>
                <c:pt idx="4">
                  <c:v>3.9564822587524402</c:v>
                </c:pt>
                <c:pt idx="5">
                  <c:v>-1.7950325407291978</c:v>
                </c:pt>
                <c:pt idx="6">
                  <c:v>-0.74950174660279723</c:v>
                </c:pt>
              </c:numCache>
            </c:numRef>
          </c:val>
          <c:smooth val="0"/>
          <c:extLst xmlns:c16r2="http://schemas.microsoft.com/office/drawing/2015/06/chart">
            <c:ext xmlns:c16="http://schemas.microsoft.com/office/drawing/2014/chart" uri="{C3380CC4-5D6E-409C-BE32-E72D297353CC}">
              <c16:uniqueId val="{00000001-5DC9-4991-B87E-F0AF237D9618}"/>
            </c:ext>
          </c:extLst>
        </c:ser>
        <c:ser>
          <c:idx val="2"/>
          <c:order val="2"/>
          <c:tx>
            <c:strRef>
              <c:f>'Graph SM'!$A$52</c:f>
              <c:strCache>
                <c:ptCount val="1"/>
                <c:pt idx="0">
                  <c:v>Investissements bruts</c:v>
                </c:pt>
              </c:strCache>
            </c:strRef>
          </c:tx>
          <c:spPr>
            <a:ln w="19050" cmpd="sng"/>
          </c:spPr>
          <c:marker>
            <c:symbol val="none"/>
          </c:marker>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SM'!$K$52:$Q$52</c:f>
              <c:numCache>
                <c:formatCode>0.0</c:formatCode>
                <c:ptCount val="7"/>
                <c:pt idx="0">
                  <c:v>5.9559748017563745</c:v>
                </c:pt>
                <c:pt idx="1">
                  <c:v>3.0902139589650202</c:v>
                </c:pt>
                <c:pt idx="2">
                  <c:v>17.533599291128908</c:v>
                </c:pt>
                <c:pt idx="3">
                  <c:v>-11.02479752756777</c:v>
                </c:pt>
                <c:pt idx="4">
                  <c:v>4.9201350668251962</c:v>
                </c:pt>
                <c:pt idx="5">
                  <c:v>-5.5979075185536455</c:v>
                </c:pt>
                <c:pt idx="6">
                  <c:v>-9.0061637415587832</c:v>
                </c:pt>
              </c:numCache>
            </c:numRef>
          </c:val>
          <c:smooth val="0"/>
          <c:extLst xmlns:c16r2="http://schemas.microsoft.com/office/drawing/2015/06/chart">
            <c:ext xmlns:c16="http://schemas.microsoft.com/office/drawing/2014/chart" uri="{C3380CC4-5D6E-409C-BE32-E72D297353CC}">
              <c16:uniqueId val="{00000002-5DC9-4991-B87E-F0AF237D9618}"/>
            </c:ext>
          </c:extLst>
        </c:ser>
        <c:ser>
          <c:idx val="3"/>
          <c:order val="3"/>
          <c:tx>
            <c:strRef>
              <c:f>'Graph SM'!$A$53</c:f>
              <c:strCache>
                <c:ptCount val="1"/>
                <c:pt idx="0">
                  <c:v>Exportations de b &amp; s</c:v>
                </c:pt>
              </c:strCache>
            </c:strRef>
          </c:tx>
          <c:spPr>
            <a:ln w="19050" cmpd="sng"/>
          </c:spPr>
          <c:marker>
            <c:symbol val="none"/>
          </c:marker>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SM'!$K$53:$Q$53</c:f>
              <c:numCache>
                <c:formatCode>0.0</c:formatCode>
                <c:ptCount val="7"/>
                <c:pt idx="0">
                  <c:v>-2.7818313364737932</c:v>
                </c:pt>
                <c:pt idx="1">
                  <c:v>0.4747952551255189</c:v>
                </c:pt>
                <c:pt idx="2">
                  <c:v>-3.5645648577017726</c:v>
                </c:pt>
                <c:pt idx="3">
                  <c:v>-3.609624140116328</c:v>
                </c:pt>
                <c:pt idx="4">
                  <c:v>2.429800268331018</c:v>
                </c:pt>
                <c:pt idx="5">
                  <c:v>4.9478354301461955</c:v>
                </c:pt>
                <c:pt idx="6">
                  <c:v>4.7444587632750856</c:v>
                </c:pt>
              </c:numCache>
            </c:numRef>
          </c:val>
          <c:smooth val="0"/>
          <c:extLst xmlns:c16r2="http://schemas.microsoft.com/office/drawing/2015/06/chart">
            <c:ext xmlns:c16="http://schemas.microsoft.com/office/drawing/2014/chart" uri="{C3380CC4-5D6E-409C-BE32-E72D297353CC}">
              <c16:uniqueId val="{00000003-5DC9-4991-B87E-F0AF237D9618}"/>
            </c:ext>
          </c:extLst>
        </c:ser>
        <c:ser>
          <c:idx val="4"/>
          <c:order val="4"/>
          <c:tx>
            <c:strRef>
              <c:f>'Graph SM'!$A$54</c:f>
              <c:strCache>
                <c:ptCount val="1"/>
                <c:pt idx="0">
                  <c:v>Importations de b &amp; s</c:v>
                </c:pt>
              </c:strCache>
            </c:strRef>
          </c:tx>
          <c:spPr>
            <a:ln w="19050" cmpd="sng"/>
          </c:spPr>
          <c:marker>
            <c:symbol val="none"/>
          </c:marker>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SM'!$K$54:$Q$54</c:f>
              <c:numCache>
                <c:formatCode>0.0</c:formatCode>
                <c:ptCount val="7"/>
                <c:pt idx="0">
                  <c:v>10.68401535352532</c:v>
                </c:pt>
                <c:pt idx="1">
                  <c:v>1.6385474968329921</c:v>
                </c:pt>
                <c:pt idx="2">
                  <c:v>8.9428228443640698</c:v>
                </c:pt>
                <c:pt idx="3">
                  <c:v>-5.9110987206981118</c:v>
                </c:pt>
                <c:pt idx="4">
                  <c:v>1.4998327504253075</c:v>
                </c:pt>
                <c:pt idx="5">
                  <c:v>-9.5950755649506316</c:v>
                </c:pt>
                <c:pt idx="6">
                  <c:v>-7.0606542586371246</c:v>
                </c:pt>
              </c:numCache>
            </c:numRef>
          </c:val>
          <c:smooth val="0"/>
          <c:extLst xmlns:c16r2="http://schemas.microsoft.com/office/drawing/2015/06/chart">
            <c:ext xmlns:c16="http://schemas.microsoft.com/office/drawing/2014/chart" uri="{C3380CC4-5D6E-409C-BE32-E72D297353CC}">
              <c16:uniqueId val="{00000004-5DC9-4991-B87E-F0AF237D9618}"/>
            </c:ext>
          </c:extLst>
        </c:ser>
        <c:dLbls>
          <c:showLegendKey val="0"/>
          <c:showVal val="0"/>
          <c:showCatName val="0"/>
          <c:showSerName val="0"/>
          <c:showPercent val="0"/>
          <c:showBubbleSize val="0"/>
        </c:dLbls>
        <c:marker val="1"/>
        <c:smooth val="0"/>
        <c:axId val="236999808"/>
        <c:axId val="237001344"/>
      </c:lineChart>
      <c:catAx>
        <c:axId val="236999808"/>
        <c:scaling>
          <c:orientation val="minMax"/>
        </c:scaling>
        <c:delete val="0"/>
        <c:axPos val="b"/>
        <c:numFmt formatCode="0" sourceLinked="1"/>
        <c:majorTickMark val="out"/>
        <c:minorTickMark val="none"/>
        <c:tickLblPos val="nextTo"/>
        <c:txPr>
          <a:bodyPr/>
          <a:lstStyle/>
          <a:p>
            <a:pPr>
              <a:defRPr sz="800"/>
            </a:pPr>
            <a:endParaRPr lang="de-DE"/>
          </a:p>
        </c:txPr>
        <c:crossAx val="237001344"/>
        <c:crosses val="autoZero"/>
        <c:auto val="1"/>
        <c:lblAlgn val="ctr"/>
        <c:lblOffset val="100"/>
        <c:noMultiLvlLbl val="0"/>
      </c:catAx>
      <c:valAx>
        <c:axId val="237001344"/>
        <c:scaling>
          <c:orientation val="minMax"/>
        </c:scaling>
        <c:delete val="0"/>
        <c:axPos val="l"/>
        <c:numFmt formatCode="0.0" sourceLinked="1"/>
        <c:majorTickMark val="out"/>
        <c:minorTickMark val="none"/>
        <c:tickLblPos val="nextTo"/>
        <c:txPr>
          <a:bodyPr/>
          <a:lstStyle/>
          <a:p>
            <a:pPr>
              <a:defRPr sz="800"/>
            </a:pPr>
            <a:endParaRPr lang="de-DE"/>
          </a:p>
        </c:txPr>
        <c:crossAx val="236999808"/>
        <c:crosses val="autoZero"/>
        <c:crossBetween val="between"/>
      </c:valAx>
    </c:plotArea>
    <c:legend>
      <c:legendPos val="r"/>
      <c:layout>
        <c:manualLayout>
          <c:xMode val="edge"/>
          <c:yMode val="edge"/>
          <c:x val="0.10004308836395499"/>
          <c:y val="3.4780548264800202E-3"/>
          <c:w val="0.84872222222222204"/>
          <c:h val="0.168287362900855"/>
        </c:manualLayout>
      </c:layout>
      <c:overlay val="1"/>
      <c:txPr>
        <a:bodyPr/>
        <a:lstStyle/>
        <a:p>
          <a:pPr>
            <a:defRPr sz="800"/>
          </a:pPr>
          <a:endParaRPr lang="de-DE"/>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'Graph SM'!$A$76</c:f>
              <c:strCache>
                <c:ptCount val="1"/>
                <c:pt idx="0">
                  <c:v>DEPENSES INTERIEURES BRUTES</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SM'!$K$76:$Q$76</c:f>
              <c:numCache>
                <c:formatCode>0.0</c:formatCode>
                <c:ptCount val="7"/>
                <c:pt idx="0">
                  <c:v>11.114661719059971</c:v>
                </c:pt>
                <c:pt idx="1">
                  <c:v>4.5589770709963355</c:v>
                </c:pt>
                <c:pt idx="2">
                  <c:v>11.38966772844145</c:v>
                </c:pt>
                <c:pt idx="3">
                  <c:v>-0.30798067861048023</c:v>
                </c:pt>
                <c:pt idx="4">
                  <c:v>4.7167387391732714</c:v>
                </c:pt>
                <c:pt idx="5">
                  <c:v>-3.0522245389513789</c:v>
                </c:pt>
                <c:pt idx="6">
                  <c:v>-2.8763450077223887</c:v>
                </c:pt>
              </c:numCache>
            </c:numRef>
          </c:val>
          <c:extLst xmlns:c16r2="http://schemas.microsoft.com/office/drawing/2015/06/chart">
            <c:ext xmlns:c16="http://schemas.microsoft.com/office/drawing/2014/chart" uri="{C3380CC4-5D6E-409C-BE32-E72D297353CC}">
              <c16:uniqueId val="{00000000-0729-418E-83D7-879A03FA7711}"/>
            </c:ext>
          </c:extLst>
        </c:ser>
        <c:ser>
          <c:idx val="1"/>
          <c:order val="1"/>
          <c:tx>
            <c:strRef>
              <c:f>'Graph SM'!$A$77</c:f>
              <c:strCache>
                <c:ptCount val="1"/>
                <c:pt idx="0">
                  <c:v>EXPORTATIONS NETTES</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SM'!$K$77:$Q$77</c:f>
              <c:numCache>
                <c:formatCode>0.0</c:formatCode>
                <c:ptCount val="7"/>
                <c:pt idx="0">
                  <c:v>-6.1345820378521951</c:v>
                </c:pt>
                <c:pt idx="1">
                  <c:v>-0.61237813846612621</c:v>
                </c:pt>
                <c:pt idx="2">
                  <c:v>-5.63082934315318</c:v>
                </c:pt>
                <c:pt idx="3">
                  <c:v>1.649685856004806</c:v>
                </c:pt>
                <c:pt idx="4">
                  <c:v>0.120153512153492</c:v>
                </c:pt>
                <c:pt idx="5">
                  <c:v>5.8428981331666234</c:v>
                </c:pt>
                <c:pt idx="6">
                  <c:v>4.3129010594916997</c:v>
                </c:pt>
              </c:numCache>
            </c:numRef>
          </c:val>
          <c:extLst xmlns:c16r2="http://schemas.microsoft.com/office/drawing/2015/06/chart">
            <c:ext xmlns:c16="http://schemas.microsoft.com/office/drawing/2014/chart" uri="{C3380CC4-5D6E-409C-BE32-E72D297353CC}">
              <c16:uniqueId val="{00000001-0729-418E-83D7-879A03FA7711}"/>
            </c:ext>
          </c:extLst>
        </c:ser>
        <c:dLbls>
          <c:showLegendKey val="0"/>
          <c:showVal val="0"/>
          <c:showCatName val="0"/>
          <c:showSerName val="0"/>
          <c:showPercent val="0"/>
          <c:showBubbleSize val="0"/>
        </c:dLbls>
        <c:gapWidth val="150"/>
        <c:axId val="237015040"/>
        <c:axId val="237016576"/>
      </c:barChart>
      <c:catAx>
        <c:axId val="237015040"/>
        <c:scaling>
          <c:orientation val="minMax"/>
        </c:scaling>
        <c:delete val="0"/>
        <c:axPos val="b"/>
        <c:numFmt formatCode="0" sourceLinked="1"/>
        <c:majorTickMark val="out"/>
        <c:minorTickMark val="none"/>
        <c:tickLblPos val="nextTo"/>
        <c:txPr>
          <a:bodyPr/>
          <a:lstStyle/>
          <a:p>
            <a:pPr>
              <a:defRPr sz="800"/>
            </a:pPr>
            <a:endParaRPr lang="de-DE"/>
          </a:p>
        </c:txPr>
        <c:crossAx val="237016576"/>
        <c:crosses val="autoZero"/>
        <c:auto val="1"/>
        <c:lblAlgn val="ctr"/>
        <c:lblOffset val="100"/>
        <c:noMultiLvlLbl val="0"/>
      </c:catAx>
      <c:valAx>
        <c:axId val="237016576"/>
        <c:scaling>
          <c:orientation val="minMax"/>
        </c:scaling>
        <c:delete val="0"/>
        <c:axPos val="l"/>
        <c:numFmt formatCode="0.0" sourceLinked="1"/>
        <c:majorTickMark val="out"/>
        <c:minorTickMark val="none"/>
        <c:tickLblPos val="nextTo"/>
        <c:txPr>
          <a:bodyPr/>
          <a:lstStyle/>
          <a:p>
            <a:pPr>
              <a:defRPr sz="800"/>
            </a:pPr>
            <a:endParaRPr lang="de-DE"/>
          </a:p>
        </c:txPr>
        <c:crossAx val="237015040"/>
        <c:crosses val="autoZero"/>
        <c:crossBetween val="between"/>
      </c:valAx>
    </c:plotArea>
    <c:legend>
      <c:legendPos val="r"/>
      <c:layout>
        <c:manualLayout>
          <c:xMode val="edge"/>
          <c:yMode val="edge"/>
          <c:x val="0.10004308836395499"/>
          <c:y val="3.4780548264800202E-3"/>
          <c:w val="0.83618514256131105"/>
          <c:h val="0.15375863544519908"/>
        </c:manualLayout>
      </c:layout>
      <c:overlay val="1"/>
      <c:txPr>
        <a:bodyPr/>
        <a:lstStyle/>
        <a:p>
          <a:pPr>
            <a:defRPr sz="800"/>
          </a:pPr>
          <a:endParaRPr lang="de-DE"/>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tx>
            <c:strRef>
              <c:f>'Graph SM'!$A$105</c:f>
              <c:strCache>
                <c:ptCount val="1"/>
                <c:pt idx="0">
                  <c:v>Cameroun </c:v>
                </c:pt>
              </c:strCache>
            </c:strRef>
          </c:tx>
          <c:spPr>
            <a:ln w="19050" cmpd="sng"/>
          </c:spPr>
          <c:marker>
            <c:symbol val="none"/>
          </c:marker>
          <c:cat>
            <c:numRef>
              <c:f>'Graph SM'!$F$2:$Q$2</c:f>
              <c:numCache>
                <c:formatCode>0</c:formatCode>
                <c:ptCount val="12"/>
                <c:pt idx="0">
                  <c:v>2005</c:v>
                </c:pt>
                <c:pt idx="1">
                  <c:v>2006</c:v>
                </c:pt>
                <c:pt idx="2">
                  <c:v>2007</c:v>
                </c:pt>
                <c:pt idx="3">
                  <c:v>2008</c:v>
                </c:pt>
                <c:pt idx="4">
                  <c:v>2009</c:v>
                </c:pt>
                <c:pt idx="5">
                  <c:v>2010</c:v>
                </c:pt>
                <c:pt idx="6">
                  <c:v>2011</c:v>
                </c:pt>
                <c:pt idx="7">
                  <c:v>2012</c:v>
                </c:pt>
                <c:pt idx="8">
                  <c:v>2013</c:v>
                </c:pt>
                <c:pt idx="9">
                  <c:v>2014</c:v>
                </c:pt>
                <c:pt idx="10">
                  <c:v>2015</c:v>
                </c:pt>
                <c:pt idx="11">
                  <c:v>2016</c:v>
                </c:pt>
              </c:numCache>
            </c:numRef>
          </c:cat>
          <c:val>
            <c:numRef>
              <c:f>'Graph SM'!$F$105:$Q$105</c:f>
              <c:numCache>
                <c:formatCode>General_)</c:formatCode>
                <c:ptCount val="12"/>
                <c:pt idx="0">
                  <c:v>1.9000000000000001</c:v>
                </c:pt>
                <c:pt idx="1">
                  <c:v>5.0999999999999996</c:v>
                </c:pt>
                <c:pt idx="2">
                  <c:v>1.1000000000000001</c:v>
                </c:pt>
                <c:pt idx="3">
                  <c:v>5.3</c:v>
                </c:pt>
                <c:pt idx="4">
                  <c:v>3</c:v>
                </c:pt>
                <c:pt idx="5">
                  <c:v>1.3</c:v>
                </c:pt>
                <c:pt idx="6">
                  <c:v>2.9</c:v>
                </c:pt>
                <c:pt idx="7">
                  <c:v>2.4</c:v>
                </c:pt>
                <c:pt idx="8">
                  <c:v>2.1</c:v>
                </c:pt>
                <c:pt idx="9">
                  <c:v>1.8440000000000001</c:v>
                </c:pt>
                <c:pt idx="10">
                  <c:v>2.6789999999999998</c:v>
                </c:pt>
                <c:pt idx="11">
                  <c:v>3</c:v>
                </c:pt>
              </c:numCache>
            </c:numRef>
          </c:val>
          <c:smooth val="0"/>
          <c:extLst xmlns:c16r2="http://schemas.microsoft.com/office/drawing/2015/06/chart">
            <c:ext xmlns:c16="http://schemas.microsoft.com/office/drawing/2014/chart" uri="{C3380CC4-5D6E-409C-BE32-E72D297353CC}">
              <c16:uniqueId val="{00000000-6CFE-4563-9D32-B41483ABF4FC}"/>
            </c:ext>
          </c:extLst>
        </c:ser>
        <c:ser>
          <c:idx val="1"/>
          <c:order val="1"/>
          <c:tx>
            <c:strRef>
              <c:f>'Graph SM'!$A$106</c:f>
              <c:strCache>
                <c:ptCount val="1"/>
                <c:pt idx="0">
                  <c:v>République Centrafricaine </c:v>
                </c:pt>
              </c:strCache>
            </c:strRef>
          </c:tx>
          <c:spPr>
            <a:ln w="19050" cmpd="sng"/>
          </c:spPr>
          <c:marker>
            <c:symbol val="none"/>
          </c:marker>
          <c:cat>
            <c:numRef>
              <c:f>'Graph SM'!$F$2:$Q$2</c:f>
              <c:numCache>
                <c:formatCode>0</c:formatCode>
                <c:ptCount val="12"/>
                <c:pt idx="0">
                  <c:v>2005</c:v>
                </c:pt>
                <c:pt idx="1">
                  <c:v>2006</c:v>
                </c:pt>
                <c:pt idx="2">
                  <c:v>2007</c:v>
                </c:pt>
                <c:pt idx="3">
                  <c:v>2008</c:v>
                </c:pt>
                <c:pt idx="4">
                  <c:v>2009</c:v>
                </c:pt>
                <c:pt idx="5">
                  <c:v>2010</c:v>
                </c:pt>
                <c:pt idx="6">
                  <c:v>2011</c:v>
                </c:pt>
                <c:pt idx="7">
                  <c:v>2012</c:v>
                </c:pt>
                <c:pt idx="8">
                  <c:v>2013</c:v>
                </c:pt>
                <c:pt idx="9">
                  <c:v>2014</c:v>
                </c:pt>
                <c:pt idx="10">
                  <c:v>2015</c:v>
                </c:pt>
                <c:pt idx="11">
                  <c:v>2016</c:v>
                </c:pt>
              </c:numCache>
            </c:numRef>
          </c:cat>
          <c:val>
            <c:numRef>
              <c:f>'Graph SM'!$F$106:$Q$106</c:f>
              <c:numCache>
                <c:formatCode>General_)</c:formatCode>
                <c:ptCount val="12"/>
                <c:pt idx="0">
                  <c:v>2.9</c:v>
                </c:pt>
                <c:pt idx="1">
                  <c:v>6.6</c:v>
                </c:pt>
                <c:pt idx="2">
                  <c:v>0.96000000000000019</c:v>
                </c:pt>
                <c:pt idx="3">
                  <c:v>9.3000000000000007</c:v>
                </c:pt>
                <c:pt idx="4">
                  <c:v>3.5</c:v>
                </c:pt>
                <c:pt idx="5">
                  <c:v>1.5</c:v>
                </c:pt>
                <c:pt idx="6">
                  <c:v>1.2</c:v>
                </c:pt>
                <c:pt idx="7">
                  <c:v>5.9</c:v>
                </c:pt>
                <c:pt idx="8">
                  <c:v>4</c:v>
                </c:pt>
                <c:pt idx="9">
                  <c:v>17.838999999999999</c:v>
                </c:pt>
                <c:pt idx="10">
                  <c:v>2.028</c:v>
                </c:pt>
                <c:pt idx="11">
                  <c:v>1.9500000000000015</c:v>
                </c:pt>
              </c:numCache>
            </c:numRef>
          </c:val>
          <c:smooth val="0"/>
          <c:extLst xmlns:c16r2="http://schemas.microsoft.com/office/drawing/2015/06/chart">
            <c:ext xmlns:c16="http://schemas.microsoft.com/office/drawing/2014/chart" uri="{C3380CC4-5D6E-409C-BE32-E72D297353CC}">
              <c16:uniqueId val="{00000001-6CFE-4563-9D32-B41483ABF4FC}"/>
            </c:ext>
          </c:extLst>
        </c:ser>
        <c:ser>
          <c:idx val="2"/>
          <c:order val="2"/>
          <c:tx>
            <c:strRef>
              <c:f>'Graph SM'!$A$107</c:f>
              <c:strCache>
                <c:ptCount val="1"/>
                <c:pt idx="0">
                  <c:v>Congo</c:v>
                </c:pt>
              </c:strCache>
            </c:strRef>
          </c:tx>
          <c:spPr>
            <a:ln w="19050" cmpd="sng"/>
          </c:spPr>
          <c:marker>
            <c:symbol val="none"/>
          </c:marker>
          <c:cat>
            <c:numRef>
              <c:f>'Graph SM'!$F$2:$Q$2</c:f>
              <c:numCache>
                <c:formatCode>0</c:formatCode>
                <c:ptCount val="12"/>
                <c:pt idx="0">
                  <c:v>2005</c:v>
                </c:pt>
                <c:pt idx="1">
                  <c:v>2006</c:v>
                </c:pt>
                <c:pt idx="2">
                  <c:v>2007</c:v>
                </c:pt>
                <c:pt idx="3">
                  <c:v>2008</c:v>
                </c:pt>
                <c:pt idx="4">
                  <c:v>2009</c:v>
                </c:pt>
                <c:pt idx="5">
                  <c:v>2010</c:v>
                </c:pt>
                <c:pt idx="6">
                  <c:v>2011</c:v>
                </c:pt>
                <c:pt idx="7">
                  <c:v>2012</c:v>
                </c:pt>
                <c:pt idx="8">
                  <c:v>2013</c:v>
                </c:pt>
                <c:pt idx="9">
                  <c:v>2014</c:v>
                </c:pt>
                <c:pt idx="10">
                  <c:v>2015</c:v>
                </c:pt>
                <c:pt idx="11">
                  <c:v>2016</c:v>
                </c:pt>
              </c:numCache>
            </c:numRef>
          </c:cat>
          <c:val>
            <c:numRef>
              <c:f>'Graph SM'!$F$107:$Q$107</c:f>
              <c:numCache>
                <c:formatCode>General_)</c:formatCode>
                <c:ptCount val="12"/>
                <c:pt idx="0">
                  <c:v>2.5</c:v>
                </c:pt>
                <c:pt idx="1">
                  <c:v>4.7</c:v>
                </c:pt>
                <c:pt idx="2">
                  <c:v>2.5</c:v>
                </c:pt>
                <c:pt idx="3">
                  <c:v>5.3</c:v>
                </c:pt>
                <c:pt idx="4">
                  <c:v>3.9</c:v>
                </c:pt>
                <c:pt idx="5">
                  <c:v>0.35500000000000009</c:v>
                </c:pt>
                <c:pt idx="6">
                  <c:v>2.2000000000000002</c:v>
                </c:pt>
                <c:pt idx="7">
                  <c:v>5</c:v>
                </c:pt>
                <c:pt idx="8">
                  <c:v>4.7</c:v>
                </c:pt>
                <c:pt idx="9">
                  <c:v>0.9</c:v>
                </c:pt>
                <c:pt idx="10">
                  <c:v>1.754</c:v>
                </c:pt>
                <c:pt idx="11">
                  <c:v>1.7408649762563659</c:v>
                </c:pt>
              </c:numCache>
            </c:numRef>
          </c:val>
          <c:smooth val="0"/>
          <c:extLst xmlns:c16r2="http://schemas.microsoft.com/office/drawing/2015/06/chart">
            <c:ext xmlns:c16="http://schemas.microsoft.com/office/drawing/2014/chart" uri="{C3380CC4-5D6E-409C-BE32-E72D297353CC}">
              <c16:uniqueId val="{00000002-6CFE-4563-9D32-B41483ABF4FC}"/>
            </c:ext>
          </c:extLst>
        </c:ser>
        <c:ser>
          <c:idx val="3"/>
          <c:order val="3"/>
          <c:tx>
            <c:strRef>
              <c:f>'Graph SM'!$A$108</c:f>
              <c:strCache>
                <c:ptCount val="1"/>
                <c:pt idx="0">
                  <c:v>Gabon</c:v>
                </c:pt>
              </c:strCache>
            </c:strRef>
          </c:tx>
          <c:spPr>
            <a:ln w="19050" cmpd="sng"/>
          </c:spPr>
          <c:marker>
            <c:symbol val="none"/>
          </c:marker>
          <c:cat>
            <c:numRef>
              <c:f>'Graph SM'!$F$2:$Q$2</c:f>
              <c:numCache>
                <c:formatCode>0</c:formatCode>
                <c:ptCount val="12"/>
                <c:pt idx="0">
                  <c:v>2005</c:v>
                </c:pt>
                <c:pt idx="1">
                  <c:v>2006</c:v>
                </c:pt>
                <c:pt idx="2">
                  <c:v>2007</c:v>
                </c:pt>
                <c:pt idx="3">
                  <c:v>2008</c:v>
                </c:pt>
                <c:pt idx="4">
                  <c:v>2009</c:v>
                </c:pt>
                <c:pt idx="5">
                  <c:v>2010</c:v>
                </c:pt>
                <c:pt idx="6">
                  <c:v>2011</c:v>
                </c:pt>
                <c:pt idx="7">
                  <c:v>2012</c:v>
                </c:pt>
                <c:pt idx="8">
                  <c:v>2013</c:v>
                </c:pt>
                <c:pt idx="9">
                  <c:v>2014</c:v>
                </c:pt>
                <c:pt idx="10">
                  <c:v>2015</c:v>
                </c:pt>
                <c:pt idx="11">
                  <c:v>2016</c:v>
                </c:pt>
              </c:numCache>
            </c:numRef>
          </c:cat>
          <c:val>
            <c:numRef>
              <c:f>'Graph SM'!$F$108:$Q$108</c:f>
              <c:numCache>
                <c:formatCode>General_)</c:formatCode>
                <c:ptCount val="12"/>
                <c:pt idx="0">
                  <c:v>-0.2</c:v>
                </c:pt>
                <c:pt idx="1">
                  <c:v>4</c:v>
                </c:pt>
                <c:pt idx="2">
                  <c:v>4.8</c:v>
                </c:pt>
                <c:pt idx="3">
                  <c:v>5.3</c:v>
                </c:pt>
                <c:pt idx="4">
                  <c:v>1.9000000000000001</c:v>
                </c:pt>
                <c:pt idx="5">
                  <c:v>1.5</c:v>
                </c:pt>
                <c:pt idx="6">
                  <c:v>1.3</c:v>
                </c:pt>
                <c:pt idx="7">
                  <c:v>2.7</c:v>
                </c:pt>
                <c:pt idx="8">
                  <c:v>0.5</c:v>
                </c:pt>
                <c:pt idx="9">
                  <c:v>4.6559999999999802</c:v>
                </c:pt>
                <c:pt idx="10">
                  <c:v>-0.28100000000000008</c:v>
                </c:pt>
                <c:pt idx="11">
                  <c:v>2.5</c:v>
                </c:pt>
              </c:numCache>
            </c:numRef>
          </c:val>
          <c:smooth val="0"/>
          <c:extLst xmlns:c16r2="http://schemas.microsoft.com/office/drawing/2015/06/chart">
            <c:ext xmlns:c16="http://schemas.microsoft.com/office/drawing/2014/chart" uri="{C3380CC4-5D6E-409C-BE32-E72D297353CC}">
              <c16:uniqueId val="{00000003-6CFE-4563-9D32-B41483ABF4FC}"/>
            </c:ext>
          </c:extLst>
        </c:ser>
        <c:ser>
          <c:idx val="4"/>
          <c:order val="4"/>
          <c:tx>
            <c:strRef>
              <c:f>'Graph SM'!$A$109</c:f>
              <c:strCache>
                <c:ptCount val="1"/>
                <c:pt idx="0">
                  <c:v>Guinée Equatoriale</c:v>
                </c:pt>
              </c:strCache>
            </c:strRef>
          </c:tx>
          <c:spPr>
            <a:ln w="19050" cmpd="sng"/>
          </c:spPr>
          <c:marker>
            <c:symbol val="none"/>
          </c:marker>
          <c:cat>
            <c:numRef>
              <c:f>'Graph SM'!$F$2:$Q$2</c:f>
              <c:numCache>
                <c:formatCode>0</c:formatCode>
                <c:ptCount val="12"/>
                <c:pt idx="0">
                  <c:v>2005</c:v>
                </c:pt>
                <c:pt idx="1">
                  <c:v>2006</c:v>
                </c:pt>
                <c:pt idx="2">
                  <c:v>2007</c:v>
                </c:pt>
                <c:pt idx="3">
                  <c:v>2008</c:v>
                </c:pt>
                <c:pt idx="4">
                  <c:v>2009</c:v>
                </c:pt>
                <c:pt idx="5">
                  <c:v>2010</c:v>
                </c:pt>
                <c:pt idx="6">
                  <c:v>2011</c:v>
                </c:pt>
                <c:pt idx="7">
                  <c:v>2012</c:v>
                </c:pt>
                <c:pt idx="8">
                  <c:v>2013</c:v>
                </c:pt>
                <c:pt idx="9">
                  <c:v>2014</c:v>
                </c:pt>
                <c:pt idx="10">
                  <c:v>2015</c:v>
                </c:pt>
                <c:pt idx="11">
                  <c:v>2016</c:v>
                </c:pt>
              </c:numCache>
            </c:numRef>
          </c:cat>
          <c:val>
            <c:numRef>
              <c:f>'Graph SM'!$F$109:$Q$109</c:f>
              <c:numCache>
                <c:formatCode>General_)</c:formatCode>
                <c:ptCount val="12"/>
                <c:pt idx="0">
                  <c:v>5</c:v>
                </c:pt>
                <c:pt idx="1">
                  <c:v>5</c:v>
                </c:pt>
                <c:pt idx="2">
                  <c:v>5.5</c:v>
                </c:pt>
                <c:pt idx="3">
                  <c:v>6</c:v>
                </c:pt>
                <c:pt idx="4">
                  <c:v>6</c:v>
                </c:pt>
                <c:pt idx="5">
                  <c:v>5.6</c:v>
                </c:pt>
                <c:pt idx="6">
                  <c:v>4.8199999999999976</c:v>
                </c:pt>
                <c:pt idx="7">
                  <c:v>3.64</c:v>
                </c:pt>
                <c:pt idx="8">
                  <c:v>2.96</c:v>
                </c:pt>
                <c:pt idx="9">
                  <c:v>4.2930000000000001</c:v>
                </c:pt>
                <c:pt idx="10">
                  <c:v>2.161</c:v>
                </c:pt>
                <c:pt idx="11">
                  <c:v>1.9000000000000001</c:v>
                </c:pt>
              </c:numCache>
            </c:numRef>
          </c:val>
          <c:smooth val="0"/>
          <c:extLst xmlns:c16r2="http://schemas.microsoft.com/office/drawing/2015/06/chart">
            <c:ext xmlns:c16="http://schemas.microsoft.com/office/drawing/2014/chart" uri="{C3380CC4-5D6E-409C-BE32-E72D297353CC}">
              <c16:uniqueId val="{00000004-6CFE-4563-9D32-B41483ABF4FC}"/>
            </c:ext>
          </c:extLst>
        </c:ser>
        <c:ser>
          <c:idx val="5"/>
          <c:order val="5"/>
          <c:tx>
            <c:strRef>
              <c:f>'Graph SM'!$A$110</c:f>
              <c:strCache>
                <c:ptCount val="1"/>
                <c:pt idx="0">
                  <c:v>Tchad</c:v>
                </c:pt>
              </c:strCache>
            </c:strRef>
          </c:tx>
          <c:spPr>
            <a:ln w="19050" cmpd="sng"/>
          </c:spPr>
          <c:marker>
            <c:symbol val="none"/>
          </c:marker>
          <c:cat>
            <c:numRef>
              <c:f>'Graph SM'!$F$2:$Q$2</c:f>
              <c:numCache>
                <c:formatCode>0</c:formatCode>
                <c:ptCount val="12"/>
                <c:pt idx="0">
                  <c:v>2005</c:v>
                </c:pt>
                <c:pt idx="1">
                  <c:v>2006</c:v>
                </c:pt>
                <c:pt idx="2">
                  <c:v>2007</c:v>
                </c:pt>
                <c:pt idx="3">
                  <c:v>2008</c:v>
                </c:pt>
                <c:pt idx="4">
                  <c:v>2009</c:v>
                </c:pt>
                <c:pt idx="5">
                  <c:v>2010</c:v>
                </c:pt>
                <c:pt idx="6">
                  <c:v>2011</c:v>
                </c:pt>
                <c:pt idx="7">
                  <c:v>2012</c:v>
                </c:pt>
                <c:pt idx="8">
                  <c:v>2013</c:v>
                </c:pt>
                <c:pt idx="9">
                  <c:v>2014</c:v>
                </c:pt>
                <c:pt idx="10">
                  <c:v>2015</c:v>
                </c:pt>
                <c:pt idx="11">
                  <c:v>2016</c:v>
                </c:pt>
              </c:numCache>
            </c:numRef>
          </c:cat>
          <c:val>
            <c:numRef>
              <c:f>'Graph SM'!$F$110:$Q$110</c:f>
              <c:numCache>
                <c:formatCode>General_)</c:formatCode>
                <c:ptCount val="12"/>
                <c:pt idx="0">
                  <c:v>7.8999999999999986</c:v>
                </c:pt>
                <c:pt idx="1">
                  <c:v>8.1</c:v>
                </c:pt>
                <c:pt idx="2">
                  <c:v>-7.4</c:v>
                </c:pt>
                <c:pt idx="3">
                  <c:v>8.3000000000000007</c:v>
                </c:pt>
                <c:pt idx="4">
                  <c:v>10</c:v>
                </c:pt>
                <c:pt idx="5">
                  <c:v>-2.1</c:v>
                </c:pt>
                <c:pt idx="6">
                  <c:v>2</c:v>
                </c:pt>
                <c:pt idx="7">
                  <c:v>7.5</c:v>
                </c:pt>
                <c:pt idx="8">
                  <c:v>0.2</c:v>
                </c:pt>
                <c:pt idx="9">
                  <c:v>1.681</c:v>
                </c:pt>
                <c:pt idx="10">
                  <c:v>3.657</c:v>
                </c:pt>
                <c:pt idx="11">
                  <c:v>2.8801222982334758</c:v>
                </c:pt>
              </c:numCache>
            </c:numRef>
          </c:val>
          <c:smooth val="0"/>
          <c:extLst xmlns:c16r2="http://schemas.microsoft.com/office/drawing/2015/06/chart">
            <c:ext xmlns:c16="http://schemas.microsoft.com/office/drawing/2014/chart" uri="{C3380CC4-5D6E-409C-BE32-E72D297353CC}">
              <c16:uniqueId val="{00000005-6CFE-4563-9D32-B41483ABF4FC}"/>
            </c:ext>
          </c:extLst>
        </c:ser>
        <c:ser>
          <c:idx val="6"/>
          <c:order val="6"/>
          <c:tx>
            <c:strRef>
              <c:f>'Graph SM'!$A$111</c:f>
              <c:strCache>
                <c:ptCount val="1"/>
                <c:pt idx="0">
                  <c:v>CEMAC</c:v>
                </c:pt>
              </c:strCache>
            </c:strRef>
          </c:tx>
          <c:spPr>
            <a:ln w="19050" cmpd="sng"/>
          </c:spPr>
          <c:marker>
            <c:symbol val="none"/>
          </c:marker>
          <c:cat>
            <c:numRef>
              <c:f>'Graph SM'!$F$2:$Q$2</c:f>
              <c:numCache>
                <c:formatCode>0</c:formatCode>
                <c:ptCount val="12"/>
                <c:pt idx="0">
                  <c:v>2005</c:v>
                </c:pt>
                <c:pt idx="1">
                  <c:v>2006</c:v>
                </c:pt>
                <c:pt idx="2">
                  <c:v>2007</c:v>
                </c:pt>
                <c:pt idx="3">
                  <c:v>2008</c:v>
                </c:pt>
                <c:pt idx="4">
                  <c:v>2009</c:v>
                </c:pt>
                <c:pt idx="5">
                  <c:v>2010</c:v>
                </c:pt>
                <c:pt idx="6">
                  <c:v>2011</c:v>
                </c:pt>
                <c:pt idx="7">
                  <c:v>2012</c:v>
                </c:pt>
                <c:pt idx="8">
                  <c:v>2013</c:v>
                </c:pt>
                <c:pt idx="9">
                  <c:v>2014</c:v>
                </c:pt>
                <c:pt idx="10">
                  <c:v>2015</c:v>
                </c:pt>
                <c:pt idx="11">
                  <c:v>2016</c:v>
                </c:pt>
              </c:numCache>
            </c:numRef>
          </c:cat>
          <c:val>
            <c:numRef>
              <c:f>'Graph SM'!$F$111:$Q$111</c:f>
              <c:numCache>
                <c:formatCode>General_)</c:formatCode>
                <c:ptCount val="12"/>
                <c:pt idx="0">
                  <c:v>2.9177189830484371</c:v>
                </c:pt>
                <c:pt idx="1">
                  <c:v>5.2718155026760156</c:v>
                </c:pt>
                <c:pt idx="2">
                  <c:v>1.6473744688021259</c:v>
                </c:pt>
                <c:pt idx="3">
                  <c:v>5.9523052847111089</c:v>
                </c:pt>
                <c:pt idx="4">
                  <c:v>4.4340767097067957</c:v>
                </c:pt>
                <c:pt idx="5">
                  <c:v>1.4753905188451018</c:v>
                </c:pt>
                <c:pt idx="6">
                  <c:v>2.6853967279941235</c:v>
                </c:pt>
                <c:pt idx="7">
                  <c:v>3.9187847007033509</c:v>
                </c:pt>
                <c:pt idx="8">
                  <c:v>2.0790782024327958</c:v>
                </c:pt>
                <c:pt idx="9">
                  <c:v>2.9289828380556981</c:v>
                </c:pt>
                <c:pt idx="10">
                  <c:v>2.0953290761242598</c:v>
                </c:pt>
                <c:pt idx="11">
                  <c:v>2.6165761679351931</c:v>
                </c:pt>
              </c:numCache>
            </c:numRef>
          </c:val>
          <c:smooth val="0"/>
          <c:extLst xmlns:c16r2="http://schemas.microsoft.com/office/drawing/2015/06/chart">
            <c:ext xmlns:c16="http://schemas.microsoft.com/office/drawing/2014/chart" uri="{C3380CC4-5D6E-409C-BE32-E72D297353CC}">
              <c16:uniqueId val="{00000006-6CFE-4563-9D32-B41483ABF4FC}"/>
            </c:ext>
          </c:extLst>
        </c:ser>
        <c:dLbls>
          <c:showLegendKey val="0"/>
          <c:showVal val="0"/>
          <c:showCatName val="0"/>
          <c:showSerName val="0"/>
          <c:showPercent val="0"/>
          <c:showBubbleSize val="0"/>
        </c:dLbls>
        <c:marker val="1"/>
        <c:smooth val="0"/>
        <c:axId val="245961472"/>
        <c:axId val="245963008"/>
      </c:lineChart>
      <c:catAx>
        <c:axId val="245961472"/>
        <c:scaling>
          <c:orientation val="minMax"/>
        </c:scaling>
        <c:delete val="0"/>
        <c:axPos val="b"/>
        <c:numFmt formatCode="0" sourceLinked="1"/>
        <c:majorTickMark val="out"/>
        <c:minorTickMark val="none"/>
        <c:tickLblPos val="nextTo"/>
        <c:txPr>
          <a:bodyPr/>
          <a:lstStyle/>
          <a:p>
            <a:pPr>
              <a:defRPr sz="800"/>
            </a:pPr>
            <a:endParaRPr lang="de-DE"/>
          </a:p>
        </c:txPr>
        <c:crossAx val="245963008"/>
        <c:crosses val="autoZero"/>
        <c:auto val="1"/>
        <c:lblAlgn val="ctr"/>
        <c:lblOffset val="100"/>
        <c:noMultiLvlLbl val="0"/>
      </c:catAx>
      <c:valAx>
        <c:axId val="245963008"/>
        <c:scaling>
          <c:orientation val="minMax"/>
        </c:scaling>
        <c:delete val="0"/>
        <c:axPos val="l"/>
        <c:numFmt formatCode="General_)" sourceLinked="1"/>
        <c:majorTickMark val="out"/>
        <c:minorTickMark val="none"/>
        <c:tickLblPos val="nextTo"/>
        <c:txPr>
          <a:bodyPr/>
          <a:lstStyle/>
          <a:p>
            <a:pPr>
              <a:defRPr sz="800"/>
            </a:pPr>
            <a:endParaRPr lang="de-DE"/>
          </a:p>
        </c:txPr>
        <c:crossAx val="245961472"/>
        <c:crosses val="autoZero"/>
        <c:crossBetween val="between"/>
      </c:valAx>
    </c:plotArea>
    <c:legend>
      <c:legendPos val="r"/>
      <c:layout>
        <c:manualLayout>
          <c:xMode val="edge"/>
          <c:yMode val="edge"/>
          <c:x val="8.1175159708810007E-2"/>
          <c:y val="4.0268208661417296E-2"/>
          <c:w val="0.89995691576288783"/>
          <c:h val="0.11881585390061503"/>
        </c:manualLayout>
      </c:layout>
      <c:overlay val="1"/>
      <c:txPr>
        <a:bodyPr/>
        <a:lstStyle/>
        <a:p>
          <a:pPr>
            <a:defRPr sz="800"/>
          </a:pPr>
          <a:endParaRPr lang="de-DE"/>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1169094488189005"/>
          <c:y val="0.21155783227444999"/>
          <c:w val="0.8216417322834676"/>
          <c:h val="0.70709954809655795"/>
        </c:manualLayout>
      </c:layout>
      <c:barChart>
        <c:barDir val="col"/>
        <c:grouping val="percentStacked"/>
        <c:varyColors val="0"/>
        <c:ser>
          <c:idx val="0"/>
          <c:order val="0"/>
          <c:tx>
            <c:strRef>
              <c:f>'Graph SM'!$A$144</c:f>
              <c:strCache>
                <c:ptCount val="1"/>
                <c:pt idx="0">
                  <c:v>Salaires et traitements</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SM'!$K$144:$Q$144</c:f>
              <c:numCache>
                <c:formatCode>0.00</c:formatCode>
                <c:ptCount val="7"/>
                <c:pt idx="0">
                  <c:v>32.613841314930546</c:v>
                </c:pt>
                <c:pt idx="1">
                  <c:v>32.278412889117035</c:v>
                </c:pt>
                <c:pt idx="2">
                  <c:v>30.684735655190551</c:v>
                </c:pt>
                <c:pt idx="3">
                  <c:v>30.936448186398</c:v>
                </c:pt>
                <c:pt idx="4">
                  <c:v>37.598685133456698</c:v>
                </c:pt>
                <c:pt idx="5">
                  <c:v>39.180214982474872</c:v>
                </c:pt>
                <c:pt idx="6">
                  <c:v>39.109155252243703</c:v>
                </c:pt>
              </c:numCache>
            </c:numRef>
          </c:val>
          <c:extLst xmlns:c16r2="http://schemas.microsoft.com/office/drawing/2015/06/chart">
            <c:ext xmlns:c16="http://schemas.microsoft.com/office/drawing/2014/chart" uri="{C3380CC4-5D6E-409C-BE32-E72D297353CC}">
              <c16:uniqueId val="{00000000-74AF-4B2F-8FB5-17AE3CB4EFC8}"/>
            </c:ext>
          </c:extLst>
        </c:ser>
        <c:ser>
          <c:idx val="1"/>
          <c:order val="1"/>
          <c:tx>
            <c:strRef>
              <c:f>'Graph SM'!$A$145</c:f>
              <c:strCache>
                <c:ptCount val="1"/>
                <c:pt idx="0">
                  <c:v>Biens et services</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SM'!$K$145:$Q$145</c:f>
              <c:numCache>
                <c:formatCode>0.00</c:formatCode>
                <c:ptCount val="7"/>
                <c:pt idx="0">
                  <c:v>31.673387109616378</c:v>
                </c:pt>
                <c:pt idx="1">
                  <c:v>28.174044375369263</c:v>
                </c:pt>
                <c:pt idx="2">
                  <c:v>31.277762544009253</c:v>
                </c:pt>
                <c:pt idx="3">
                  <c:v>33.490218720844311</c:v>
                </c:pt>
                <c:pt idx="4">
                  <c:v>29.931545942173074</c:v>
                </c:pt>
                <c:pt idx="5">
                  <c:v>30.436570452656351</c:v>
                </c:pt>
                <c:pt idx="6">
                  <c:v>29.377156732927219</c:v>
                </c:pt>
              </c:numCache>
            </c:numRef>
          </c:val>
          <c:extLst xmlns:c16r2="http://schemas.microsoft.com/office/drawing/2015/06/chart">
            <c:ext xmlns:c16="http://schemas.microsoft.com/office/drawing/2014/chart" uri="{C3380CC4-5D6E-409C-BE32-E72D297353CC}">
              <c16:uniqueId val="{00000001-74AF-4B2F-8FB5-17AE3CB4EFC8}"/>
            </c:ext>
          </c:extLst>
        </c:ser>
        <c:ser>
          <c:idx val="2"/>
          <c:order val="2"/>
          <c:tx>
            <c:strRef>
              <c:f>'Graph SM'!$A$146</c:f>
              <c:strCache>
                <c:ptCount val="1"/>
                <c:pt idx="0">
                  <c:v>Transferts et subventions</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SM'!$K$146:$Q$146</c:f>
              <c:numCache>
                <c:formatCode>0.00</c:formatCode>
                <c:ptCount val="7"/>
                <c:pt idx="0">
                  <c:v>30.573558456915332</c:v>
                </c:pt>
                <c:pt idx="1">
                  <c:v>35.523037636196079</c:v>
                </c:pt>
                <c:pt idx="2">
                  <c:v>34.424622118361739</c:v>
                </c:pt>
                <c:pt idx="3">
                  <c:v>30.909218031444727</c:v>
                </c:pt>
                <c:pt idx="4">
                  <c:v>27.764138407602911</c:v>
                </c:pt>
                <c:pt idx="5">
                  <c:v>25.27112762858912</c:v>
                </c:pt>
                <c:pt idx="6">
                  <c:v>22.626635421093027</c:v>
                </c:pt>
              </c:numCache>
            </c:numRef>
          </c:val>
          <c:extLst xmlns:c16r2="http://schemas.microsoft.com/office/drawing/2015/06/chart">
            <c:ext xmlns:c16="http://schemas.microsoft.com/office/drawing/2014/chart" uri="{C3380CC4-5D6E-409C-BE32-E72D297353CC}">
              <c16:uniqueId val="{00000002-74AF-4B2F-8FB5-17AE3CB4EFC8}"/>
            </c:ext>
          </c:extLst>
        </c:ser>
        <c:ser>
          <c:idx val="3"/>
          <c:order val="3"/>
          <c:tx>
            <c:strRef>
              <c:f>'Graph SM'!$A$147</c:f>
              <c:strCache>
                <c:ptCount val="1"/>
                <c:pt idx="0">
                  <c:v> Intérêts Dette extérieure</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SM'!$K$147:$Q$147</c:f>
              <c:numCache>
                <c:formatCode>0.00</c:formatCode>
                <c:ptCount val="7"/>
                <c:pt idx="0">
                  <c:v>3.9829040594160952</c:v>
                </c:pt>
                <c:pt idx="1">
                  <c:v>2.9538370626806358</c:v>
                </c:pt>
                <c:pt idx="2">
                  <c:v>2.8162649669555182</c:v>
                </c:pt>
                <c:pt idx="3">
                  <c:v>3.7995313285864838</c:v>
                </c:pt>
                <c:pt idx="4">
                  <c:v>3.2703937888617158</c:v>
                </c:pt>
                <c:pt idx="5">
                  <c:v>3.69226313403307</c:v>
                </c:pt>
                <c:pt idx="6">
                  <c:v>6.8199011818282571</c:v>
                </c:pt>
              </c:numCache>
            </c:numRef>
          </c:val>
          <c:extLst xmlns:c16r2="http://schemas.microsoft.com/office/drawing/2015/06/chart">
            <c:ext xmlns:c16="http://schemas.microsoft.com/office/drawing/2014/chart" uri="{C3380CC4-5D6E-409C-BE32-E72D297353CC}">
              <c16:uniqueId val="{00000003-74AF-4B2F-8FB5-17AE3CB4EFC8}"/>
            </c:ext>
          </c:extLst>
        </c:ser>
        <c:ser>
          <c:idx val="4"/>
          <c:order val="4"/>
          <c:tx>
            <c:strRef>
              <c:f>'Graph SM'!$A$148</c:f>
              <c:strCache>
                <c:ptCount val="1"/>
                <c:pt idx="0">
                  <c:v>Intérêts Dette intérieure</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SM'!$K$148:$Q$148</c:f>
              <c:numCache>
                <c:formatCode>0.00</c:formatCode>
                <c:ptCount val="7"/>
                <c:pt idx="0">
                  <c:v>1.15630905912166</c:v>
                </c:pt>
                <c:pt idx="1">
                  <c:v>1.07066803663701</c:v>
                </c:pt>
                <c:pt idx="2">
                  <c:v>0.79661471548289919</c:v>
                </c:pt>
                <c:pt idx="3">
                  <c:v>0.86458373272648104</c:v>
                </c:pt>
                <c:pt idx="4">
                  <c:v>1.4352367279055878</c:v>
                </c:pt>
                <c:pt idx="5">
                  <c:v>1.4198238022466203</c:v>
                </c:pt>
                <c:pt idx="6">
                  <c:v>2.0671514119078402</c:v>
                </c:pt>
              </c:numCache>
            </c:numRef>
          </c:val>
          <c:extLst xmlns:c16r2="http://schemas.microsoft.com/office/drawing/2015/06/chart">
            <c:ext xmlns:c16="http://schemas.microsoft.com/office/drawing/2014/chart" uri="{C3380CC4-5D6E-409C-BE32-E72D297353CC}">
              <c16:uniqueId val="{00000004-74AF-4B2F-8FB5-17AE3CB4EFC8}"/>
            </c:ext>
          </c:extLst>
        </c:ser>
        <c:dLbls>
          <c:showLegendKey val="0"/>
          <c:showVal val="0"/>
          <c:showCatName val="0"/>
          <c:showSerName val="0"/>
          <c:showPercent val="0"/>
          <c:showBubbleSize val="0"/>
        </c:dLbls>
        <c:gapWidth val="150"/>
        <c:overlap val="100"/>
        <c:axId val="245988352"/>
        <c:axId val="245998336"/>
      </c:barChart>
      <c:catAx>
        <c:axId val="245988352"/>
        <c:scaling>
          <c:orientation val="minMax"/>
        </c:scaling>
        <c:delete val="0"/>
        <c:axPos val="b"/>
        <c:numFmt formatCode="0" sourceLinked="1"/>
        <c:majorTickMark val="out"/>
        <c:minorTickMark val="none"/>
        <c:tickLblPos val="nextTo"/>
        <c:txPr>
          <a:bodyPr/>
          <a:lstStyle/>
          <a:p>
            <a:pPr>
              <a:defRPr sz="800"/>
            </a:pPr>
            <a:endParaRPr lang="de-DE"/>
          </a:p>
        </c:txPr>
        <c:crossAx val="245998336"/>
        <c:crosses val="autoZero"/>
        <c:auto val="1"/>
        <c:lblAlgn val="ctr"/>
        <c:lblOffset val="100"/>
        <c:noMultiLvlLbl val="0"/>
      </c:catAx>
      <c:valAx>
        <c:axId val="245998336"/>
        <c:scaling>
          <c:orientation val="minMax"/>
        </c:scaling>
        <c:delete val="0"/>
        <c:axPos val="l"/>
        <c:numFmt formatCode="0%" sourceLinked="1"/>
        <c:majorTickMark val="out"/>
        <c:minorTickMark val="none"/>
        <c:tickLblPos val="nextTo"/>
        <c:txPr>
          <a:bodyPr/>
          <a:lstStyle/>
          <a:p>
            <a:pPr>
              <a:defRPr sz="800"/>
            </a:pPr>
            <a:endParaRPr lang="de-DE"/>
          </a:p>
        </c:txPr>
        <c:crossAx val="245988352"/>
        <c:crosses val="autoZero"/>
        <c:crossBetween val="between"/>
      </c:valAx>
    </c:plotArea>
    <c:legend>
      <c:legendPos val="t"/>
      <c:layout>
        <c:manualLayout>
          <c:xMode val="edge"/>
          <c:yMode val="edge"/>
          <c:x val="2.2484580052493406E-2"/>
          <c:y val="2.48880039820806E-2"/>
          <c:w val="0.963364173228346"/>
          <c:h val="0.14684902192103999"/>
        </c:manualLayout>
      </c:layout>
      <c:overlay val="0"/>
      <c:txPr>
        <a:bodyPr/>
        <a:lstStyle/>
        <a:p>
          <a:pPr>
            <a:defRPr sz="800"/>
          </a:pPr>
          <a:endParaRPr lang="de-DE"/>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4408146886508899"/>
          <c:y val="0.17788357244622199"/>
          <c:w val="0.80608840655960023"/>
          <c:h val="0.71617583542935925"/>
        </c:manualLayout>
      </c:layout>
      <c:barChart>
        <c:barDir val="col"/>
        <c:grouping val="percentStacked"/>
        <c:varyColors val="0"/>
        <c:ser>
          <c:idx val="0"/>
          <c:order val="0"/>
          <c:tx>
            <c:strRef>
              <c:f>'Graph SM'!$A$178</c:f>
              <c:strCache>
                <c:ptCount val="1"/>
                <c:pt idx="0">
                  <c:v>        Sur ressources locales</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SM'!$K$178:$Q$178</c:f>
              <c:numCache>
                <c:formatCode>0.0</c:formatCode>
                <c:ptCount val="7"/>
                <c:pt idx="0">
                  <c:v>86.181276413010011</c:v>
                </c:pt>
                <c:pt idx="1">
                  <c:v>85.571424228870328</c:v>
                </c:pt>
                <c:pt idx="2">
                  <c:v>86.946070105727372</c:v>
                </c:pt>
                <c:pt idx="3">
                  <c:v>78.236922578127405</c:v>
                </c:pt>
                <c:pt idx="4">
                  <c:v>81.598776003745968</c:v>
                </c:pt>
                <c:pt idx="5">
                  <c:v>80.472862464007761</c:v>
                </c:pt>
                <c:pt idx="6">
                  <c:v>68.544451842837432</c:v>
                </c:pt>
              </c:numCache>
            </c:numRef>
          </c:val>
          <c:extLst xmlns:c16r2="http://schemas.microsoft.com/office/drawing/2015/06/chart">
            <c:ext xmlns:c16="http://schemas.microsoft.com/office/drawing/2014/chart" uri="{C3380CC4-5D6E-409C-BE32-E72D297353CC}">
              <c16:uniqueId val="{00000000-5065-4603-AD37-DE82E94C1CD4}"/>
            </c:ext>
          </c:extLst>
        </c:ser>
        <c:ser>
          <c:idx val="1"/>
          <c:order val="1"/>
          <c:tx>
            <c:strRef>
              <c:f>'Graph SM'!$A$179</c:f>
              <c:strCache>
                <c:ptCount val="1"/>
                <c:pt idx="0">
                  <c:v>        Sur ressources extérieures</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SM'!$K$179:$Q$179</c:f>
              <c:numCache>
                <c:formatCode>0.0</c:formatCode>
                <c:ptCount val="7"/>
                <c:pt idx="0">
                  <c:v>13.81872358699</c:v>
                </c:pt>
                <c:pt idx="1">
                  <c:v>14.428575771129799</c:v>
                </c:pt>
                <c:pt idx="2">
                  <c:v>13.053929894272652</c:v>
                </c:pt>
                <c:pt idx="3">
                  <c:v>21.763077421872616</c:v>
                </c:pt>
                <c:pt idx="4">
                  <c:v>18.401223996253488</c:v>
                </c:pt>
                <c:pt idx="5">
                  <c:v>19.527137535992193</c:v>
                </c:pt>
                <c:pt idx="6">
                  <c:v>31.455548157162532</c:v>
                </c:pt>
              </c:numCache>
            </c:numRef>
          </c:val>
          <c:extLst xmlns:c16r2="http://schemas.microsoft.com/office/drawing/2015/06/chart">
            <c:ext xmlns:c16="http://schemas.microsoft.com/office/drawing/2014/chart" uri="{C3380CC4-5D6E-409C-BE32-E72D297353CC}">
              <c16:uniqueId val="{00000001-5065-4603-AD37-DE82E94C1CD4}"/>
            </c:ext>
          </c:extLst>
        </c:ser>
        <c:dLbls>
          <c:showLegendKey val="0"/>
          <c:showVal val="0"/>
          <c:showCatName val="0"/>
          <c:showSerName val="0"/>
          <c:showPercent val="0"/>
          <c:showBubbleSize val="0"/>
        </c:dLbls>
        <c:gapWidth val="150"/>
        <c:overlap val="100"/>
        <c:axId val="246011776"/>
        <c:axId val="246013312"/>
      </c:barChart>
      <c:catAx>
        <c:axId val="246011776"/>
        <c:scaling>
          <c:orientation val="minMax"/>
        </c:scaling>
        <c:delete val="0"/>
        <c:axPos val="b"/>
        <c:numFmt formatCode="0" sourceLinked="1"/>
        <c:majorTickMark val="out"/>
        <c:minorTickMark val="none"/>
        <c:tickLblPos val="nextTo"/>
        <c:txPr>
          <a:bodyPr/>
          <a:lstStyle/>
          <a:p>
            <a:pPr>
              <a:defRPr sz="800"/>
            </a:pPr>
            <a:endParaRPr lang="de-DE"/>
          </a:p>
        </c:txPr>
        <c:crossAx val="246013312"/>
        <c:crosses val="autoZero"/>
        <c:auto val="1"/>
        <c:lblAlgn val="ctr"/>
        <c:lblOffset val="100"/>
        <c:noMultiLvlLbl val="0"/>
      </c:catAx>
      <c:valAx>
        <c:axId val="246013312"/>
        <c:scaling>
          <c:orientation val="minMax"/>
        </c:scaling>
        <c:delete val="0"/>
        <c:axPos val="l"/>
        <c:numFmt formatCode="0%" sourceLinked="1"/>
        <c:majorTickMark val="out"/>
        <c:minorTickMark val="none"/>
        <c:tickLblPos val="nextTo"/>
        <c:txPr>
          <a:bodyPr/>
          <a:lstStyle/>
          <a:p>
            <a:pPr>
              <a:defRPr sz="800"/>
            </a:pPr>
            <a:endParaRPr lang="de-DE"/>
          </a:p>
        </c:txPr>
        <c:crossAx val="246011776"/>
        <c:crosses val="autoZero"/>
        <c:crossBetween val="between"/>
      </c:valAx>
    </c:plotArea>
    <c:legend>
      <c:legendPos val="t"/>
      <c:layout>
        <c:manualLayout>
          <c:xMode val="edge"/>
          <c:yMode val="edge"/>
          <c:x val="1.2766071285256907E-2"/>
          <c:y val="2.9784065524944208E-2"/>
          <c:w val="0.96993784610445921"/>
          <c:h val="6.8675332188093005E-2"/>
        </c:manualLayout>
      </c:layout>
      <c:overlay val="0"/>
      <c:txPr>
        <a:bodyPr/>
        <a:lstStyle/>
        <a:p>
          <a:pPr>
            <a:defRPr sz="800"/>
          </a:pPr>
          <a:endParaRPr lang="de-DE"/>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'Graph SM'!$A$203</c:f>
              <c:strCache>
                <c:ptCount val="1"/>
                <c:pt idx="0">
                  <c:v>SOLDE PRIMAIRE (en % PIB)</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SM'!$K$203:$Q$203</c:f>
              <c:numCache>
                <c:formatCode>0.0</c:formatCode>
                <c:ptCount val="7"/>
                <c:pt idx="0">
                  <c:v>3.6628496036421407</c:v>
                </c:pt>
                <c:pt idx="1">
                  <c:v>4.7232238277693774</c:v>
                </c:pt>
                <c:pt idx="2">
                  <c:v>1.1583392935667181</c:v>
                </c:pt>
                <c:pt idx="3">
                  <c:v>1.5553021693603135</c:v>
                </c:pt>
                <c:pt idx="4">
                  <c:v>1.4708876851752219</c:v>
                </c:pt>
                <c:pt idx="5">
                  <c:v>-1.2556927524921251</c:v>
                </c:pt>
                <c:pt idx="6">
                  <c:v>-1.7247533889268081</c:v>
                </c:pt>
              </c:numCache>
            </c:numRef>
          </c:val>
          <c:extLst xmlns:c16r2="http://schemas.microsoft.com/office/drawing/2015/06/chart">
            <c:ext xmlns:c16="http://schemas.microsoft.com/office/drawing/2014/chart" uri="{C3380CC4-5D6E-409C-BE32-E72D297353CC}">
              <c16:uniqueId val="{00000000-20EC-4179-B6E6-B0D619EFF44C}"/>
            </c:ext>
          </c:extLst>
        </c:ser>
        <c:ser>
          <c:idx val="1"/>
          <c:order val="1"/>
          <c:tx>
            <c:strRef>
              <c:f>'Graph SM'!$A$204</c:f>
              <c:strCache>
                <c:ptCount val="1"/>
                <c:pt idx="0">
                  <c:v>SOLDE BUDGETAIRE DE BASE (en % PIB)</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SM'!$K$204:$Q$204</c:f>
              <c:numCache>
                <c:formatCode>0.0</c:formatCode>
                <c:ptCount val="7"/>
                <c:pt idx="0">
                  <c:v>3.055499631226978</c:v>
                </c:pt>
                <c:pt idx="1">
                  <c:v>4.2575412405907356</c:v>
                </c:pt>
                <c:pt idx="2">
                  <c:v>0.70446286195730756</c:v>
                </c:pt>
                <c:pt idx="3">
                  <c:v>0.90193366513043383</c:v>
                </c:pt>
                <c:pt idx="4">
                  <c:v>0.85454816491564078</c:v>
                </c:pt>
                <c:pt idx="5">
                  <c:v>-1.9922341857171371</c:v>
                </c:pt>
                <c:pt idx="6">
                  <c:v>-3.1085830651108299</c:v>
                </c:pt>
              </c:numCache>
            </c:numRef>
          </c:val>
          <c:extLst xmlns:c16r2="http://schemas.microsoft.com/office/drawing/2015/06/chart">
            <c:ext xmlns:c16="http://schemas.microsoft.com/office/drawing/2014/chart" uri="{C3380CC4-5D6E-409C-BE32-E72D297353CC}">
              <c16:uniqueId val="{00000001-20EC-4179-B6E6-B0D619EFF44C}"/>
            </c:ext>
          </c:extLst>
        </c:ser>
        <c:ser>
          <c:idx val="2"/>
          <c:order val="2"/>
          <c:tx>
            <c:strRef>
              <c:f>'Graph SM'!$A$205</c:f>
              <c:strCache>
                <c:ptCount val="1"/>
                <c:pt idx="0">
                  <c:v>SOLDE GLOBAL, base engagements, hors dons (en % PIB)</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SM'!$K$205:$Q$205</c:f>
              <c:numCache>
                <c:formatCode>0.0</c:formatCode>
                <c:ptCount val="7"/>
                <c:pt idx="0">
                  <c:v>1.3615095013894478</c:v>
                </c:pt>
                <c:pt idx="1">
                  <c:v>2.3654963023556541</c:v>
                </c:pt>
                <c:pt idx="2">
                  <c:v>-1.303625549731972</c:v>
                </c:pt>
                <c:pt idx="3">
                  <c:v>-2.165922601584664</c:v>
                </c:pt>
                <c:pt idx="4">
                  <c:v>0</c:v>
                </c:pt>
                <c:pt idx="5">
                  <c:v>-4.1034560274928982</c:v>
                </c:pt>
                <c:pt idx="6">
                  <c:v>-7.1709573678213046</c:v>
                </c:pt>
              </c:numCache>
            </c:numRef>
          </c:val>
          <c:extLst xmlns:c16r2="http://schemas.microsoft.com/office/drawing/2015/06/chart">
            <c:ext xmlns:c16="http://schemas.microsoft.com/office/drawing/2014/chart" uri="{C3380CC4-5D6E-409C-BE32-E72D297353CC}">
              <c16:uniqueId val="{00000002-20EC-4179-B6E6-B0D619EFF44C}"/>
            </c:ext>
          </c:extLst>
        </c:ser>
        <c:dLbls>
          <c:showLegendKey val="0"/>
          <c:showVal val="0"/>
          <c:showCatName val="0"/>
          <c:showSerName val="0"/>
          <c:showPercent val="0"/>
          <c:showBubbleSize val="0"/>
        </c:dLbls>
        <c:gapWidth val="150"/>
        <c:axId val="247609216"/>
        <c:axId val="247610752"/>
      </c:barChart>
      <c:catAx>
        <c:axId val="247609216"/>
        <c:scaling>
          <c:orientation val="minMax"/>
        </c:scaling>
        <c:delete val="0"/>
        <c:axPos val="b"/>
        <c:numFmt formatCode="0" sourceLinked="1"/>
        <c:majorTickMark val="out"/>
        <c:minorTickMark val="none"/>
        <c:tickLblPos val="nextTo"/>
        <c:txPr>
          <a:bodyPr/>
          <a:lstStyle/>
          <a:p>
            <a:pPr>
              <a:defRPr sz="800"/>
            </a:pPr>
            <a:endParaRPr lang="de-DE"/>
          </a:p>
        </c:txPr>
        <c:crossAx val="247610752"/>
        <c:crosses val="autoZero"/>
        <c:auto val="1"/>
        <c:lblAlgn val="ctr"/>
        <c:lblOffset val="100"/>
        <c:noMultiLvlLbl val="0"/>
      </c:catAx>
      <c:valAx>
        <c:axId val="247610752"/>
        <c:scaling>
          <c:orientation val="minMax"/>
        </c:scaling>
        <c:delete val="0"/>
        <c:axPos val="l"/>
        <c:numFmt formatCode="0.0" sourceLinked="1"/>
        <c:majorTickMark val="out"/>
        <c:minorTickMark val="none"/>
        <c:tickLblPos val="nextTo"/>
        <c:txPr>
          <a:bodyPr/>
          <a:lstStyle/>
          <a:p>
            <a:pPr>
              <a:defRPr sz="800"/>
            </a:pPr>
            <a:endParaRPr lang="de-DE"/>
          </a:p>
        </c:txPr>
        <c:crossAx val="247609216"/>
        <c:crosses val="autoZero"/>
        <c:crossBetween val="between"/>
      </c:valAx>
    </c:plotArea>
    <c:legend>
      <c:legendPos val="r"/>
      <c:layout>
        <c:manualLayout>
          <c:xMode val="edge"/>
          <c:yMode val="edge"/>
          <c:x val="0.45314281469533291"/>
          <c:y val="3.6795986439195114E-2"/>
          <c:w val="0.52427467792941118"/>
          <c:h val="0.23175770997375295"/>
        </c:manualLayout>
      </c:layout>
      <c:overlay val="1"/>
      <c:txPr>
        <a:bodyPr/>
        <a:lstStyle/>
        <a:p>
          <a:pPr>
            <a:defRPr sz="700"/>
          </a:pPr>
          <a:endParaRPr lang="de-DE"/>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'Graph SM'!$A$229</c:f>
              <c:strCache>
                <c:ptCount val="1"/>
                <c:pt idx="0">
                  <c:v>Balance Commerciale</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SM'!$K$229:$Q$229</c:f>
              <c:numCache>
                <c:formatCode>0.0%</c:formatCode>
                <c:ptCount val="7"/>
                <c:pt idx="0">
                  <c:v>0.21501845817378207</c:v>
                </c:pt>
                <c:pt idx="1">
                  <c:v>0.27350154071723393</c:v>
                </c:pt>
                <c:pt idx="2">
                  <c:v>0.25676659468446611</c:v>
                </c:pt>
                <c:pt idx="3">
                  <c:v>0.218294722248565</c:v>
                </c:pt>
                <c:pt idx="4">
                  <c:v>0.19020993479230511</c:v>
                </c:pt>
                <c:pt idx="5">
                  <c:v>8.7378916987067581E-2</c:v>
                </c:pt>
                <c:pt idx="6">
                  <c:v>2.8270455926529315E-2</c:v>
                </c:pt>
              </c:numCache>
            </c:numRef>
          </c:val>
          <c:extLst xmlns:c16r2="http://schemas.microsoft.com/office/drawing/2015/06/chart">
            <c:ext xmlns:c16="http://schemas.microsoft.com/office/drawing/2014/chart" uri="{C3380CC4-5D6E-409C-BE32-E72D297353CC}">
              <c16:uniqueId val="{00000000-55F2-48B9-9F48-DC185F9153DD}"/>
            </c:ext>
          </c:extLst>
        </c:ser>
        <c:ser>
          <c:idx val="1"/>
          <c:order val="1"/>
          <c:tx>
            <c:strRef>
              <c:f>'Graph SM'!$A$230</c:f>
              <c:strCache>
                <c:ptCount val="1"/>
                <c:pt idx="0">
                  <c:v>Export B &amp; S</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SM'!$K$230:$Q$230</c:f>
              <c:numCache>
                <c:formatCode>0.0%</c:formatCode>
                <c:ptCount val="7"/>
                <c:pt idx="0">
                  <c:v>0.47819455688165702</c:v>
                </c:pt>
                <c:pt idx="1">
                  <c:v>0.50777178821266578</c:v>
                </c:pt>
                <c:pt idx="2">
                  <c:v>0.50914412062826997</c:v>
                </c:pt>
                <c:pt idx="3">
                  <c:v>0.45674433045296386</c:v>
                </c:pt>
                <c:pt idx="4">
                  <c:v>0.43360306414788713</c:v>
                </c:pt>
                <c:pt idx="5">
                  <c:v>0.33671572779061615</c:v>
                </c:pt>
                <c:pt idx="6">
                  <c:v>0.27457302511754811</c:v>
                </c:pt>
              </c:numCache>
            </c:numRef>
          </c:val>
          <c:extLst xmlns:c16r2="http://schemas.microsoft.com/office/drawing/2015/06/chart">
            <c:ext xmlns:c16="http://schemas.microsoft.com/office/drawing/2014/chart" uri="{C3380CC4-5D6E-409C-BE32-E72D297353CC}">
              <c16:uniqueId val="{00000001-55F2-48B9-9F48-DC185F9153DD}"/>
            </c:ext>
          </c:extLst>
        </c:ser>
        <c:ser>
          <c:idx val="2"/>
          <c:order val="2"/>
          <c:tx>
            <c:strRef>
              <c:f>'Graph SM'!$A$231</c:f>
              <c:strCache>
                <c:ptCount val="1"/>
                <c:pt idx="0">
                  <c:v>Import B &amp; S</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SM'!$K$231:$Q$231</c:f>
              <c:numCache>
                <c:formatCode>0.0%</c:formatCode>
                <c:ptCount val="7"/>
                <c:pt idx="0">
                  <c:v>0.26317609870787512</c:v>
                </c:pt>
                <c:pt idx="1">
                  <c:v>0.23427024749543304</c:v>
                </c:pt>
                <c:pt idx="2">
                  <c:v>0.25237752594380425</c:v>
                </c:pt>
                <c:pt idx="3">
                  <c:v>0.23844960820439906</c:v>
                </c:pt>
                <c:pt idx="4">
                  <c:v>0.24339312935558197</c:v>
                </c:pt>
                <c:pt idx="5">
                  <c:v>0.249336810803548</c:v>
                </c:pt>
                <c:pt idx="6">
                  <c:v>0.24630256919101801</c:v>
                </c:pt>
              </c:numCache>
            </c:numRef>
          </c:val>
          <c:extLst xmlns:c16r2="http://schemas.microsoft.com/office/drawing/2015/06/chart">
            <c:ext xmlns:c16="http://schemas.microsoft.com/office/drawing/2014/chart" uri="{C3380CC4-5D6E-409C-BE32-E72D297353CC}">
              <c16:uniqueId val="{00000002-55F2-48B9-9F48-DC185F9153DD}"/>
            </c:ext>
          </c:extLst>
        </c:ser>
        <c:dLbls>
          <c:showLegendKey val="0"/>
          <c:showVal val="0"/>
          <c:showCatName val="0"/>
          <c:showSerName val="0"/>
          <c:showPercent val="0"/>
          <c:showBubbleSize val="0"/>
        </c:dLbls>
        <c:gapWidth val="150"/>
        <c:axId val="247629696"/>
        <c:axId val="247631232"/>
      </c:barChart>
      <c:catAx>
        <c:axId val="247629696"/>
        <c:scaling>
          <c:orientation val="minMax"/>
        </c:scaling>
        <c:delete val="0"/>
        <c:axPos val="b"/>
        <c:numFmt formatCode="0" sourceLinked="1"/>
        <c:majorTickMark val="out"/>
        <c:minorTickMark val="none"/>
        <c:tickLblPos val="nextTo"/>
        <c:txPr>
          <a:bodyPr/>
          <a:lstStyle/>
          <a:p>
            <a:pPr>
              <a:defRPr sz="800"/>
            </a:pPr>
            <a:endParaRPr lang="de-DE"/>
          </a:p>
        </c:txPr>
        <c:crossAx val="247631232"/>
        <c:crosses val="autoZero"/>
        <c:auto val="1"/>
        <c:lblAlgn val="ctr"/>
        <c:lblOffset val="100"/>
        <c:noMultiLvlLbl val="0"/>
      </c:catAx>
      <c:valAx>
        <c:axId val="247631232"/>
        <c:scaling>
          <c:orientation val="minMax"/>
        </c:scaling>
        <c:delete val="0"/>
        <c:axPos val="l"/>
        <c:numFmt formatCode="0.0%" sourceLinked="1"/>
        <c:majorTickMark val="out"/>
        <c:minorTickMark val="none"/>
        <c:tickLblPos val="nextTo"/>
        <c:txPr>
          <a:bodyPr/>
          <a:lstStyle/>
          <a:p>
            <a:pPr>
              <a:defRPr sz="800"/>
            </a:pPr>
            <a:endParaRPr lang="de-DE"/>
          </a:p>
        </c:txPr>
        <c:crossAx val="247629696"/>
        <c:crosses val="autoZero"/>
        <c:crossBetween val="between"/>
      </c:valAx>
    </c:plotArea>
    <c:legend>
      <c:legendPos val="r"/>
      <c:layout>
        <c:manualLayout>
          <c:xMode val="edge"/>
          <c:yMode val="edge"/>
          <c:x val="0.15125602224250301"/>
          <c:y val="3.6795986439195114E-2"/>
          <c:w val="0.82616147038223997"/>
          <c:h val="7.550770997375332E-2"/>
        </c:manualLayout>
      </c:layout>
      <c:overlay val="1"/>
      <c:txPr>
        <a:bodyPr/>
        <a:lstStyle/>
        <a:p>
          <a:pPr>
            <a:defRPr sz="800"/>
          </a:pPr>
          <a:endParaRPr lang="de-DE"/>
        </a:p>
      </c:txPr>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'Graph SM'!$A$260</c:f>
              <c:strCache>
                <c:ptCount val="1"/>
                <c:pt idx="0">
                  <c:v>Transf. publics inclus</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SM'!$K$260:$Q$260</c:f>
              <c:numCache>
                <c:formatCode>0.0</c:formatCode>
                <c:ptCount val="7"/>
                <c:pt idx="0">
                  <c:v>-2.9105532811780939</c:v>
                </c:pt>
                <c:pt idx="1">
                  <c:v>2.8204231628015002</c:v>
                </c:pt>
                <c:pt idx="2">
                  <c:v>2.8691778290790007</c:v>
                </c:pt>
                <c:pt idx="3">
                  <c:v>0.64175240522771804</c:v>
                </c:pt>
                <c:pt idx="4">
                  <c:v>-0.10013745870357102</c:v>
                </c:pt>
                <c:pt idx="5">
                  <c:v>-8.6907851369841467</c:v>
                </c:pt>
                <c:pt idx="6">
                  <c:v>-11.992228857988634</c:v>
                </c:pt>
              </c:numCache>
            </c:numRef>
          </c:val>
          <c:extLst xmlns:c16r2="http://schemas.microsoft.com/office/drawing/2015/06/chart">
            <c:ext xmlns:c16="http://schemas.microsoft.com/office/drawing/2014/chart" uri="{C3380CC4-5D6E-409C-BE32-E72D297353CC}">
              <c16:uniqueId val="{00000000-EE02-42F0-B0C8-53DC3B7D475E}"/>
            </c:ext>
          </c:extLst>
        </c:ser>
        <c:ser>
          <c:idx val="1"/>
          <c:order val="1"/>
          <c:tx>
            <c:strRef>
              <c:f>'Graph SM'!$A$261</c:f>
              <c:strCache>
                <c:ptCount val="1"/>
                <c:pt idx="0">
                  <c:v>Transf. publics exclus</c:v>
                </c:pt>
              </c:strCache>
            </c:strRef>
          </c:tx>
          <c:invertIfNegative val="0"/>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SM'!$K$261:$Q$261</c:f>
              <c:numCache>
                <c:formatCode>0.0</c:formatCode>
                <c:ptCount val="7"/>
                <c:pt idx="0">
                  <c:v>-3.180065544306439</c:v>
                </c:pt>
                <c:pt idx="1">
                  <c:v>2.7182902607769179</c:v>
                </c:pt>
                <c:pt idx="2">
                  <c:v>2.7406638720571488</c:v>
                </c:pt>
                <c:pt idx="3">
                  <c:v>0.64660069315909563</c:v>
                </c:pt>
                <c:pt idx="4">
                  <c:v>-0.29261850920708915</c:v>
                </c:pt>
                <c:pt idx="5">
                  <c:v>-8.7775819029541182</c:v>
                </c:pt>
                <c:pt idx="6">
                  <c:v>-12.248977856456737</c:v>
                </c:pt>
              </c:numCache>
            </c:numRef>
          </c:val>
          <c:extLst xmlns:c16r2="http://schemas.microsoft.com/office/drawing/2015/06/chart">
            <c:ext xmlns:c16="http://schemas.microsoft.com/office/drawing/2014/chart" uri="{C3380CC4-5D6E-409C-BE32-E72D297353CC}">
              <c16:uniqueId val="{00000001-EE02-42F0-B0C8-53DC3B7D475E}"/>
            </c:ext>
          </c:extLst>
        </c:ser>
        <c:dLbls>
          <c:showLegendKey val="0"/>
          <c:showVal val="0"/>
          <c:showCatName val="0"/>
          <c:showSerName val="0"/>
          <c:showPercent val="0"/>
          <c:showBubbleSize val="0"/>
        </c:dLbls>
        <c:gapWidth val="150"/>
        <c:axId val="247792384"/>
        <c:axId val="247793920"/>
      </c:barChart>
      <c:catAx>
        <c:axId val="247792384"/>
        <c:scaling>
          <c:orientation val="minMax"/>
        </c:scaling>
        <c:delete val="0"/>
        <c:axPos val="b"/>
        <c:numFmt formatCode="0" sourceLinked="1"/>
        <c:majorTickMark val="out"/>
        <c:minorTickMark val="none"/>
        <c:tickLblPos val="nextTo"/>
        <c:txPr>
          <a:bodyPr/>
          <a:lstStyle/>
          <a:p>
            <a:pPr>
              <a:defRPr sz="800"/>
            </a:pPr>
            <a:endParaRPr lang="de-DE"/>
          </a:p>
        </c:txPr>
        <c:crossAx val="247793920"/>
        <c:crosses val="autoZero"/>
        <c:auto val="1"/>
        <c:lblAlgn val="ctr"/>
        <c:lblOffset val="100"/>
        <c:noMultiLvlLbl val="0"/>
      </c:catAx>
      <c:valAx>
        <c:axId val="247793920"/>
        <c:scaling>
          <c:orientation val="minMax"/>
        </c:scaling>
        <c:delete val="0"/>
        <c:axPos val="l"/>
        <c:numFmt formatCode="0.0" sourceLinked="1"/>
        <c:majorTickMark val="out"/>
        <c:minorTickMark val="none"/>
        <c:tickLblPos val="nextTo"/>
        <c:txPr>
          <a:bodyPr/>
          <a:lstStyle/>
          <a:p>
            <a:pPr>
              <a:defRPr sz="800"/>
            </a:pPr>
            <a:endParaRPr lang="de-DE"/>
          </a:p>
        </c:txPr>
        <c:crossAx val="247792384"/>
        <c:crosses val="autoZero"/>
        <c:crossBetween val="between"/>
      </c:valAx>
    </c:plotArea>
    <c:legend>
      <c:legendPos val="r"/>
      <c:layout>
        <c:manualLayout>
          <c:xMode val="edge"/>
          <c:yMode val="edge"/>
          <c:x val="0.15125602224250301"/>
          <c:y val="3.6795986439195114E-2"/>
          <c:w val="0.82616147038223997"/>
          <c:h val="7.550770997375332E-2"/>
        </c:manualLayout>
      </c:layout>
      <c:overlay val="1"/>
      <c:txPr>
        <a:bodyPr/>
        <a:lstStyle/>
        <a:p>
          <a:pPr>
            <a:defRPr sz="800"/>
          </a:pPr>
          <a:endParaRPr lang="de-DE"/>
        </a:p>
      </c:txPr>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254228638086899E-2"/>
          <c:y val="0.13393857017872801"/>
          <c:w val="0.91878371974336481"/>
          <c:h val="0.74284058242719742"/>
        </c:manualLayout>
      </c:layout>
      <c:barChart>
        <c:barDir val="col"/>
        <c:grouping val="clustered"/>
        <c:varyColors val="0"/>
        <c:ser>
          <c:idx val="0"/>
          <c:order val="0"/>
          <c:tx>
            <c:strRef>
              <c:f>Feuil1!$B$1</c:f>
              <c:strCache>
                <c:ptCount val="1"/>
                <c:pt idx="0">
                  <c:v>2014</c:v>
                </c:pt>
              </c:strCache>
            </c:strRef>
          </c:tx>
          <c:invertIfNegative val="0"/>
          <c:cat>
            <c:strRef>
              <c:f>Feuil1!$A$2:$A$10</c:f>
              <c:strCache>
                <c:ptCount val="9"/>
                <c:pt idx="0">
                  <c:v>Bénin</c:v>
                </c:pt>
                <c:pt idx="1">
                  <c:v>Burkina F</c:v>
                </c:pt>
                <c:pt idx="2">
                  <c:v>Côte d'Ivoire</c:v>
                </c:pt>
                <c:pt idx="3">
                  <c:v>Guinée B</c:v>
                </c:pt>
                <c:pt idx="4">
                  <c:v>Mali</c:v>
                </c:pt>
                <c:pt idx="5">
                  <c:v>Niger</c:v>
                </c:pt>
                <c:pt idx="6">
                  <c:v>Sénégal</c:v>
                </c:pt>
                <c:pt idx="7">
                  <c:v>Togo</c:v>
                </c:pt>
                <c:pt idx="8">
                  <c:v>UEMOA</c:v>
                </c:pt>
              </c:strCache>
            </c:strRef>
          </c:cat>
          <c:val>
            <c:numRef>
              <c:f>Feuil1!$B$2:$B$10</c:f>
              <c:numCache>
                <c:formatCode>General</c:formatCode>
                <c:ptCount val="9"/>
                <c:pt idx="0">
                  <c:v>1.9000000000000001</c:v>
                </c:pt>
                <c:pt idx="1">
                  <c:v>1.8</c:v>
                </c:pt>
                <c:pt idx="2">
                  <c:v>2.2000000000000002</c:v>
                </c:pt>
                <c:pt idx="3">
                  <c:v>3.1</c:v>
                </c:pt>
                <c:pt idx="4">
                  <c:v>3.4</c:v>
                </c:pt>
                <c:pt idx="5">
                  <c:v>5.6</c:v>
                </c:pt>
                <c:pt idx="6">
                  <c:v>5</c:v>
                </c:pt>
                <c:pt idx="7">
                  <c:v>3.4</c:v>
                </c:pt>
                <c:pt idx="8">
                  <c:v>3.1</c:v>
                </c:pt>
              </c:numCache>
            </c:numRef>
          </c:val>
        </c:ser>
        <c:ser>
          <c:idx val="1"/>
          <c:order val="1"/>
          <c:tx>
            <c:strRef>
              <c:f>Feuil1!$C$1</c:f>
              <c:strCache>
                <c:ptCount val="1"/>
                <c:pt idx="0">
                  <c:v>2015</c:v>
                </c:pt>
              </c:strCache>
            </c:strRef>
          </c:tx>
          <c:spPr>
            <a:solidFill>
              <a:schemeClr val="accent6">
                <a:lumMod val="60000"/>
                <a:lumOff val="40000"/>
              </a:schemeClr>
            </a:solidFill>
          </c:spPr>
          <c:invertIfNegative val="0"/>
          <c:cat>
            <c:strRef>
              <c:f>Feuil1!$A$2:$A$10</c:f>
              <c:strCache>
                <c:ptCount val="9"/>
                <c:pt idx="0">
                  <c:v>Bénin</c:v>
                </c:pt>
                <c:pt idx="1">
                  <c:v>Burkina F</c:v>
                </c:pt>
                <c:pt idx="2">
                  <c:v>Côte d'Ivoire</c:v>
                </c:pt>
                <c:pt idx="3">
                  <c:v>Guinée B</c:v>
                </c:pt>
                <c:pt idx="4">
                  <c:v>Mali</c:v>
                </c:pt>
                <c:pt idx="5">
                  <c:v>Niger</c:v>
                </c:pt>
                <c:pt idx="6">
                  <c:v>Sénégal</c:v>
                </c:pt>
                <c:pt idx="7">
                  <c:v>Togo</c:v>
                </c:pt>
                <c:pt idx="8">
                  <c:v>UEMOA</c:v>
                </c:pt>
              </c:strCache>
            </c:strRef>
          </c:cat>
          <c:val>
            <c:numRef>
              <c:f>Feuil1!$C$2:$C$10</c:f>
              <c:numCache>
                <c:formatCode>General</c:formatCode>
                <c:ptCount val="9"/>
                <c:pt idx="0">
                  <c:v>5.6</c:v>
                </c:pt>
                <c:pt idx="1">
                  <c:v>2.4</c:v>
                </c:pt>
                <c:pt idx="2">
                  <c:v>3.6</c:v>
                </c:pt>
                <c:pt idx="3">
                  <c:v>2.6</c:v>
                </c:pt>
                <c:pt idx="4">
                  <c:v>2.5</c:v>
                </c:pt>
                <c:pt idx="5">
                  <c:v>6.9</c:v>
                </c:pt>
                <c:pt idx="6">
                  <c:v>4.8</c:v>
                </c:pt>
                <c:pt idx="7">
                  <c:v>3.7</c:v>
                </c:pt>
                <c:pt idx="8">
                  <c:v>4</c:v>
                </c:pt>
              </c:numCache>
            </c:numRef>
          </c:val>
        </c:ser>
        <c:dLbls>
          <c:showLegendKey val="0"/>
          <c:showVal val="0"/>
          <c:showCatName val="0"/>
          <c:showSerName val="0"/>
          <c:showPercent val="0"/>
          <c:showBubbleSize val="0"/>
        </c:dLbls>
        <c:gapWidth val="150"/>
        <c:axId val="247819264"/>
        <c:axId val="247821056"/>
      </c:barChart>
      <c:catAx>
        <c:axId val="247819264"/>
        <c:scaling>
          <c:orientation val="minMax"/>
        </c:scaling>
        <c:delete val="0"/>
        <c:axPos val="b"/>
        <c:numFmt formatCode="General" sourceLinked="1"/>
        <c:majorTickMark val="none"/>
        <c:minorTickMark val="none"/>
        <c:tickLblPos val="nextTo"/>
        <c:crossAx val="247821056"/>
        <c:crosses val="autoZero"/>
        <c:auto val="1"/>
        <c:lblAlgn val="ctr"/>
        <c:lblOffset val="100"/>
        <c:noMultiLvlLbl val="0"/>
      </c:catAx>
      <c:valAx>
        <c:axId val="247821056"/>
        <c:scaling>
          <c:orientation val="minMax"/>
        </c:scaling>
        <c:delete val="0"/>
        <c:axPos val="l"/>
        <c:majorGridlines/>
        <c:numFmt formatCode="General" sourceLinked="1"/>
        <c:majorTickMark val="none"/>
        <c:minorTickMark val="none"/>
        <c:tickLblPos val="nextTo"/>
        <c:crossAx val="247819264"/>
        <c:crosses val="autoZero"/>
        <c:crossBetween val="between"/>
      </c:valAx>
    </c:plotArea>
    <c:legend>
      <c:legendPos val="r"/>
      <c:layout>
        <c:manualLayout>
          <c:xMode val="edge"/>
          <c:yMode val="edge"/>
          <c:x val="6.6574985418489288E-2"/>
          <c:y val="0.15655511811023606"/>
          <c:w val="0.91953612569262055"/>
          <c:h val="0.19343738282714712"/>
        </c:manualLayout>
      </c:layout>
      <c:overlay val="0"/>
    </c:legend>
    <c:plotVisOnly val="1"/>
    <c:dispBlanksAs val="gap"/>
    <c:showDLblsOverMax val="0"/>
  </c:chart>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0"/>
          <c:order val="0"/>
          <c:tx>
            <c:strRef>
              <c:f>'Graph SM'!$A$368</c:f>
              <c:strCache>
                <c:ptCount val="1"/>
                <c:pt idx="0">
                  <c:v>CEMAC</c:v>
                </c:pt>
              </c:strCache>
            </c:strRef>
          </c:tx>
          <c:spPr>
            <a:ln w="19050" cmpd="sng"/>
          </c:spPr>
          <c:marker>
            <c:symbol val="none"/>
          </c:marker>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SM'!$K$368:$Q$368</c:f>
              <c:numCache>
                <c:formatCode>0.0</c:formatCode>
                <c:ptCount val="7"/>
                <c:pt idx="0">
                  <c:v>-13.26861143808693</c:v>
                </c:pt>
                <c:pt idx="1">
                  <c:v>-13.824572170417769</c:v>
                </c:pt>
                <c:pt idx="2">
                  <c:v>-16.840724032378112</c:v>
                </c:pt>
                <c:pt idx="3">
                  <c:v>-15.036831441631998</c:v>
                </c:pt>
                <c:pt idx="4">
                  <c:v>-12.552873768632088</c:v>
                </c:pt>
                <c:pt idx="5">
                  <c:v>-10.91952541025703</c:v>
                </c:pt>
                <c:pt idx="6">
                  <c:v>-9.6174886825536152</c:v>
                </c:pt>
              </c:numCache>
            </c:numRef>
          </c:val>
          <c:smooth val="0"/>
          <c:extLst xmlns:c16r2="http://schemas.microsoft.com/office/drawing/2015/06/chart">
            <c:ext xmlns:c16="http://schemas.microsoft.com/office/drawing/2014/chart" uri="{C3380CC4-5D6E-409C-BE32-E72D297353CC}">
              <c16:uniqueId val="{00000000-1C6A-48B1-845E-F35790AD0D87}"/>
            </c:ext>
          </c:extLst>
        </c:ser>
        <c:ser>
          <c:idx val="1"/>
          <c:order val="1"/>
          <c:tx>
            <c:strRef>
              <c:f>'Graph SM'!$A$369</c:f>
              <c:strCache>
                <c:ptCount val="1"/>
                <c:pt idx="0">
                  <c:v>Cameroun</c:v>
                </c:pt>
              </c:strCache>
            </c:strRef>
          </c:tx>
          <c:spPr>
            <a:ln w="19050" cmpd="sng"/>
          </c:spPr>
          <c:marker>
            <c:symbol val="none"/>
          </c:marker>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SM'!$K$369:$Q$369</c:f>
              <c:numCache>
                <c:formatCode>0.0</c:formatCode>
                <c:ptCount val="7"/>
                <c:pt idx="0">
                  <c:v>-3.5214659418258938</c:v>
                </c:pt>
                <c:pt idx="1">
                  <c:v>-5.0300574997443492</c:v>
                </c:pt>
                <c:pt idx="2">
                  <c:v>-4.1218088451833905</c:v>
                </c:pt>
                <c:pt idx="3">
                  <c:v>-4.8399794626048402</c:v>
                </c:pt>
                <c:pt idx="4">
                  <c:v>-3.2827438235572539</c:v>
                </c:pt>
                <c:pt idx="5">
                  <c:v>-3.1655102145832408</c:v>
                </c:pt>
                <c:pt idx="6">
                  <c:v>-3.2684062176257251</c:v>
                </c:pt>
              </c:numCache>
            </c:numRef>
          </c:val>
          <c:smooth val="0"/>
          <c:extLst xmlns:c16r2="http://schemas.microsoft.com/office/drawing/2015/06/chart">
            <c:ext xmlns:c16="http://schemas.microsoft.com/office/drawing/2014/chart" uri="{C3380CC4-5D6E-409C-BE32-E72D297353CC}">
              <c16:uniqueId val="{00000001-1C6A-48B1-845E-F35790AD0D87}"/>
            </c:ext>
          </c:extLst>
        </c:ser>
        <c:ser>
          <c:idx val="2"/>
          <c:order val="2"/>
          <c:tx>
            <c:strRef>
              <c:f>'Graph SM'!$A$370</c:f>
              <c:strCache>
                <c:ptCount val="1"/>
                <c:pt idx="0">
                  <c:v>Centrafricaine</c:v>
                </c:pt>
              </c:strCache>
            </c:strRef>
          </c:tx>
          <c:spPr>
            <a:ln w="19050" cmpd="sng"/>
          </c:spPr>
          <c:marker>
            <c:symbol val="none"/>
          </c:marker>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SM'!$K$370:$Q$370</c:f>
              <c:numCache>
                <c:formatCode>0.0</c:formatCode>
                <c:ptCount val="7"/>
                <c:pt idx="0">
                  <c:v>-0.91841348328547401</c:v>
                </c:pt>
                <c:pt idx="1">
                  <c:v>-1.9695875997580639</c:v>
                </c:pt>
                <c:pt idx="2">
                  <c:v>0.26743806059452202</c:v>
                </c:pt>
                <c:pt idx="3">
                  <c:v>-7.5305884952018713</c:v>
                </c:pt>
                <c:pt idx="4">
                  <c:v>-5.6154618497822657</c:v>
                </c:pt>
                <c:pt idx="5">
                  <c:v>-3.5066691120792721</c:v>
                </c:pt>
                <c:pt idx="6">
                  <c:v>-3.8459525410227808</c:v>
                </c:pt>
              </c:numCache>
            </c:numRef>
          </c:val>
          <c:smooth val="0"/>
          <c:extLst xmlns:c16r2="http://schemas.microsoft.com/office/drawing/2015/06/chart">
            <c:ext xmlns:c16="http://schemas.microsoft.com/office/drawing/2014/chart" uri="{C3380CC4-5D6E-409C-BE32-E72D297353CC}">
              <c16:uniqueId val="{00000002-1C6A-48B1-845E-F35790AD0D87}"/>
            </c:ext>
          </c:extLst>
        </c:ser>
        <c:ser>
          <c:idx val="3"/>
          <c:order val="3"/>
          <c:tx>
            <c:strRef>
              <c:f>'Graph SM'!$A$371</c:f>
              <c:strCache>
                <c:ptCount val="1"/>
                <c:pt idx="0">
                  <c:v>Congo</c:v>
                </c:pt>
              </c:strCache>
            </c:strRef>
          </c:tx>
          <c:spPr>
            <a:ln w="19050" cmpd="sng"/>
          </c:spPr>
          <c:marker>
            <c:symbol val="none"/>
          </c:marker>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SM'!$K$371:$Q$371</c:f>
              <c:numCache>
                <c:formatCode>0.0</c:formatCode>
                <c:ptCount val="7"/>
                <c:pt idx="0">
                  <c:v>-12.562156777914046</c:v>
                </c:pt>
                <c:pt idx="1">
                  <c:v>-13.916533556644435</c:v>
                </c:pt>
                <c:pt idx="2">
                  <c:v>-22.013031687949226</c:v>
                </c:pt>
                <c:pt idx="3">
                  <c:v>-20.441690176444681</c:v>
                </c:pt>
                <c:pt idx="4">
                  <c:v>-21.956224494541527</c:v>
                </c:pt>
                <c:pt idx="5">
                  <c:v>-19.41350899140253</c:v>
                </c:pt>
                <c:pt idx="6">
                  <c:v>-20.937609198649227</c:v>
                </c:pt>
              </c:numCache>
            </c:numRef>
          </c:val>
          <c:smooth val="0"/>
          <c:extLst xmlns:c16r2="http://schemas.microsoft.com/office/drawing/2015/06/chart">
            <c:ext xmlns:c16="http://schemas.microsoft.com/office/drawing/2014/chart" uri="{C3380CC4-5D6E-409C-BE32-E72D297353CC}">
              <c16:uniqueId val="{00000003-1C6A-48B1-845E-F35790AD0D87}"/>
            </c:ext>
          </c:extLst>
        </c:ser>
        <c:ser>
          <c:idx val="4"/>
          <c:order val="4"/>
          <c:tx>
            <c:strRef>
              <c:f>'Graph SM'!$A$372</c:f>
              <c:strCache>
                <c:ptCount val="1"/>
                <c:pt idx="0">
                  <c:v>Gabon</c:v>
                </c:pt>
              </c:strCache>
            </c:strRef>
          </c:tx>
          <c:spPr>
            <a:ln w="19050" cmpd="sng"/>
          </c:spPr>
          <c:marker>
            <c:symbol val="none"/>
          </c:marker>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SM'!$K$372:$Q$372</c:f>
              <c:numCache>
                <c:formatCode>0.0</c:formatCode>
                <c:ptCount val="7"/>
                <c:pt idx="0">
                  <c:v>-10.335771746207499</c:v>
                </c:pt>
                <c:pt idx="1">
                  <c:v>-11.334186073370409</c:v>
                </c:pt>
                <c:pt idx="2">
                  <c:v>-13.679774078449164</c:v>
                </c:pt>
                <c:pt idx="3">
                  <c:v>-10.959099521772286</c:v>
                </c:pt>
                <c:pt idx="4">
                  <c:v>-5.7561000917130389</c:v>
                </c:pt>
                <c:pt idx="5">
                  <c:v>-7.5659766054005244</c:v>
                </c:pt>
                <c:pt idx="6">
                  <c:v>-4.1324847266786344</c:v>
                </c:pt>
              </c:numCache>
            </c:numRef>
          </c:val>
          <c:smooth val="0"/>
          <c:extLst xmlns:c16r2="http://schemas.microsoft.com/office/drawing/2015/06/chart">
            <c:ext xmlns:c16="http://schemas.microsoft.com/office/drawing/2014/chart" uri="{C3380CC4-5D6E-409C-BE32-E72D297353CC}">
              <c16:uniqueId val="{00000004-1C6A-48B1-845E-F35790AD0D87}"/>
            </c:ext>
          </c:extLst>
        </c:ser>
        <c:ser>
          <c:idx val="5"/>
          <c:order val="5"/>
          <c:tx>
            <c:strRef>
              <c:f>'Graph SM'!$A$373</c:f>
              <c:strCache>
                <c:ptCount val="1"/>
                <c:pt idx="0">
                  <c:v>Guinée Equatoriale</c:v>
                </c:pt>
              </c:strCache>
            </c:strRef>
          </c:tx>
          <c:spPr>
            <a:ln w="19050" cmpd="sng"/>
          </c:spPr>
          <c:marker>
            <c:symbol val="none"/>
          </c:marker>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SM'!$K$373:$Q$373</c:f>
              <c:numCache>
                <c:formatCode>0.0</c:formatCode>
                <c:ptCount val="7"/>
                <c:pt idx="0">
                  <c:v>-33.762960004054662</c:v>
                </c:pt>
                <c:pt idx="1">
                  <c:v>-29.445225636558042</c:v>
                </c:pt>
                <c:pt idx="2">
                  <c:v>-36.409459215325541</c:v>
                </c:pt>
                <c:pt idx="3">
                  <c:v>-34.150916905868677</c:v>
                </c:pt>
                <c:pt idx="4">
                  <c:v>-33.099630553490378</c:v>
                </c:pt>
                <c:pt idx="5">
                  <c:v>-37.215081031412247</c:v>
                </c:pt>
                <c:pt idx="6">
                  <c:v>-45.670194357679598</c:v>
                </c:pt>
              </c:numCache>
            </c:numRef>
          </c:val>
          <c:smooth val="0"/>
          <c:extLst xmlns:c16r2="http://schemas.microsoft.com/office/drawing/2015/06/chart">
            <c:ext xmlns:c16="http://schemas.microsoft.com/office/drawing/2014/chart" uri="{C3380CC4-5D6E-409C-BE32-E72D297353CC}">
              <c16:uniqueId val="{00000005-1C6A-48B1-845E-F35790AD0D87}"/>
            </c:ext>
          </c:extLst>
        </c:ser>
        <c:ser>
          <c:idx val="6"/>
          <c:order val="6"/>
          <c:tx>
            <c:strRef>
              <c:f>'Graph SM'!$A$374</c:f>
              <c:strCache>
                <c:ptCount val="1"/>
                <c:pt idx="0">
                  <c:v>Tchad</c:v>
                </c:pt>
              </c:strCache>
            </c:strRef>
          </c:tx>
          <c:spPr>
            <a:ln w="19050" cmpd="sng"/>
          </c:spPr>
          <c:marker>
            <c:symbol val="none"/>
          </c:marker>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SM'!$K$374:$Q$374</c:f>
              <c:numCache>
                <c:formatCode>0.0</c:formatCode>
                <c:ptCount val="7"/>
                <c:pt idx="0">
                  <c:v>-14.288161609404847</c:v>
                </c:pt>
                <c:pt idx="1">
                  <c:v>-14.894738845967954</c:v>
                </c:pt>
                <c:pt idx="2">
                  <c:v>-15.155895495808265</c:v>
                </c:pt>
                <c:pt idx="3">
                  <c:v>-13.1460661304022</c:v>
                </c:pt>
                <c:pt idx="4">
                  <c:v>-8.3210185142944173</c:v>
                </c:pt>
                <c:pt idx="5">
                  <c:v>-6.9758929367012774</c:v>
                </c:pt>
                <c:pt idx="6">
                  <c:v>-4.427149581139239</c:v>
                </c:pt>
              </c:numCache>
            </c:numRef>
          </c:val>
          <c:smooth val="0"/>
          <c:extLst xmlns:c16r2="http://schemas.microsoft.com/office/drawing/2015/06/chart">
            <c:ext xmlns:c16="http://schemas.microsoft.com/office/drawing/2014/chart" uri="{C3380CC4-5D6E-409C-BE32-E72D297353CC}">
              <c16:uniqueId val="{00000006-1C6A-48B1-845E-F35790AD0D87}"/>
            </c:ext>
          </c:extLst>
        </c:ser>
        <c:dLbls>
          <c:showLegendKey val="0"/>
          <c:showVal val="0"/>
          <c:showCatName val="0"/>
          <c:showSerName val="0"/>
          <c:showPercent val="0"/>
          <c:showBubbleSize val="0"/>
        </c:dLbls>
        <c:marker val="1"/>
        <c:smooth val="0"/>
        <c:axId val="252449152"/>
        <c:axId val="252450688"/>
      </c:lineChart>
      <c:catAx>
        <c:axId val="252449152"/>
        <c:scaling>
          <c:orientation val="minMax"/>
        </c:scaling>
        <c:delete val="0"/>
        <c:axPos val="b"/>
        <c:numFmt formatCode="0" sourceLinked="1"/>
        <c:majorTickMark val="out"/>
        <c:minorTickMark val="none"/>
        <c:tickLblPos val="nextTo"/>
        <c:txPr>
          <a:bodyPr/>
          <a:lstStyle/>
          <a:p>
            <a:pPr>
              <a:defRPr sz="800"/>
            </a:pPr>
            <a:endParaRPr lang="de-DE"/>
          </a:p>
        </c:txPr>
        <c:crossAx val="252450688"/>
        <c:crosses val="autoZero"/>
        <c:auto val="1"/>
        <c:lblAlgn val="ctr"/>
        <c:lblOffset val="100"/>
        <c:noMultiLvlLbl val="0"/>
      </c:catAx>
      <c:valAx>
        <c:axId val="252450688"/>
        <c:scaling>
          <c:orientation val="minMax"/>
        </c:scaling>
        <c:delete val="0"/>
        <c:axPos val="l"/>
        <c:numFmt formatCode="0.0" sourceLinked="1"/>
        <c:majorTickMark val="out"/>
        <c:minorTickMark val="none"/>
        <c:tickLblPos val="nextTo"/>
        <c:txPr>
          <a:bodyPr/>
          <a:lstStyle/>
          <a:p>
            <a:pPr>
              <a:defRPr sz="800"/>
            </a:pPr>
            <a:endParaRPr lang="de-DE"/>
          </a:p>
        </c:txPr>
        <c:crossAx val="252449152"/>
        <c:crosses val="autoZero"/>
        <c:crossBetween val="between"/>
      </c:valAx>
    </c:plotArea>
    <c:legend>
      <c:legendPos val="r"/>
      <c:layout>
        <c:manualLayout>
          <c:xMode val="edge"/>
          <c:yMode val="edge"/>
          <c:x val="0.10122128699429803"/>
          <c:y val="0.85257886553989826"/>
          <c:w val="0.8964798624309902"/>
          <c:h val="9.5441563641216628E-2"/>
        </c:manualLayout>
      </c:layout>
      <c:overlay val="1"/>
      <c:txPr>
        <a:bodyPr/>
        <a:lstStyle/>
        <a:p>
          <a:pPr>
            <a:defRPr sz="800"/>
          </a:pPr>
          <a:endParaRPr lang="de-DE"/>
        </a:p>
      </c:txPr>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0"/>
          <c:order val="0"/>
          <c:tx>
            <c:strRef>
              <c:f>'Graph SM'!$A$286</c:f>
              <c:strCache>
                <c:ptCount val="1"/>
                <c:pt idx="0">
                  <c:v>     Nombre de pays ayant respecté le critère</c:v>
                </c:pt>
              </c:strCache>
            </c:strRef>
          </c:tx>
          <c:spPr>
            <a:ln w="19050" cmpd="sng"/>
          </c:spPr>
          <c:marker>
            <c:symbol val="none"/>
          </c:marker>
          <c:cat>
            <c:numRef>
              <c:f>'Graph SM'!$K$2:$Q$2</c:f>
              <c:numCache>
                <c:formatCode>0</c:formatCode>
                <c:ptCount val="7"/>
                <c:pt idx="0">
                  <c:v>2010</c:v>
                </c:pt>
                <c:pt idx="1">
                  <c:v>2011</c:v>
                </c:pt>
                <c:pt idx="2">
                  <c:v>2012</c:v>
                </c:pt>
                <c:pt idx="3">
                  <c:v>2013</c:v>
                </c:pt>
                <c:pt idx="4">
                  <c:v>2014</c:v>
                </c:pt>
                <c:pt idx="5">
                  <c:v>2015</c:v>
                </c:pt>
                <c:pt idx="6">
                  <c:v>2016</c:v>
                </c:pt>
              </c:numCache>
            </c:numRef>
          </c:cat>
          <c:val>
            <c:numRef>
              <c:f>'Graph SM'!$K$286:$Q$286</c:f>
              <c:numCache>
                <c:formatCode>0</c:formatCode>
                <c:ptCount val="7"/>
                <c:pt idx="0">
                  <c:v>5</c:v>
                </c:pt>
                <c:pt idx="1">
                  <c:v>5</c:v>
                </c:pt>
                <c:pt idx="2">
                  <c:v>2</c:v>
                </c:pt>
                <c:pt idx="3">
                  <c:v>4</c:v>
                </c:pt>
                <c:pt idx="4">
                  <c:v>3</c:v>
                </c:pt>
                <c:pt idx="5">
                  <c:v>5</c:v>
                </c:pt>
                <c:pt idx="6">
                  <c:v>6</c:v>
                </c:pt>
              </c:numCache>
            </c:numRef>
          </c:val>
          <c:smooth val="0"/>
          <c:extLst xmlns:c16r2="http://schemas.microsoft.com/office/drawing/2015/06/chart">
            <c:ext xmlns:c16="http://schemas.microsoft.com/office/drawing/2014/chart" uri="{C3380CC4-5D6E-409C-BE32-E72D297353CC}">
              <c16:uniqueId val="{00000000-12D0-4976-B98B-5679FA34D800}"/>
            </c:ext>
          </c:extLst>
        </c:ser>
        <c:dLbls>
          <c:showLegendKey val="0"/>
          <c:showVal val="0"/>
          <c:showCatName val="0"/>
          <c:showSerName val="0"/>
          <c:showPercent val="0"/>
          <c:showBubbleSize val="0"/>
        </c:dLbls>
        <c:marker val="1"/>
        <c:smooth val="0"/>
        <c:axId val="252462976"/>
        <c:axId val="252464512"/>
      </c:lineChart>
      <c:catAx>
        <c:axId val="252462976"/>
        <c:scaling>
          <c:orientation val="minMax"/>
        </c:scaling>
        <c:delete val="0"/>
        <c:axPos val="b"/>
        <c:numFmt formatCode="0" sourceLinked="1"/>
        <c:majorTickMark val="out"/>
        <c:minorTickMark val="none"/>
        <c:tickLblPos val="nextTo"/>
        <c:txPr>
          <a:bodyPr/>
          <a:lstStyle/>
          <a:p>
            <a:pPr>
              <a:defRPr sz="800"/>
            </a:pPr>
            <a:endParaRPr lang="de-DE"/>
          </a:p>
        </c:txPr>
        <c:crossAx val="252464512"/>
        <c:crosses val="autoZero"/>
        <c:auto val="1"/>
        <c:lblAlgn val="ctr"/>
        <c:lblOffset val="100"/>
        <c:noMultiLvlLbl val="0"/>
      </c:catAx>
      <c:valAx>
        <c:axId val="252464512"/>
        <c:scaling>
          <c:orientation val="minMax"/>
        </c:scaling>
        <c:delete val="0"/>
        <c:axPos val="l"/>
        <c:numFmt formatCode="0" sourceLinked="1"/>
        <c:majorTickMark val="out"/>
        <c:minorTickMark val="none"/>
        <c:tickLblPos val="nextTo"/>
        <c:txPr>
          <a:bodyPr/>
          <a:lstStyle/>
          <a:p>
            <a:pPr>
              <a:defRPr sz="900"/>
            </a:pPr>
            <a:endParaRPr lang="de-DE"/>
          </a:p>
        </c:txPr>
        <c:crossAx val="252462976"/>
        <c:crosses val="autoZero"/>
        <c:crossBetween val="between"/>
      </c:valAx>
    </c:plotArea>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0.70761</cdr:x>
      <cdr:y>0.27805</cdr:y>
    </cdr:from>
    <cdr:to>
      <cdr:x>0.96036</cdr:x>
      <cdr:y>0.89635</cdr:y>
    </cdr:to>
    <cdr:sp macro="" textlink="">
      <cdr:nvSpPr>
        <cdr:cNvPr id="2" name="Rectangle 1"/>
        <cdr:cNvSpPr/>
      </cdr:nvSpPr>
      <cdr:spPr>
        <a:xfrm xmlns:a="http://schemas.openxmlformats.org/drawingml/2006/main">
          <a:off x="2476477" y="947771"/>
          <a:ext cx="884554" cy="2107519"/>
        </a:xfrm>
        <a:prstGeom xmlns:a="http://schemas.openxmlformats.org/drawingml/2006/main" prst="rect">
          <a:avLst/>
        </a:prstGeom>
        <a:solidFill xmlns:a="http://schemas.openxmlformats.org/drawingml/2006/main">
          <a:schemeClr val="accent1">
            <a:alpha val="30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fr-FR"/>
        </a:p>
      </cdr:txBody>
    </cdr:sp>
  </cdr:relSizeAnchor>
</c:userShapes>
</file>

<file path=word/drawings/drawing2.xml><?xml version="1.0" encoding="utf-8"?>
<c:userShapes xmlns:c="http://schemas.openxmlformats.org/drawingml/2006/chart">
  <cdr:relSizeAnchor xmlns:cdr="http://schemas.openxmlformats.org/drawingml/2006/chartDrawing">
    <cdr:from>
      <cdr:x>0.07752</cdr:x>
      <cdr:y>0.59136</cdr:y>
    </cdr:from>
    <cdr:to>
      <cdr:x>0.96899</cdr:x>
      <cdr:y>0.60133</cdr:y>
    </cdr:to>
    <cdr:cxnSp macro="">
      <cdr:nvCxnSpPr>
        <cdr:cNvPr id="4" name="Connecteur droit 3"/>
        <cdr:cNvCxnSpPr/>
      </cdr:nvCxnSpPr>
      <cdr:spPr>
        <a:xfrm xmlns:a="http://schemas.openxmlformats.org/drawingml/2006/main" flipV="1">
          <a:off x="425303" y="1892594"/>
          <a:ext cx="4890977" cy="31898"/>
        </a:xfrm>
        <a:prstGeom xmlns:a="http://schemas.openxmlformats.org/drawingml/2006/main" prst="line">
          <a:avLst/>
        </a:prstGeom>
      </cdr:spPr>
      <cdr:style>
        <a:lnRef xmlns:a="http://schemas.openxmlformats.org/drawingml/2006/main" idx="3">
          <a:schemeClr val="accent2"/>
        </a:lnRef>
        <a:fillRef xmlns:a="http://schemas.openxmlformats.org/drawingml/2006/main" idx="0">
          <a:schemeClr val="accent2"/>
        </a:fillRef>
        <a:effectRef xmlns:a="http://schemas.openxmlformats.org/drawingml/2006/main" idx="2">
          <a:schemeClr val="accent2"/>
        </a:effectRef>
        <a:fontRef xmlns:a="http://schemas.openxmlformats.org/drawingml/2006/main" idx="minor">
          <a:schemeClr val="tx1"/>
        </a:fontRef>
      </cdr:style>
    </cdr:cxn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F5E09-11E8-42A1-A2CD-B422D82C9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19488</Words>
  <Characters>122781</Characters>
  <Application>Microsoft Office Word</Application>
  <DocSecurity>0</DocSecurity>
  <Lines>1023</Lines>
  <Paragraphs>283</Paragraphs>
  <ScaleCrop>false</ScaleCrop>
  <HeadingPairs>
    <vt:vector size="2" baseType="variant">
      <vt:variant>
        <vt:lpstr>Titre</vt:lpstr>
      </vt:variant>
      <vt:variant>
        <vt:i4>1</vt:i4>
      </vt:variant>
    </vt:vector>
  </HeadingPairs>
  <TitlesOfParts>
    <vt:vector size="1" baseType="lpstr">
      <vt:lpstr>Rapport d'automne Cocozof 2012</vt:lpstr>
    </vt:vector>
  </TitlesOfParts>
  <LinksUpToDate>false</LinksUpToDate>
  <CharactersWithSpaces>141986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d'automne Cocozof 2012</dc:title>
  <dc:creator/>
  <cp:lastModifiedBy/>
  <cp:revision>1</cp:revision>
  <dcterms:created xsi:type="dcterms:W3CDTF">2016-04-20T17:46:00Z</dcterms:created>
  <dcterms:modified xsi:type="dcterms:W3CDTF">2016-04-20T17:46:00Z</dcterms:modified>
</cp:coreProperties>
</file>